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18E3" w:rsidRPr="004763B8" w:rsidRDefault="000418E3" w:rsidP="000418E3">
      <w:pPr>
        <w:jc w:val="center"/>
        <w:rPr>
          <w:rFonts w:ascii="Times New Roman" w:hAnsi="Times New Roman" w:cs="Times New Roman"/>
          <w:b/>
          <w:sz w:val="24"/>
          <w:szCs w:val="24"/>
          <w:lang w:val="en-AU"/>
        </w:rPr>
      </w:pPr>
      <w:r w:rsidRPr="003456C6">
        <w:rPr>
          <w:rFonts w:ascii="Times New Roman" w:hAnsi="Times New Roman" w:cs="Times New Roman"/>
          <w:b/>
          <w:sz w:val="24"/>
          <w:szCs w:val="24"/>
          <w:lang w:val="en-AU"/>
        </w:rPr>
        <w:t xml:space="preserve">Using a regional </w:t>
      </w:r>
      <w:r>
        <w:rPr>
          <w:rFonts w:ascii="Times New Roman" w:hAnsi="Times New Roman" w:cs="Times New Roman"/>
          <w:b/>
          <w:sz w:val="24"/>
          <w:szCs w:val="24"/>
          <w:lang w:val="en-AU"/>
        </w:rPr>
        <w:t xml:space="preserve">CGE </w:t>
      </w:r>
      <w:r w:rsidRPr="003456C6">
        <w:rPr>
          <w:rFonts w:ascii="Times New Roman" w:hAnsi="Times New Roman" w:cs="Times New Roman"/>
          <w:b/>
          <w:sz w:val="24"/>
          <w:szCs w:val="24"/>
          <w:lang w:val="en-AU"/>
        </w:rPr>
        <w:t xml:space="preserve">model </w:t>
      </w:r>
      <w:r>
        <w:rPr>
          <w:rFonts w:ascii="Times New Roman" w:hAnsi="Times New Roman" w:cs="Times New Roman"/>
          <w:b/>
          <w:sz w:val="24"/>
          <w:szCs w:val="24"/>
          <w:lang w:val="en-AU"/>
        </w:rPr>
        <w:t xml:space="preserve">for rapid </w:t>
      </w:r>
      <w:r w:rsidRPr="003456C6">
        <w:rPr>
          <w:rFonts w:ascii="Times New Roman" w:hAnsi="Times New Roman" w:cs="Times New Roman"/>
          <w:b/>
          <w:sz w:val="24"/>
          <w:szCs w:val="24"/>
          <w:lang w:val="en-AU"/>
        </w:rPr>
        <w:t>assessments of the economic implications of terrorism events</w:t>
      </w:r>
      <w:r>
        <w:rPr>
          <w:rFonts w:ascii="Times New Roman" w:hAnsi="Times New Roman" w:cs="Times New Roman"/>
          <w:b/>
          <w:sz w:val="24"/>
          <w:szCs w:val="24"/>
          <w:lang w:val="en-AU"/>
        </w:rPr>
        <w:t xml:space="preserve">: creating </w:t>
      </w:r>
      <w:r w:rsidR="004E0550">
        <w:rPr>
          <w:rFonts w:ascii="Times New Roman" w:hAnsi="Times New Roman" w:cs="Times New Roman"/>
          <w:b/>
          <w:sz w:val="24"/>
          <w:szCs w:val="24"/>
          <w:lang w:val="en-AU"/>
        </w:rPr>
        <w:t>GRAD</w:t>
      </w:r>
      <w:r w:rsidRPr="004763B8">
        <w:rPr>
          <w:rFonts w:ascii="Times New Roman" w:hAnsi="Times New Roman" w:cs="Times New Roman"/>
          <w:b/>
          <w:sz w:val="24"/>
          <w:szCs w:val="24"/>
        </w:rPr>
        <w:t>-ECAT (</w:t>
      </w:r>
      <w:r w:rsidRPr="004763B8">
        <w:rPr>
          <w:rFonts w:ascii="Times New Roman" w:hAnsi="Times New Roman" w:cs="Times New Roman"/>
          <w:b/>
          <w:i/>
          <w:sz w:val="24"/>
          <w:szCs w:val="24"/>
        </w:rPr>
        <w:t>G</w:t>
      </w:r>
      <w:r w:rsidRPr="004763B8">
        <w:rPr>
          <w:rFonts w:ascii="Times New Roman" w:hAnsi="Times New Roman" w:cs="Times New Roman"/>
          <w:i/>
          <w:sz w:val="24"/>
          <w:szCs w:val="24"/>
        </w:rPr>
        <w:t xml:space="preserve">eneralized, </w:t>
      </w:r>
      <w:r w:rsidRPr="004763B8">
        <w:rPr>
          <w:rFonts w:ascii="Times New Roman" w:hAnsi="Times New Roman" w:cs="Times New Roman"/>
          <w:b/>
          <w:i/>
          <w:sz w:val="24"/>
          <w:szCs w:val="24"/>
        </w:rPr>
        <w:t>R</w:t>
      </w:r>
      <w:r w:rsidRPr="004763B8">
        <w:rPr>
          <w:rFonts w:ascii="Times New Roman" w:hAnsi="Times New Roman" w:cs="Times New Roman"/>
          <w:i/>
          <w:sz w:val="24"/>
          <w:szCs w:val="24"/>
        </w:rPr>
        <w:t xml:space="preserve">egional </w:t>
      </w:r>
      <w:r w:rsidRPr="004763B8">
        <w:rPr>
          <w:rFonts w:ascii="Times New Roman" w:hAnsi="Times New Roman" w:cs="Times New Roman"/>
          <w:b/>
          <w:i/>
          <w:sz w:val="24"/>
          <w:szCs w:val="24"/>
        </w:rPr>
        <w:t>A</w:t>
      </w:r>
      <w:r w:rsidRPr="004763B8">
        <w:rPr>
          <w:rFonts w:ascii="Times New Roman" w:hAnsi="Times New Roman" w:cs="Times New Roman"/>
          <w:i/>
          <w:sz w:val="24"/>
          <w:szCs w:val="24"/>
        </w:rPr>
        <w:t xml:space="preserve">nd </w:t>
      </w:r>
      <w:r w:rsidRPr="004763B8">
        <w:rPr>
          <w:rFonts w:ascii="Times New Roman" w:hAnsi="Times New Roman" w:cs="Times New Roman"/>
          <w:b/>
          <w:i/>
          <w:sz w:val="24"/>
          <w:szCs w:val="24"/>
        </w:rPr>
        <w:t>D</w:t>
      </w:r>
      <w:r w:rsidRPr="004763B8">
        <w:rPr>
          <w:rFonts w:ascii="Times New Roman" w:hAnsi="Times New Roman" w:cs="Times New Roman"/>
          <w:i/>
          <w:sz w:val="24"/>
          <w:szCs w:val="24"/>
        </w:rPr>
        <w:t xml:space="preserve">ynamic </w:t>
      </w:r>
      <w:r w:rsidRPr="004763B8">
        <w:rPr>
          <w:rFonts w:ascii="Times New Roman" w:hAnsi="Times New Roman" w:cs="Times New Roman"/>
          <w:b/>
          <w:i/>
          <w:sz w:val="24"/>
          <w:szCs w:val="24"/>
        </w:rPr>
        <w:t>E</w:t>
      </w:r>
      <w:r w:rsidRPr="004763B8">
        <w:rPr>
          <w:rFonts w:ascii="Times New Roman" w:hAnsi="Times New Roman" w:cs="Times New Roman"/>
          <w:i/>
          <w:sz w:val="24"/>
          <w:szCs w:val="24"/>
        </w:rPr>
        <w:t xml:space="preserve">conomic </w:t>
      </w:r>
      <w:r w:rsidRPr="004763B8">
        <w:rPr>
          <w:rFonts w:ascii="Times New Roman" w:hAnsi="Times New Roman" w:cs="Times New Roman"/>
          <w:b/>
          <w:i/>
          <w:sz w:val="24"/>
          <w:szCs w:val="24"/>
        </w:rPr>
        <w:t>C</w:t>
      </w:r>
      <w:r w:rsidRPr="004763B8">
        <w:rPr>
          <w:rFonts w:ascii="Times New Roman" w:hAnsi="Times New Roman" w:cs="Times New Roman"/>
          <w:i/>
          <w:sz w:val="24"/>
          <w:szCs w:val="24"/>
        </w:rPr>
        <w:t xml:space="preserve">onsequence </w:t>
      </w:r>
      <w:r w:rsidRPr="004763B8">
        <w:rPr>
          <w:rFonts w:ascii="Times New Roman" w:hAnsi="Times New Roman" w:cs="Times New Roman"/>
          <w:b/>
          <w:i/>
          <w:sz w:val="24"/>
          <w:szCs w:val="24"/>
        </w:rPr>
        <w:t>A</w:t>
      </w:r>
      <w:r w:rsidRPr="004763B8">
        <w:rPr>
          <w:rFonts w:ascii="Times New Roman" w:hAnsi="Times New Roman" w:cs="Times New Roman"/>
          <w:i/>
          <w:sz w:val="24"/>
          <w:szCs w:val="24"/>
        </w:rPr>
        <w:t xml:space="preserve">nalysis </w:t>
      </w:r>
      <w:r w:rsidRPr="004763B8">
        <w:rPr>
          <w:rFonts w:ascii="Times New Roman" w:hAnsi="Times New Roman" w:cs="Times New Roman"/>
          <w:b/>
          <w:i/>
          <w:sz w:val="24"/>
          <w:szCs w:val="24"/>
        </w:rPr>
        <w:t>T</w:t>
      </w:r>
      <w:r w:rsidRPr="004763B8">
        <w:rPr>
          <w:rFonts w:ascii="Times New Roman" w:hAnsi="Times New Roman" w:cs="Times New Roman"/>
          <w:i/>
          <w:sz w:val="24"/>
          <w:szCs w:val="24"/>
        </w:rPr>
        <w:t>ool</w:t>
      </w:r>
      <w:r w:rsidRPr="004763B8">
        <w:rPr>
          <w:rFonts w:ascii="Times New Roman" w:hAnsi="Times New Roman" w:cs="Times New Roman"/>
          <w:b/>
          <w:sz w:val="24"/>
          <w:szCs w:val="24"/>
        </w:rPr>
        <w:t>)</w:t>
      </w:r>
    </w:p>
    <w:p w:rsidR="00B22B01" w:rsidRDefault="000418E3" w:rsidP="00B22B01">
      <w:pPr>
        <w:jc w:val="center"/>
        <w:rPr>
          <w:rFonts w:ascii="Times New Roman" w:hAnsi="Times New Roman" w:cs="Times New Roman"/>
          <w:b/>
          <w:sz w:val="24"/>
          <w:szCs w:val="24"/>
        </w:rPr>
      </w:pPr>
      <w:r>
        <w:rPr>
          <w:rFonts w:ascii="Times New Roman" w:hAnsi="Times New Roman" w:cs="Times New Roman"/>
          <w:b/>
          <w:sz w:val="24"/>
          <w:szCs w:val="24"/>
        </w:rPr>
        <w:t>Report to the Te</w:t>
      </w:r>
      <w:r w:rsidR="00B22B01">
        <w:rPr>
          <w:rFonts w:ascii="Times New Roman" w:hAnsi="Times New Roman" w:cs="Times New Roman"/>
          <w:b/>
          <w:sz w:val="24"/>
          <w:szCs w:val="24"/>
        </w:rPr>
        <w:t>rrorism Risk Assessment groups in the</w:t>
      </w:r>
    </w:p>
    <w:p w:rsidR="00B22B01" w:rsidRDefault="00B22B01" w:rsidP="00B22B01">
      <w:pPr>
        <w:spacing w:before="0"/>
        <w:jc w:val="center"/>
        <w:rPr>
          <w:rFonts w:ascii="Times New Roman" w:hAnsi="Times New Roman" w:cs="Times New Roman"/>
          <w:b/>
          <w:sz w:val="24"/>
          <w:szCs w:val="24"/>
        </w:rPr>
      </w:pPr>
      <w:r>
        <w:rPr>
          <w:rFonts w:ascii="Times New Roman" w:hAnsi="Times New Roman" w:cs="Times New Roman"/>
          <w:b/>
          <w:sz w:val="24"/>
          <w:szCs w:val="24"/>
        </w:rPr>
        <w:t>Department of Homeland Security</w:t>
      </w:r>
    </w:p>
    <w:p w:rsidR="000418E3" w:rsidRDefault="000418E3" w:rsidP="000418E3">
      <w:pPr>
        <w:jc w:val="center"/>
        <w:rPr>
          <w:rFonts w:ascii="Times New Roman" w:hAnsi="Times New Roman" w:cs="Times New Roman"/>
          <w:b/>
          <w:sz w:val="24"/>
          <w:szCs w:val="24"/>
        </w:rPr>
      </w:pPr>
      <w:r>
        <w:rPr>
          <w:rFonts w:ascii="Times New Roman" w:hAnsi="Times New Roman" w:cs="Times New Roman"/>
          <w:b/>
          <w:sz w:val="24"/>
          <w:szCs w:val="24"/>
        </w:rPr>
        <w:t>by</w:t>
      </w:r>
    </w:p>
    <w:p w:rsidR="000418E3" w:rsidRDefault="000418E3" w:rsidP="000418E3">
      <w:pPr>
        <w:jc w:val="center"/>
        <w:rPr>
          <w:rFonts w:ascii="Times New Roman" w:hAnsi="Times New Roman" w:cs="Times New Roman"/>
          <w:b/>
          <w:sz w:val="24"/>
          <w:szCs w:val="24"/>
        </w:rPr>
      </w:pPr>
      <w:r>
        <w:rPr>
          <w:rFonts w:ascii="Times New Roman" w:hAnsi="Times New Roman" w:cs="Times New Roman"/>
          <w:b/>
          <w:sz w:val="24"/>
          <w:szCs w:val="24"/>
        </w:rPr>
        <w:t xml:space="preserve">Peter B. Dixon, </w:t>
      </w:r>
      <w:r w:rsidR="00E07B0B">
        <w:rPr>
          <w:rFonts w:ascii="Times New Roman" w:hAnsi="Times New Roman" w:cs="Times New Roman"/>
          <w:b/>
          <w:sz w:val="24"/>
          <w:szCs w:val="24"/>
        </w:rPr>
        <w:t xml:space="preserve">Michael Jerie, </w:t>
      </w:r>
      <w:r>
        <w:rPr>
          <w:rFonts w:ascii="Times New Roman" w:hAnsi="Times New Roman" w:cs="Times New Roman"/>
          <w:b/>
          <w:sz w:val="24"/>
          <w:szCs w:val="24"/>
        </w:rPr>
        <w:t>Maureen T. Rimmer and Glyn Wittwer</w:t>
      </w:r>
    </w:p>
    <w:p w:rsidR="000418E3" w:rsidRDefault="000418E3" w:rsidP="00B22B01">
      <w:pPr>
        <w:spacing w:before="0"/>
        <w:jc w:val="center"/>
        <w:rPr>
          <w:rFonts w:ascii="Times New Roman" w:hAnsi="Times New Roman" w:cs="Times New Roman"/>
          <w:b/>
          <w:sz w:val="24"/>
          <w:szCs w:val="24"/>
        </w:rPr>
      </w:pPr>
      <w:r>
        <w:rPr>
          <w:rFonts w:ascii="Times New Roman" w:hAnsi="Times New Roman" w:cs="Times New Roman"/>
          <w:b/>
          <w:sz w:val="24"/>
          <w:szCs w:val="24"/>
        </w:rPr>
        <w:t>Centre of Policy Studies, Victoria University, Melbourne, Australia</w:t>
      </w:r>
    </w:p>
    <w:p w:rsidR="000418E3" w:rsidRDefault="005D5069" w:rsidP="000418E3">
      <w:pPr>
        <w:jc w:val="center"/>
        <w:rPr>
          <w:rFonts w:ascii="Times New Roman" w:hAnsi="Times New Roman" w:cs="Times New Roman"/>
          <w:b/>
          <w:sz w:val="24"/>
          <w:szCs w:val="24"/>
        </w:rPr>
      </w:pPr>
      <w:r>
        <w:rPr>
          <w:rFonts w:ascii="Times New Roman" w:hAnsi="Times New Roman" w:cs="Times New Roman"/>
          <w:b/>
          <w:sz w:val="24"/>
          <w:szCs w:val="24"/>
        </w:rPr>
        <w:t>April 9</w:t>
      </w:r>
      <w:r w:rsidR="006739B8">
        <w:rPr>
          <w:rFonts w:ascii="Times New Roman" w:hAnsi="Times New Roman" w:cs="Times New Roman"/>
          <w:b/>
          <w:sz w:val="24"/>
          <w:szCs w:val="24"/>
        </w:rPr>
        <w:t>, 2017</w:t>
      </w:r>
    </w:p>
    <w:p w:rsidR="000418E3" w:rsidRDefault="000418E3" w:rsidP="000418E3">
      <w:pPr>
        <w:spacing w:before="240"/>
        <w:rPr>
          <w:rFonts w:ascii="Times New Roman" w:hAnsi="Times New Roman" w:cs="Times New Roman"/>
          <w:b/>
          <w:sz w:val="24"/>
          <w:szCs w:val="24"/>
        </w:rPr>
      </w:pPr>
      <w:r w:rsidRPr="00A520FE">
        <w:rPr>
          <w:rFonts w:ascii="Times New Roman" w:hAnsi="Times New Roman" w:cs="Times New Roman"/>
          <w:b/>
          <w:sz w:val="24"/>
          <w:szCs w:val="24"/>
        </w:rPr>
        <w:t>Contents</w:t>
      </w:r>
    </w:p>
    <w:p w:rsidR="006A7BA9" w:rsidRDefault="006A7BA9" w:rsidP="006A7BA9">
      <w:pPr>
        <w:tabs>
          <w:tab w:val="right" w:pos="8931"/>
        </w:tabs>
        <w:rPr>
          <w:rFonts w:ascii="Times New Roman" w:hAnsi="Times New Roman" w:cs="Times New Roman"/>
          <w:sz w:val="24"/>
          <w:szCs w:val="24"/>
        </w:rPr>
      </w:pPr>
      <w:r>
        <w:rPr>
          <w:rFonts w:ascii="Times New Roman" w:hAnsi="Times New Roman" w:cs="Times New Roman"/>
        </w:rPr>
        <w:t>Acknowledgements</w:t>
      </w:r>
      <w:r>
        <w:rPr>
          <w:rFonts w:ascii="Times New Roman" w:hAnsi="Times New Roman" w:cs="Times New Roman"/>
          <w:sz w:val="24"/>
          <w:szCs w:val="24"/>
        </w:rPr>
        <w:tab/>
        <w:t>1</w:t>
      </w:r>
    </w:p>
    <w:p w:rsidR="005D5069" w:rsidRPr="003573B9" w:rsidRDefault="005D5069" w:rsidP="006A7BA9">
      <w:pPr>
        <w:tabs>
          <w:tab w:val="right" w:pos="8931"/>
        </w:tabs>
        <w:rPr>
          <w:rFonts w:ascii="Times New Roman" w:hAnsi="Times New Roman" w:cs="Times New Roman"/>
          <w:sz w:val="24"/>
          <w:szCs w:val="24"/>
        </w:rPr>
      </w:pPr>
      <w:r>
        <w:rPr>
          <w:rFonts w:ascii="Times New Roman" w:hAnsi="Times New Roman" w:cs="Times New Roman"/>
          <w:sz w:val="24"/>
          <w:szCs w:val="24"/>
        </w:rPr>
        <w:t>Abstract</w:t>
      </w:r>
      <w:r>
        <w:rPr>
          <w:rFonts w:ascii="Times New Roman" w:hAnsi="Times New Roman" w:cs="Times New Roman"/>
          <w:sz w:val="24"/>
          <w:szCs w:val="24"/>
        </w:rPr>
        <w:tab/>
        <w:t>1</w:t>
      </w:r>
    </w:p>
    <w:p w:rsidR="003573B9" w:rsidRPr="003573B9" w:rsidRDefault="003573B9" w:rsidP="00135E2B">
      <w:pPr>
        <w:tabs>
          <w:tab w:val="right" w:pos="8931"/>
        </w:tabs>
        <w:rPr>
          <w:rFonts w:ascii="Times New Roman" w:hAnsi="Times New Roman" w:cs="Times New Roman"/>
          <w:sz w:val="24"/>
          <w:szCs w:val="24"/>
        </w:rPr>
      </w:pPr>
      <w:r w:rsidRPr="00135E2B">
        <w:rPr>
          <w:rFonts w:ascii="Times New Roman" w:hAnsi="Times New Roman" w:cs="Times New Roman"/>
        </w:rPr>
        <w:t>Summary</w:t>
      </w:r>
      <w:r>
        <w:rPr>
          <w:rFonts w:ascii="Times New Roman" w:hAnsi="Times New Roman" w:cs="Times New Roman"/>
          <w:sz w:val="24"/>
          <w:szCs w:val="24"/>
        </w:rPr>
        <w:tab/>
        <w:t>2</w:t>
      </w:r>
    </w:p>
    <w:p w:rsidR="000418E3" w:rsidRPr="00135E2B" w:rsidRDefault="000418E3" w:rsidP="00135E2B">
      <w:pPr>
        <w:pStyle w:val="ListParagraph"/>
        <w:numPr>
          <w:ilvl w:val="0"/>
          <w:numId w:val="1"/>
        </w:numPr>
        <w:tabs>
          <w:tab w:val="right" w:pos="8931"/>
        </w:tabs>
        <w:ind w:left="567" w:hanging="567"/>
        <w:contextualSpacing w:val="0"/>
        <w:rPr>
          <w:rFonts w:ascii="Times New Roman" w:hAnsi="Times New Roman" w:cs="Times New Roman"/>
        </w:rPr>
      </w:pPr>
      <w:r w:rsidRPr="00135E2B">
        <w:rPr>
          <w:rFonts w:ascii="Times New Roman" w:hAnsi="Times New Roman" w:cs="Times New Roman"/>
        </w:rPr>
        <w:t>Introduction</w:t>
      </w:r>
      <w:r w:rsidR="003806B6" w:rsidRPr="00135E2B">
        <w:rPr>
          <w:rFonts w:ascii="Times New Roman" w:hAnsi="Times New Roman" w:cs="Times New Roman"/>
        </w:rPr>
        <w:tab/>
      </w:r>
      <w:r w:rsidR="006A7BA9">
        <w:rPr>
          <w:rFonts w:ascii="Times New Roman" w:hAnsi="Times New Roman" w:cs="Times New Roman"/>
        </w:rPr>
        <w:t>7</w:t>
      </w:r>
    </w:p>
    <w:p w:rsidR="003806B6" w:rsidRPr="00135E2B" w:rsidRDefault="003806B6" w:rsidP="003806B6">
      <w:pPr>
        <w:tabs>
          <w:tab w:val="left" w:pos="1134"/>
          <w:tab w:val="right" w:pos="8931"/>
        </w:tabs>
        <w:spacing w:before="0"/>
        <w:ind w:left="1134" w:hanging="567"/>
        <w:rPr>
          <w:rFonts w:ascii="Times New Roman" w:hAnsi="Times New Roman" w:cs="Times New Roman"/>
        </w:rPr>
      </w:pPr>
      <w:r w:rsidRPr="00135E2B">
        <w:rPr>
          <w:rFonts w:ascii="Times New Roman" w:hAnsi="Times New Roman" w:cs="Times New Roman"/>
          <w:i/>
        </w:rPr>
        <w:t xml:space="preserve">1.1.  </w:t>
      </w:r>
      <w:r w:rsidRPr="00135E2B">
        <w:rPr>
          <w:rFonts w:ascii="Times New Roman" w:hAnsi="Times New Roman" w:cs="Times New Roman"/>
          <w:i/>
        </w:rPr>
        <w:tab/>
      </w:r>
      <w:r w:rsidR="000418E3" w:rsidRPr="00135E2B">
        <w:rPr>
          <w:rFonts w:ascii="Times New Roman" w:hAnsi="Times New Roman" w:cs="Times New Roman"/>
          <w:i/>
        </w:rPr>
        <w:t xml:space="preserve">Converting scenarios for driving factors into outcomes for economic </w:t>
      </w:r>
      <w:r w:rsidRPr="00135E2B">
        <w:rPr>
          <w:rFonts w:ascii="Times New Roman" w:hAnsi="Times New Roman" w:cs="Times New Roman"/>
          <w:i/>
        </w:rPr>
        <w:tab/>
      </w:r>
      <w:r w:rsidR="006A7BA9">
        <w:rPr>
          <w:rFonts w:ascii="Times New Roman" w:hAnsi="Times New Roman" w:cs="Times New Roman"/>
        </w:rPr>
        <w:t>7</w:t>
      </w:r>
    </w:p>
    <w:p w:rsidR="000418E3" w:rsidRPr="00135E2B" w:rsidRDefault="003806B6" w:rsidP="003806B6">
      <w:pPr>
        <w:tabs>
          <w:tab w:val="left" w:pos="1134"/>
        </w:tabs>
        <w:spacing w:before="0"/>
        <w:ind w:left="1134" w:hanging="567"/>
        <w:rPr>
          <w:rFonts w:ascii="Times New Roman" w:hAnsi="Times New Roman" w:cs="Times New Roman"/>
          <w:i/>
        </w:rPr>
      </w:pPr>
      <w:r w:rsidRPr="00135E2B">
        <w:rPr>
          <w:rFonts w:ascii="Times New Roman" w:hAnsi="Times New Roman" w:cs="Times New Roman"/>
          <w:i/>
        </w:rPr>
        <w:tab/>
      </w:r>
      <w:r w:rsidR="000418E3" w:rsidRPr="00135E2B">
        <w:rPr>
          <w:rFonts w:ascii="Times New Roman" w:hAnsi="Times New Roman" w:cs="Times New Roman"/>
          <w:i/>
        </w:rPr>
        <w:t>implication variables</w:t>
      </w:r>
    </w:p>
    <w:p w:rsidR="000418E3" w:rsidRPr="00135E2B" w:rsidRDefault="000418E3" w:rsidP="003806B6">
      <w:pPr>
        <w:pStyle w:val="ListParagraph"/>
        <w:tabs>
          <w:tab w:val="left" w:pos="1134"/>
          <w:tab w:val="right" w:pos="8931"/>
        </w:tabs>
        <w:spacing w:before="0"/>
        <w:ind w:left="1134" w:hanging="567"/>
        <w:rPr>
          <w:rFonts w:ascii="Times New Roman" w:hAnsi="Times New Roman" w:cs="Times New Roman"/>
          <w:i/>
        </w:rPr>
      </w:pPr>
      <w:r w:rsidRPr="00135E2B">
        <w:rPr>
          <w:rFonts w:ascii="Times New Roman" w:hAnsi="Times New Roman" w:cs="Times New Roman"/>
          <w:i/>
        </w:rPr>
        <w:t xml:space="preserve">1.2.  </w:t>
      </w:r>
      <w:r w:rsidR="003806B6" w:rsidRPr="00135E2B">
        <w:rPr>
          <w:rFonts w:ascii="Times New Roman" w:hAnsi="Times New Roman" w:cs="Times New Roman"/>
          <w:i/>
        </w:rPr>
        <w:tab/>
      </w:r>
      <w:r w:rsidRPr="00135E2B">
        <w:rPr>
          <w:rFonts w:ascii="Times New Roman" w:hAnsi="Times New Roman" w:cs="Times New Roman"/>
          <w:i/>
        </w:rPr>
        <w:t xml:space="preserve">From </w:t>
      </w:r>
      <w:r w:rsidR="001E7F73" w:rsidRPr="00135E2B">
        <w:rPr>
          <w:rFonts w:ascii="Times New Roman" w:hAnsi="Times New Roman" w:cs="Times New Roman"/>
          <w:i/>
        </w:rPr>
        <w:t>ECAT</w:t>
      </w:r>
      <w:r w:rsidRPr="00135E2B">
        <w:rPr>
          <w:rFonts w:ascii="Times New Roman" w:hAnsi="Times New Roman" w:cs="Times New Roman"/>
          <w:i/>
        </w:rPr>
        <w:t xml:space="preserve"> to GRAD-ECAT</w:t>
      </w:r>
      <w:r w:rsidR="003806B6" w:rsidRPr="00135E2B">
        <w:rPr>
          <w:rFonts w:ascii="Times New Roman" w:hAnsi="Times New Roman" w:cs="Times New Roman"/>
          <w:i/>
        </w:rPr>
        <w:tab/>
      </w:r>
      <w:r w:rsidR="006A7BA9">
        <w:rPr>
          <w:rFonts w:ascii="Times New Roman" w:hAnsi="Times New Roman" w:cs="Times New Roman"/>
        </w:rPr>
        <w:t>8</w:t>
      </w:r>
    </w:p>
    <w:p w:rsidR="003806B6" w:rsidRPr="00135E2B" w:rsidRDefault="000418E3" w:rsidP="00135E2B">
      <w:pPr>
        <w:pStyle w:val="ListParagraph"/>
        <w:numPr>
          <w:ilvl w:val="0"/>
          <w:numId w:val="1"/>
        </w:numPr>
        <w:tabs>
          <w:tab w:val="right" w:pos="8931"/>
        </w:tabs>
        <w:ind w:left="567" w:hanging="567"/>
        <w:contextualSpacing w:val="0"/>
        <w:rPr>
          <w:rFonts w:ascii="Times New Roman" w:hAnsi="Times New Roman" w:cs="Times New Roman"/>
        </w:rPr>
      </w:pPr>
      <w:r w:rsidRPr="00135E2B">
        <w:rPr>
          <w:rFonts w:ascii="Times New Roman" w:hAnsi="Times New Roman" w:cs="Times New Roman"/>
        </w:rPr>
        <w:t xml:space="preserve">Computable General Equilibrium (CGE) modeling as an alternative to current </w:t>
      </w:r>
      <w:r w:rsidR="003806B6" w:rsidRPr="00135E2B">
        <w:rPr>
          <w:rFonts w:ascii="Times New Roman" w:hAnsi="Times New Roman" w:cs="Times New Roman"/>
        </w:rPr>
        <w:tab/>
      </w:r>
      <w:r w:rsidR="006A7BA9">
        <w:rPr>
          <w:rFonts w:ascii="Times New Roman" w:hAnsi="Times New Roman" w:cs="Times New Roman"/>
        </w:rPr>
        <w:t>10</w:t>
      </w:r>
    </w:p>
    <w:p w:rsidR="000418E3" w:rsidRPr="00135E2B" w:rsidRDefault="000418E3" w:rsidP="003806B6">
      <w:pPr>
        <w:pStyle w:val="ListParagraph"/>
        <w:ind w:left="567"/>
        <w:rPr>
          <w:rFonts w:ascii="Times New Roman" w:hAnsi="Times New Roman" w:cs="Times New Roman"/>
        </w:rPr>
      </w:pPr>
      <w:r w:rsidRPr="00135E2B">
        <w:rPr>
          <w:rFonts w:ascii="Times New Roman" w:hAnsi="Times New Roman" w:cs="Times New Roman"/>
        </w:rPr>
        <w:t xml:space="preserve">TRA practice based </w:t>
      </w:r>
      <w:r w:rsidR="00F9481B">
        <w:rPr>
          <w:rFonts w:ascii="Times New Roman" w:hAnsi="Times New Roman" w:cs="Times New Roman"/>
        </w:rPr>
        <w:t xml:space="preserve">on </w:t>
      </w:r>
      <w:r w:rsidRPr="00135E2B">
        <w:rPr>
          <w:rFonts w:ascii="Times New Roman" w:hAnsi="Times New Roman" w:cs="Times New Roman"/>
        </w:rPr>
        <w:t xml:space="preserve">input-output (I-O) modeling </w:t>
      </w:r>
    </w:p>
    <w:p w:rsidR="000418E3" w:rsidRPr="00135E2B" w:rsidRDefault="00673C6A" w:rsidP="00135E2B">
      <w:pPr>
        <w:pStyle w:val="ListParagraph"/>
        <w:numPr>
          <w:ilvl w:val="0"/>
          <w:numId w:val="1"/>
        </w:numPr>
        <w:tabs>
          <w:tab w:val="right" w:pos="8931"/>
        </w:tabs>
        <w:ind w:left="567" w:hanging="567"/>
        <w:contextualSpacing w:val="0"/>
        <w:rPr>
          <w:rFonts w:ascii="Times New Roman" w:hAnsi="Times New Roman" w:cs="Times New Roman"/>
        </w:rPr>
      </w:pPr>
      <w:r>
        <w:rPr>
          <w:rFonts w:ascii="Times New Roman" w:hAnsi="Times New Roman" w:cs="Times New Roman"/>
        </w:rPr>
        <w:t>The c</w:t>
      </w:r>
      <w:r w:rsidR="000418E3" w:rsidRPr="00135E2B">
        <w:rPr>
          <w:rFonts w:ascii="Times New Roman" w:hAnsi="Times New Roman" w:cs="Times New Roman"/>
        </w:rPr>
        <w:t xml:space="preserve">omputational and security </w:t>
      </w:r>
      <w:r w:rsidR="007E1789">
        <w:rPr>
          <w:rFonts w:ascii="Times New Roman" w:hAnsi="Times New Roman" w:cs="Times New Roman"/>
        </w:rPr>
        <w:t>challenges</w:t>
      </w:r>
      <w:r w:rsidR="000418E3" w:rsidRPr="00135E2B">
        <w:rPr>
          <w:rFonts w:ascii="Times New Roman" w:hAnsi="Times New Roman" w:cs="Times New Roman"/>
        </w:rPr>
        <w:t xml:space="preserve">: the elasticity solution   </w:t>
      </w:r>
      <w:r w:rsidR="003806B6" w:rsidRPr="00135E2B">
        <w:rPr>
          <w:rFonts w:ascii="Times New Roman" w:hAnsi="Times New Roman" w:cs="Times New Roman"/>
        </w:rPr>
        <w:tab/>
      </w:r>
      <w:r w:rsidR="006A7BA9">
        <w:rPr>
          <w:rFonts w:ascii="Times New Roman" w:hAnsi="Times New Roman" w:cs="Times New Roman"/>
        </w:rPr>
        <w:t>11</w:t>
      </w:r>
    </w:p>
    <w:p w:rsidR="000418E3" w:rsidRPr="00135E2B" w:rsidRDefault="000418E3" w:rsidP="00135E2B">
      <w:pPr>
        <w:pStyle w:val="ListParagraph"/>
        <w:numPr>
          <w:ilvl w:val="0"/>
          <w:numId w:val="1"/>
        </w:numPr>
        <w:tabs>
          <w:tab w:val="right" w:pos="8931"/>
        </w:tabs>
        <w:ind w:left="567" w:hanging="567"/>
        <w:contextualSpacing w:val="0"/>
        <w:rPr>
          <w:rFonts w:ascii="Times New Roman" w:hAnsi="Times New Roman" w:cs="Times New Roman"/>
        </w:rPr>
      </w:pPr>
      <w:r w:rsidRPr="00135E2B">
        <w:rPr>
          <w:rFonts w:ascii="Times New Roman" w:hAnsi="Times New Roman" w:cs="Times New Roman"/>
        </w:rPr>
        <w:t>USAGE-TERM, a flexible bottom-up regional model of the U.S.</w:t>
      </w:r>
      <w:r w:rsidR="003806B6" w:rsidRPr="00135E2B">
        <w:rPr>
          <w:rFonts w:ascii="Times New Roman" w:hAnsi="Times New Roman" w:cs="Times New Roman"/>
        </w:rPr>
        <w:tab/>
      </w:r>
      <w:r w:rsidR="006A7BA9">
        <w:rPr>
          <w:rFonts w:ascii="Times New Roman" w:hAnsi="Times New Roman" w:cs="Times New Roman"/>
        </w:rPr>
        <w:t>12</w:t>
      </w:r>
    </w:p>
    <w:p w:rsidR="000418E3" w:rsidRPr="00135E2B" w:rsidRDefault="000418E3" w:rsidP="00BF1E70">
      <w:pPr>
        <w:pStyle w:val="ListParagraph"/>
        <w:tabs>
          <w:tab w:val="left" w:pos="1134"/>
          <w:tab w:val="right" w:pos="8931"/>
        </w:tabs>
        <w:spacing w:before="240"/>
        <w:ind w:left="1134" w:hanging="567"/>
        <w:rPr>
          <w:rFonts w:ascii="Times New Roman" w:hAnsi="Times New Roman" w:cs="Times New Roman"/>
        </w:rPr>
      </w:pPr>
      <w:r w:rsidRPr="00135E2B">
        <w:rPr>
          <w:rFonts w:ascii="Times New Roman" w:hAnsi="Times New Roman" w:cs="Times New Roman"/>
          <w:i/>
        </w:rPr>
        <w:t xml:space="preserve">4.1  </w:t>
      </w:r>
      <w:r w:rsidR="003806B6" w:rsidRPr="00135E2B">
        <w:rPr>
          <w:rFonts w:ascii="Times New Roman" w:hAnsi="Times New Roman" w:cs="Times New Roman"/>
          <w:i/>
        </w:rPr>
        <w:tab/>
      </w:r>
      <w:r w:rsidRPr="00135E2B">
        <w:rPr>
          <w:rFonts w:ascii="Times New Roman" w:hAnsi="Times New Roman" w:cs="Times New Roman"/>
          <w:i/>
        </w:rPr>
        <w:t>The USAGE model</w:t>
      </w:r>
      <w:r w:rsidR="003806B6" w:rsidRPr="00135E2B">
        <w:rPr>
          <w:rFonts w:ascii="Times New Roman" w:hAnsi="Times New Roman" w:cs="Times New Roman"/>
          <w:i/>
        </w:rPr>
        <w:tab/>
      </w:r>
      <w:r w:rsidR="003806B6" w:rsidRPr="00135E2B">
        <w:rPr>
          <w:rFonts w:ascii="Times New Roman" w:hAnsi="Times New Roman" w:cs="Times New Roman"/>
        </w:rPr>
        <w:t>1</w:t>
      </w:r>
      <w:r w:rsidR="006A7BA9">
        <w:rPr>
          <w:rFonts w:ascii="Times New Roman" w:hAnsi="Times New Roman" w:cs="Times New Roman"/>
        </w:rPr>
        <w:t>2</w:t>
      </w:r>
    </w:p>
    <w:p w:rsidR="000418E3" w:rsidRPr="00135E2B" w:rsidRDefault="000418E3" w:rsidP="00BF1E70">
      <w:pPr>
        <w:pStyle w:val="ListParagraph"/>
        <w:tabs>
          <w:tab w:val="left" w:pos="1134"/>
          <w:tab w:val="right" w:pos="8931"/>
        </w:tabs>
        <w:spacing w:before="240"/>
        <w:ind w:left="1134" w:hanging="567"/>
        <w:rPr>
          <w:rFonts w:ascii="Times New Roman" w:hAnsi="Times New Roman" w:cs="Times New Roman"/>
        </w:rPr>
      </w:pPr>
      <w:r w:rsidRPr="00135E2B">
        <w:rPr>
          <w:rFonts w:ascii="Times New Roman" w:hAnsi="Times New Roman" w:cs="Times New Roman"/>
          <w:i/>
        </w:rPr>
        <w:t xml:space="preserve">4.2  </w:t>
      </w:r>
      <w:r w:rsidR="003806B6" w:rsidRPr="00135E2B">
        <w:rPr>
          <w:rFonts w:ascii="Times New Roman" w:hAnsi="Times New Roman" w:cs="Times New Roman"/>
          <w:i/>
        </w:rPr>
        <w:tab/>
      </w:r>
      <w:r w:rsidRPr="00135E2B">
        <w:rPr>
          <w:rFonts w:ascii="Times New Roman" w:hAnsi="Times New Roman" w:cs="Times New Roman"/>
          <w:i/>
        </w:rPr>
        <w:t>USAGE-TERM</w:t>
      </w:r>
      <w:r w:rsidR="003806B6" w:rsidRPr="00135E2B">
        <w:rPr>
          <w:rFonts w:ascii="Times New Roman" w:hAnsi="Times New Roman" w:cs="Times New Roman"/>
          <w:i/>
        </w:rPr>
        <w:tab/>
      </w:r>
      <w:r w:rsidR="003806B6" w:rsidRPr="00135E2B">
        <w:rPr>
          <w:rFonts w:ascii="Times New Roman" w:hAnsi="Times New Roman" w:cs="Times New Roman"/>
        </w:rPr>
        <w:t>1</w:t>
      </w:r>
      <w:r w:rsidR="006A7BA9">
        <w:rPr>
          <w:rFonts w:ascii="Times New Roman" w:hAnsi="Times New Roman" w:cs="Times New Roman"/>
        </w:rPr>
        <w:t>3</w:t>
      </w:r>
    </w:p>
    <w:p w:rsidR="000418E3" w:rsidRPr="00135E2B" w:rsidRDefault="000418E3" w:rsidP="00BF1E70">
      <w:pPr>
        <w:pStyle w:val="ListParagraph"/>
        <w:tabs>
          <w:tab w:val="left" w:pos="1134"/>
          <w:tab w:val="right" w:pos="8931"/>
        </w:tabs>
        <w:spacing w:before="240"/>
        <w:ind w:left="1134" w:hanging="567"/>
        <w:rPr>
          <w:rFonts w:ascii="Times New Roman" w:hAnsi="Times New Roman" w:cs="Times New Roman"/>
        </w:rPr>
      </w:pPr>
      <w:r w:rsidRPr="00135E2B">
        <w:rPr>
          <w:rFonts w:ascii="Times New Roman" w:hAnsi="Times New Roman" w:cs="Times New Roman"/>
          <w:i/>
        </w:rPr>
        <w:t xml:space="preserve">4.3  </w:t>
      </w:r>
      <w:r w:rsidR="003806B6" w:rsidRPr="00135E2B">
        <w:rPr>
          <w:rFonts w:ascii="Times New Roman" w:hAnsi="Times New Roman" w:cs="Times New Roman"/>
          <w:i/>
        </w:rPr>
        <w:tab/>
      </w:r>
      <w:r w:rsidRPr="00135E2B">
        <w:rPr>
          <w:rFonts w:ascii="Times New Roman" w:hAnsi="Times New Roman" w:cs="Times New Roman"/>
          <w:i/>
        </w:rPr>
        <w:t>Coping with huge dimensions via flexible aggregation</w:t>
      </w:r>
      <w:r w:rsidR="003806B6" w:rsidRPr="00135E2B">
        <w:rPr>
          <w:rFonts w:ascii="Times New Roman" w:hAnsi="Times New Roman" w:cs="Times New Roman"/>
          <w:i/>
        </w:rPr>
        <w:tab/>
      </w:r>
      <w:r w:rsidR="003806B6" w:rsidRPr="00135E2B">
        <w:rPr>
          <w:rFonts w:ascii="Times New Roman" w:hAnsi="Times New Roman" w:cs="Times New Roman"/>
        </w:rPr>
        <w:t>1</w:t>
      </w:r>
      <w:r w:rsidR="006A7BA9">
        <w:rPr>
          <w:rFonts w:ascii="Times New Roman" w:hAnsi="Times New Roman" w:cs="Times New Roman"/>
        </w:rPr>
        <w:t>4</w:t>
      </w:r>
    </w:p>
    <w:p w:rsidR="000418E3" w:rsidRPr="00135E2B" w:rsidRDefault="000418E3" w:rsidP="00BF1E70">
      <w:pPr>
        <w:pStyle w:val="ListParagraph"/>
        <w:tabs>
          <w:tab w:val="left" w:pos="1134"/>
          <w:tab w:val="right" w:pos="8931"/>
        </w:tabs>
        <w:spacing w:before="240"/>
        <w:ind w:left="1134" w:hanging="567"/>
        <w:rPr>
          <w:rFonts w:ascii="Times New Roman" w:hAnsi="Times New Roman" w:cs="Times New Roman"/>
        </w:rPr>
      </w:pPr>
      <w:r w:rsidRPr="00135E2B">
        <w:rPr>
          <w:rFonts w:ascii="Times New Roman" w:hAnsi="Times New Roman" w:cs="Times New Roman"/>
          <w:i/>
        </w:rPr>
        <w:t xml:space="preserve">4.4  </w:t>
      </w:r>
      <w:r w:rsidR="003806B6" w:rsidRPr="00135E2B">
        <w:rPr>
          <w:rFonts w:ascii="Times New Roman" w:hAnsi="Times New Roman" w:cs="Times New Roman"/>
          <w:i/>
        </w:rPr>
        <w:tab/>
      </w:r>
      <w:r w:rsidRPr="00135E2B">
        <w:rPr>
          <w:rFonts w:ascii="Times New Roman" w:hAnsi="Times New Roman" w:cs="Times New Roman"/>
          <w:i/>
        </w:rPr>
        <w:t>Simulations, baseline runs and perturbation runs</w:t>
      </w:r>
      <w:r w:rsidR="003806B6" w:rsidRPr="00135E2B">
        <w:rPr>
          <w:rFonts w:ascii="Times New Roman" w:hAnsi="Times New Roman" w:cs="Times New Roman"/>
          <w:i/>
        </w:rPr>
        <w:tab/>
      </w:r>
      <w:r w:rsidR="003806B6" w:rsidRPr="00135E2B">
        <w:rPr>
          <w:rFonts w:ascii="Times New Roman" w:hAnsi="Times New Roman" w:cs="Times New Roman"/>
        </w:rPr>
        <w:t>1</w:t>
      </w:r>
      <w:r w:rsidR="006A7BA9">
        <w:rPr>
          <w:rFonts w:ascii="Times New Roman" w:hAnsi="Times New Roman" w:cs="Times New Roman"/>
        </w:rPr>
        <w:t>4</w:t>
      </w:r>
    </w:p>
    <w:p w:rsidR="000418E3" w:rsidRPr="00135E2B" w:rsidRDefault="000418E3" w:rsidP="00135E2B">
      <w:pPr>
        <w:pStyle w:val="ListParagraph"/>
        <w:numPr>
          <w:ilvl w:val="0"/>
          <w:numId w:val="1"/>
        </w:numPr>
        <w:tabs>
          <w:tab w:val="right" w:pos="8931"/>
        </w:tabs>
        <w:ind w:left="567" w:hanging="567"/>
        <w:contextualSpacing w:val="0"/>
        <w:rPr>
          <w:rFonts w:ascii="Times New Roman" w:hAnsi="Times New Roman" w:cs="Times New Roman"/>
        </w:rPr>
      </w:pPr>
      <w:r w:rsidRPr="00135E2B">
        <w:rPr>
          <w:rFonts w:ascii="Times New Roman" w:hAnsi="Times New Roman" w:cs="Times New Roman"/>
        </w:rPr>
        <w:t>Measuring the welfare effects of a terrorism incident</w:t>
      </w:r>
      <w:r w:rsidR="003806B6" w:rsidRPr="00135E2B">
        <w:rPr>
          <w:rFonts w:ascii="Times New Roman" w:hAnsi="Times New Roman" w:cs="Times New Roman"/>
        </w:rPr>
        <w:tab/>
        <w:t>1</w:t>
      </w:r>
      <w:r w:rsidR="006A7BA9">
        <w:rPr>
          <w:rFonts w:ascii="Times New Roman" w:hAnsi="Times New Roman" w:cs="Times New Roman"/>
        </w:rPr>
        <w:t>4</w:t>
      </w:r>
    </w:p>
    <w:p w:rsidR="000418E3" w:rsidRPr="00135E2B" w:rsidRDefault="000418E3" w:rsidP="00135E2B">
      <w:pPr>
        <w:pStyle w:val="ListParagraph"/>
        <w:numPr>
          <w:ilvl w:val="0"/>
          <w:numId w:val="1"/>
        </w:numPr>
        <w:tabs>
          <w:tab w:val="right" w:pos="8931"/>
        </w:tabs>
        <w:ind w:left="567" w:hanging="567"/>
        <w:contextualSpacing w:val="0"/>
        <w:rPr>
          <w:rFonts w:ascii="Times New Roman" w:hAnsi="Times New Roman" w:cs="Times New Roman"/>
        </w:rPr>
      </w:pPr>
      <w:r w:rsidRPr="00135E2B">
        <w:rPr>
          <w:rFonts w:ascii="Times New Roman" w:hAnsi="Times New Roman" w:cs="Times New Roman"/>
        </w:rPr>
        <w:t>Estimating the elasticity coefficients, E</w:t>
      </w:r>
      <w:r w:rsidR="00673C6A">
        <w:rPr>
          <w:rFonts w:ascii="Times New Roman" w:hAnsi="Times New Roman" w:cs="Times New Roman"/>
          <w:vertAlign w:val="subscript"/>
        </w:rPr>
        <w:t>A</w:t>
      </w:r>
      <w:r w:rsidRPr="00135E2B">
        <w:rPr>
          <w:rFonts w:ascii="Times New Roman" w:hAnsi="Times New Roman" w:cs="Times New Roman"/>
        </w:rPr>
        <w:t>(s,d,v), using USAGE-TERM</w:t>
      </w:r>
      <w:r w:rsidR="003806B6" w:rsidRPr="00135E2B">
        <w:rPr>
          <w:rFonts w:ascii="Times New Roman" w:hAnsi="Times New Roman" w:cs="Times New Roman"/>
        </w:rPr>
        <w:tab/>
        <w:t>1</w:t>
      </w:r>
      <w:r w:rsidR="006A7BA9">
        <w:rPr>
          <w:rFonts w:ascii="Times New Roman" w:hAnsi="Times New Roman" w:cs="Times New Roman"/>
        </w:rPr>
        <w:t>8</w:t>
      </w:r>
    </w:p>
    <w:p w:rsidR="000418E3" w:rsidRPr="00135E2B" w:rsidRDefault="000418E3" w:rsidP="00BF1E70">
      <w:pPr>
        <w:pStyle w:val="ListParagraph"/>
        <w:tabs>
          <w:tab w:val="left" w:pos="1134"/>
          <w:tab w:val="right" w:pos="8931"/>
        </w:tabs>
        <w:spacing w:before="240"/>
        <w:ind w:left="1134" w:hanging="567"/>
        <w:rPr>
          <w:rFonts w:ascii="Times New Roman" w:hAnsi="Times New Roman" w:cs="Times New Roman"/>
        </w:rPr>
      </w:pPr>
      <w:r w:rsidRPr="00135E2B">
        <w:rPr>
          <w:rFonts w:ascii="Times New Roman" w:hAnsi="Times New Roman" w:cs="Times New Roman"/>
          <w:i/>
        </w:rPr>
        <w:t xml:space="preserve">6.1  </w:t>
      </w:r>
      <w:r w:rsidR="003806B6" w:rsidRPr="00135E2B">
        <w:rPr>
          <w:rFonts w:ascii="Times New Roman" w:hAnsi="Times New Roman" w:cs="Times New Roman"/>
          <w:i/>
        </w:rPr>
        <w:tab/>
      </w:r>
      <w:r w:rsidRPr="00135E2B">
        <w:rPr>
          <w:rFonts w:ascii="Times New Roman" w:hAnsi="Times New Roman" w:cs="Times New Roman"/>
          <w:i/>
        </w:rPr>
        <w:t xml:space="preserve">Turning </w:t>
      </w:r>
      <w:r w:rsidR="00F9481B">
        <w:rPr>
          <w:rFonts w:ascii="Times New Roman" w:hAnsi="Times New Roman" w:cs="Times New Roman"/>
          <w:i/>
        </w:rPr>
        <w:t>8</w:t>
      </w:r>
      <w:r w:rsidRPr="00135E2B">
        <w:rPr>
          <w:rFonts w:ascii="Times New Roman" w:hAnsi="Times New Roman" w:cs="Times New Roman"/>
          <w:i/>
        </w:rPr>
        <w:t xml:space="preserve"> matrices into </w:t>
      </w:r>
      <w:r w:rsidR="00F9481B">
        <w:rPr>
          <w:rFonts w:ascii="Times New Roman" w:hAnsi="Times New Roman" w:cs="Times New Roman"/>
          <w:i/>
        </w:rPr>
        <w:t>340</w:t>
      </w:r>
      <w:r w:rsidRPr="00135E2B">
        <w:rPr>
          <w:rFonts w:ascii="Times New Roman" w:hAnsi="Times New Roman" w:cs="Times New Roman"/>
          <w:i/>
        </w:rPr>
        <w:t xml:space="preserve"> matrices: the relevant variable approach</w:t>
      </w:r>
      <w:r w:rsidR="003806B6" w:rsidRPr="00135E2B">
        <w:rPr>
          <w:rFonts w:ascii="Times New Roman" w:hAnsi="Times New Roman" w:cs="Times New Roman"/>
          <w:i/>
        </w:rPr>
        <w:tab/>
      </w:r>
      <w:r w:rsidR="003806B6" w:rsidRPr="00135E2B">
        <w:rPr>
          <w:rFonts w:ascii="Times New Roman" w:hAnsi="Times New Roman" w:cs="Times New Roman"/>
        </w:rPr>
        <w:t>2</w:t>
      </w:r>
      <w:r w:rsidR="006A7BA9">
        <w:rPr>
          <w:rFonts w:ascii="Times New Roman" w:hAnsi="Times New Roman" w:cs="Times New Roman"/>
        </w:rPr>
        <w:t>8</w:t>
      </w:r>
    </w:p>
    <w:p w:rsidR="000418E3" w:rsidRPr="00135E2B" w:rsidRDefault="000418E3" w:rsidP="00BF1E70">
      <w:pPr>
        <w:pStyle w:val="ListParagraph"/>
        <w:tabs>
          <w:tab w:val="left" w:pos="1134"/>
          <w:tab w:val="right" w:pos="8931"/>
        </w:tabs>
        <w:spacing w:before="240"/>
        <w:ind w:left="1134" w:hanging="567"/>
        <w:rPr>
          <w:rFonts w:ascii="Times New Roman" w:hAnsi="Times New Roman" w:cs="Times New Roman"/>
        </w:rPr>
      </w:pPr>
      <w:r w:rsidRPr="00135E2B">
        <w:rPr>
          <w:rFonts w:ascii="Times New Roman" w:hAnsi="Times New Roman" w:cs="Times New Roman"/>
          <w:i/>
        </w:rPr>
        <w:t xml:space="preserve">6.2 </w:t>
      </w:r>
      <w:r w:rsidR="003806B6" w:rsidRPr="00135E2B">
        <w:rPr>
          <w:rFonts w:ascii="Times New Roman" w:hAnsi="Times New Roman" w:cs="Times New Roman"/>
          <w:i/>
        </w:rPr>
        <w:tab/>
      </w:r>
      <w:r w:rsidR="00673C6A">
        <w:rPr>
          <w:rFonts w:ascii="Times New Roman" w:hAnsi="Times New Roman" w:cs="Times New Roman"/>
          <w:i/>
        </w:rPr>
        <w:t>Sample elasticity matrices</w:t>
      </w:r>
      <w:r w:rsidR="003806B6" w:rsidRPr="00135E2B">
        <w:rPr>
          <w:rFonts w:ascii="Times New Roman" w:hAnsi="Times New Roman" w:cs="Times New Roman"/>
          <w:i/>
        </w:rPr>
        <w:tab/>
      </w:r>
      <w:r w:rsidR="00E42AF6">
        <w:rPr>
          <w:rFonts w:ascii="Times New Roman" w:hAnsi="Times New Roman" w:cs="Times New Roman"/>
        </w:rPr>
        <w:t>3</w:t>
      </w:r>
      <w:r w:rsidR="006A7BA9">
        <w:rPr>
          <w:rFonts w:ascii="Times New Roman" w:hAnsi="Times New Roman" w:cs="Times New Roman"/>
        </w:rPr>
        <w:t>1</w:t>
      </w:r>
    </w:p>
    <w:p w:rsidR="000418E3" w:rsidRPr="00135E2B" w:rsidRDefault="003806B6" w:rsidP="00135E2B">
      <w:pPr>
        <w:pStyle w:val="ListParagraph"/>
        <w:numPr>
          <w:ilvl w:val="0"/>
          <w:numId w:val="1"/>
        </w:numPr>
        <w:tabs>
          <w:tab w:val="right" w:pos="8931"/>
        </w:tabs>
        <w:ind w:left="567" w:hanging="567"/>
        <w:contextualSpacing w:val="0"/>
        <w:rPr>
          <w:rFonts w:ascii="Times New Roman" w:hAnsi="Times New Roman" w:cs="Times New Roman"/>
        </w:rPr>
      </w:pPr>
      <w:r w:rsidRPr="00135E2B">
        <w:rPr>
          <w:rFonts w:ascii="Times New Roman" w:hAnsi="Times New Roman" w:cs="Times New Roman"/>
        </w:rPr>
        <w:t xml:space="preserve">Computing the economic implications of three illustrative </w:t>
      </w:r>
      <w:r w:rsidR="00ED689C">
        <w:rPr>
          <w:rFonts w:ascii="Times New Roman" w:hAnsi="Times New Roman" w:cs="Times New Roman"/>
        </w:rPr>
        <w:t>scen</w:t>
      </w:r>
      <w:r w:rsidR="006A7BA9">
        <w:rPr>
          <w:rFonts w:ascii="Times New Roman" w:hAnsi="Times New Roman" w:cs="Times New Roman"/>
        </w:rPr>
        <w:t>ario</w:t>
      </w:r>
      <w:r w:rsidR="00ED689C">
        <w:rPr>
          <w:rFonts w:ascii="Times New Roman" w:hAnsi="Times New Roman" w:cs="Times New Roman"/>
        </w:rPr>
        <w:t>s</w:t>
      </w:r>
      <w:r w:rsidRPr="00135E2B">
        <w:rPr>
          <w:rFonts w:ascii="Times New Roman" w:hAnsi="Times New Roman" w:cs="Times New Roman"/>
        </w:rPr>
        <w:tab/>
        <w:t>3</w:t>
      </w:r>
      <w:r w:rsidR="006A7BA9">
        <w:rPr>
          <w:rFonts w:ascii="Times New Roman" w:hAnsi="Times New Roman" w:cs="Times New Roman"/>
        </w:rPr>
        <w:t>9</w:t>
      </w:r>
    </w:p>
    <w:p w:rsidR="000418E3" w:rsidRPr="00135E2B" w:rsidRDefault="000418E3" w:rsidP="00135E2B">
      <w:pPr>
        <w:pStyle w:val="ListParagraph"/>
        <w:numPr>
          <w:ilvl w:val="0"/>
          <w:numId w:val="1"/>
        </w:numPr>
        <w:tabs>
          <w:tab w:val="right" w:pos="8931"/>
        </w:tabs>
        <w:ind w:left="567" w:hanging="567"/>
        <w:contextualSpacing w:val="0"/>
        <w:rPr>
          <w:rFonts w:ascii="Times New Roman" w:hAnsi="Times New Roman" w:cs="Times New Roman"/>
        </w:rPr>
      </w:pPr>
      <w:r w:rsidRPr="00135E2B">
        <w:rPr>
          <w:rFonts w:ascii="Times New Roman" w:hAnsi="Times New Roman" w:cs="Times New Roman"/>
        </w:rPr>
        <w:t>Concluding remarks</w:t>
      </w:r>
      <w:r w:rsidR="003806B6" w:rsidRPr="00135E2B">
        <w:rPr>
          <w:rFonts w:ascii="Times New Roman" w:hAnsi="Times New Roman" w:cs="Times New Roman"/>
        </w:rPr>
        <w:tab/>
        <w:t>4</w:t>
      </w:r>
      <w:r w:rsidR="006A7BA9">
        <w:rPr>
          <w:rFonts w:ascii="Times New Roman" w:hAnsi="Times New Roman" w:cs="Times New Roman"/>
        </w:rPr>
        <w:t>7</w:t>
      </w:r>
    </w:p>
    <w:p w:rsidR="000418E3" w:rsidRPr="00E42AF6" w:rsidRDefault="000418E3" w:rsidP="00BF1E70">
      <w:pPr>
        <w:pStyle w:val="ListParagraph"/>
        <w:numPr>
          <w:ilvl w:val="1"/>
          <w:numId w:val="21"/>
        </w:numPr>
        <w:tabs>
          <w:tab w:val="left" w:pos="1134"/>
          <w:tab w:val="right" w:pos="8931"/>
        </w:tabs>
        <w:spacing w:before="240"/>
        <w:ind w:left="1134" w:hanging="567"/>
        <w:rPr>
          <w:rFonts w:ascii="Times New Roman" w:hAnsi="Times New Roman" w:cs="Times New Roman"/>
          <w:i/>
        </w:rPr>
      </w:pPr>
      <w:r w:rsidRPr="00135E2B">
        <w:rPr>
          <w:rFonts w:ascii="Times New Roman" w:hAnsi="Times New Roman" w:cs="Times New Roman"/>
          <w:i/>
        </w:rPr>
        <w:t xml:space="preserve"> </w:t>
      </w:r>
      <w:r w:rsidRPr="00E42AF6">
        <w:rPr>
          <w:rFonts w:ascii="Times New Roman" w:hAnsi="Times New Roman" w:cs="Times New Roman"/>
          <w:i/>
        </w:rPr>
        <w:t>Directions for future research</w:t>
      </w:r>
      <w:r w:rsidR="00897A46" w:rsidRPr="00E42AF6">
        <w:rPr>
          <w:rFonts w:ascii="Times New Roman" w:hAnsi="Times New Roman" w:cs="Times New Roman"/>
          <w:i/>
        </w:rPr>
        <w:tab/>
      </w:r>
      <w:r w:rsidR="00897A46" w:rsidRPr="00E42AF6">
        <w:rPr>
          <w:rFonts w:ascii="Times New Roman" w:hAnsi="Times New Roman" w:cs="Times New Roman"/>
        </w:rPr>
        <w:t>4</w:t>
      </w:r>
      <w:r w:rsidR="002562E9">
        <w:rPr>
          <w:rFonts w:ascii="Times New Roman" w:hAnsi="Times New Roman" w:cs="Times New Roman"/>
        </w:rPr>
        <w:t>8</w:t>
      </w:r>
    </w:p>
    <w:p w:rsidR="00A520FE" w:rsidRPr="00135E2B" w:rsidRDefault="00A520FE" w:rsidP="00135E2B">
      <w:pPr>
        <w:tabs>
          <w:tab w:val="left" w:pos="1418"/>
          <w:tab w:val="right" w:pos="8931"/>
        </w:tabs>
        <w:ind w:left="567" w:hanging="567"/>
        <w:rPr>
          <w:rFonts w:ascii="Times New Roman" w:hAnsi="Times New Roman" w:cs="Times New Roman"/>
        </w:rPr>
      </w:pPr>
      <w:r w:rsidRPr="00135E2B">
        <w:rPr>
          <w:rFonts w:ascii="Times New Roman" w:hAnsi="Times New Roman" w:cs="Times New Roman"/>
        </w:rPr>
        <w:t>Appendix 1</w:t>
      </w:r>
      <w:r w:rsidR="00F74757" w:rsidRPr="00135E2B">
        <w:rPr>
          <w:rFonts w:ascii="Times New Roman" w:hAnsi="Times New Roman" w:cs="Times New Roman"/>
        </w:rPr>
        <w:t xml:space="preserve">  </w:t>
      </w:r>
      <w:r w:rsidR="00F74757" w:rsidRPr="00135E2B">
        <w:rPr>
          <w:rFonts w:ascii="Times New Roman" w:hAnsi="Times New Roman" w:cs="Times New Roman"/>
        </w:rPr>
        <w:tab/>
        <w:t xml:space="preserve">Results for the proportionality coefficients and specification of </w:t>
      </w:r>
      <w:r w:rsidR="00F74757" w:rsidRPr="00135E2B">
        <w:rPr>
          <w:rFonts w:ascii="Times New Roman" w:hAnsi="Times New Roman" w:cs="Times New Roman"/>
        </w:rPr>
        <w:tab/>
        <w:t>4</w:t>
      </w:r>
      <w:r w:rsidR="006A7BA9">
        <w:rPr>
          <w:rFonts w:ascii="Times New Roman" w:hAnsi="Times New Roman" w:cs="Times New Roman"/>
        </w:rPr>
        <w:t>9</w:t>
      </w:r>
    </w:p>
    <w:p w:rsidR="00F74757" w:rsidRPr="00135E2B" w:rsidRDefault="00F74757" w:rsidP="00F74757">
      <w:pPr>
        <w:tabs>
          <w:tab w:val="left" w:pos="1418"/>
          <w:tab w:val="right" w:pos="8931"/>
        </w:tabs>
        <w:spacing w:before="0"/>
        <w:ind w:left="567" w:hanging="567"/>
        <w:rPr>
          <w:rFonts w:ascii="Times New Roman" w:hAnsi="Times New Roman" w:cs="Times New Roman"/>
        </w:rPr>
      </w:pPr>
      <w:r w:rsidRPr="00135E2B">
        <w:rPr>
          <w:rFonts w:ascii="Times New Roman" w:hAnsi="Times New Roman" w:cs="Times New Roman"/>
        </w:rPr>
        <w:tab/>
      </w:r>
      <w:r w:rsidRPr="00135E2B">
        <w:rPr>
          <w:rFonts w:ascii="Times New Roman" w:hAnsi="Times New Roman" w:cs="Times New Roman"/>
        </w:rPr>
        <w:tab/>
        <w:t xml:space="preserve">relevant variables  </w:t>
      </w:r>
      <w:r w:rsidRPr="00135E2B">
        <w:rPr>
          <w:rFonts w:ascii="Times New Roman" w:hAnsi="Times New Roman" w:cs="Times New Roman"/>
        </w:rPr>
        <w:tab/>
      </w:r>
    </w:p>
    <w:p w:rsidR="00F74757" w:rsidRPr="00135E2B" w:rsidRDefault="00F74757" w:rsidP="00F74757">
      <w:pPr>
        <w:pStyle w:val="ListParagraph"/>
        <w:tabs>
          <w:tab w:val="left" w:pos="1134"/>
          <w:tab w:val="right" w:pos="8931"/>
        </w:tabs>
        <w:spacing w:before="0"/>
        <w:ind w:left="1134" w:hanging="567"/>
        <w:contextualSpacing w:val="0"/>
        <w:rPr>
          <w:rFonts w:ascii="Times New Roman" w:hAnsi="Times New Roman" w:cs="Times New Roman"/>
        </w:rPr>
      </w:pPr>
      <w:r w:rsidRPr="00135E2B">
        <w:rPr>
          <w:rFonts w:ascii="Times New Roman" w:hAnsi="Times New Roman" w:cs="Times New Roman"/>
          <w:i/>
        </w:rPr>
        <w:t xml:space="preserve">A1.1 </w:t>
      </w:r>
      <w:r w:rsidRPr="00135E2B">
        <w:rPr>
          <w:rFonts w:ascii="Times New Roman" w:hAnsi="Times New Roman" w:cs="Times New Roman"/>
          <w:i/>
        </w:rPr>
        <w:tab/>
        <w:t xml:space="preserve">Overview of results for the proportionality </w:t>
      </w:r>
      <w:r w:rsidR="007E1789">
        <w:rPr>
          <w:rFonts w:ascii="Times New Roman" w:hAnsi="Times New Roman" w:cs="Times New Roman"/>
          <w:i/>
        </w:rPr>
        <w:t>coefficients</w:t>
      </w:r>
      <w:r w:rsidRPr="00135E2B">
        <w:rPr>
          <w:rFonts w:ascii="Times New Roman" w:hAnsi="Times New Roman" w:cs="Times New Roman"/>
          <w:i/>
        </w:rPr>
        <w:tab/>
      </w:r>
      <w:r w:rsidRPr="00135E2B">
        <w:rPr>
          <w:rFonts w:ascii="Times New Roman" w:hAnsi="Times New Roman" w:cs="Times New Roman"/>
        </w:rPr>
        <w:t>6</w:t>
      </w:r>
      <w:r w:rsidR="006A7BA9">
        <w:rPr>
          <w:rFonts w:ascii="Times New Roman" w:hAnsi="Times New Roman" w:cs="Times New Roman"/>
        </w:rPr>
        <w:t>4</w:t>
      </w:r>
    </w:p>
    <w:p w:rsidR="00F74757" w:rsidRPr="00135E2B" w:rsidRDefault="00F74757" w:rsidP="00F74757">
      <w:pPr>
        <w:pStyle w:val="ListParagraph"/>
        <w:tabs>
          <w:tab w:val="left" w:pos="1134"/>
          <w:tab w:val="right" w:pos="8931"/>
        </w:tabs>
        <w:spacing w:before="0"/>
        <w:ind w:left="1134" w:hanging="567"/>
        <w:contextualSpacing w:val="0"/>
        <w:rPr>
          <w:rFonts w:ascii="Times New Roman" w:hAnsi="Times New Roman" w:cs="Times New Roman"/>
        </w:rPr>
      </w:pPr>
      <w:r w:rsidRPr="00135E2B">
        <w:rPr>
          <w:rFonts w:ascii="Times New Roman" w:hAnsi="Times New Roman" w:cs="Times New Roman"/>
          <w:i/>
        </w:rPr>
        <w:t xml:space="preserve">A1.2 </w:t>
      </w:r>
      <w:r w:rsidRPr="00135E2B">
        <w:rPr>
          <w:rFonts w:ascii="Times New Roman" w:hAnsi="Times New Roman" w:cs="Times New Roman"/>
          <w:i/>
        </w:rPr>
        <w:tab/>
        <w:t>Notes on the relevant variables</w:t>
      </w:r>
      <w:r w:rsidRPr="00135E2B">
        <w:rPr>
          <w:rFonts w:ascii="Times New Roman" w:hAnsi="Times New Roman" w:cs="Times New Roman"/>
          <w:i/>
        </w:rPr>
        <w:tab/>
      </w:r>
      <w:r w:rsidR="00E42AF6">
        <w:rPr>
          <w:rFonts w:ascii="Times New Roman" w:hAnsi="Times New Roman" w:cs="Times New Roman"/>
        </w:rPr>
        <w:t>7</w:t>
      </w:r>
      <w:r w:rsidR="006A7BA9">
        <w:rPr>
          <w:rFonts w:ascii="Times New Roman" w:hAnsi="Times New Roman" w:cs="Times New Roman"/>
        </w:rPr>
        <w:t>1</w:t>
      </w:r>
    </w:p>
    <w:p w:rsidR="00F74757" w:rsidRPr="00135E2B" w:rsidRDefault="00F74757" w:rsidP="00135E2B">
      <w:pPr>
        <w:tabs>
          <w:tab w:val="left" w:pos="1418"/>
          <w:tab w:val="right" w:pos="8931"/>
        </w:tabs>
        <w:ind w:left="567" w:hanging="567"/>
        <w:rPr>
          <w:rFonts w:ascii="Times New Roman" w:hAnsi="Times New Roman" w:cs="Times New Roman"/>
        </w:rPr>
      </w:pPr>
      <w:r w:rsidRPr="00135E2B">
        <w:rPr>
          <w:rFonts w:ascii="Times New Roman" w:hAnsi="Times New Roman" w:cs="Times New Roman"/>
        </w:rPr>
        <w:t xml:space="preserve">Appendix 2  </w:t>
      </w:r>
      <w:r w:rsidRPr="00135E2B">
        <w:rPr>
          <w:rFonts w:ascii="Times New Roman" w:hAnsi="Times New Roman" w:cs="Times New Roman"/>
        </w:rPr>
        <w:tab/>
        <w:t xml:space="preserve">Archives: USAGE-TERM simulations, elasticity matrices and </w:t>
      </w:r>
      <w:r w:rsidRPr="00135E2B">
        <w:rPr>
          <w:rFonts w:ascii="Times New Roman" w:hAnsi="Times New Roman" w:cs="Times New Roman"/>
        </w:rPr>
        <w:tab/>
        <w:t>7</w:t>
      </w:r>
      <w:r w:rsidR="006A7BA9">
        <w:rPr>
          <w:rFonts w:ascii="Times New Roman" w:hAnsi="Times New Roman" w:cs="Times New Roman"/>
        </w:rPr>
        <w:t>3</w:t>
      </w:r>
    </w:p>
    <w:p w:rsidR="00F74757" w:rsidRPr="00135E2B" w:rsidRDefault="00F74757" w:rsidP="00F74757">
      <w:pPr>
        <w:tabs>
          <w:tab w:val="left" w:pos="1418"/>
          <w:tab w:val="right" w:pos="8931"/>
        </w:tabs>
        <w:spacing w:before="0"/>
        <w:ind w:left="567" w:hanging="567"/>
        <w:rPr>
          <w:rFonts w:ascii="Times New Roman" w:hAnsi="Times New Roman" w:cs="Times New Roman"/>
        </w:rPr>
      </w:pPr>
      <w:r w:rsidRPr="00135E2B">
        <w:rPr>
          <w:rFonts w:ascii="Times New Roman" w:hAnsi="Times New Roman" w:cs="Times New Roman"/>
        </w:rPr>
        <w:tab/>
      </w:r>
      <w:r w:rsidRPr="00135E2B">
        <w:rPr>
          <w:rFonts w:ascii="Times New Roman" w:hAnsi="Times New Roman" w:cs="Times New Roman"/>
        </w:rPr>
        <w:tab/>
        <w:t xml:space="preserve">contribution calculations  </w:t>
      </w:r>
      <w:r w:rsidRPr="00135E2B">
        <w:rPr>
          <w:rFonts w:ascii="Times New Roman" w:hAnsi="Times New Roman" w:cs="Times New Roman"/>
        </w:rPr>
        <w:tab/>
      </w:r>
    </w:p>
    <w:p w:rsidR="00F74757" w:rsidRPr="00135E2B" w:rsidRDefault="00F74757" w:rsidP="00F74757">
      <w:pPr>
        <w:pStyle w:val="ListParagraph"/>
        <w:tabs>
          <w:tab w:val="left" w:pos="1134"/>
          <w:tab w:val="right" w:pos="8931"/>
        </w:tabs>
        <w:spacing w:before="0"/>
        <w:ind w:left="1134" w:hanging="567"/>
        <w:contextualSpacing w:val="0"/>
        <w:rPr>
          <w:rFonts w:ascii="Times New Roman" w:hAnsi="Times New Roman" w:cs="Times New Roman"/>
        </w:rPr>
      </w:pPr>
      <w:r w:rsidRPr="00135E2B">
        <w:rPr>
          <w:rFonts w:ascii="Times New Roman" w:hAnsi="Times New Roman" w:cs="Times New Roman"/>
          <w:i/>
        </w:rPr>
        <w:t xml:space="preserve">A2.1 </w:t>
      </w:r>
      <w:r w:rsidRPr="00135E2B">
        <w:rPr>
          <w:rFonts w:ascii="Times New Roman" w:hAnsi="Times New Roman" w:cs="Times New Roman"/>
          <w:i/>
        </w:rPr>
        <w:tab/>
        <w:t>Restoring simulations from zip archive</w:t>
      </w:r>
      <w:r w:rsidRPr="00135E2B">
        <w:rPr>
          <w:rFonts w:ascii="Times New Roman" w:hAnsi="Times New Roman" w:cs="Times New Roman"/>
          <w:i/>
        </w:rPr>
        <w:tab/>
      </w:r>
      <w:r w:rsidRPr="00135E2B">
        <w:rPr>
          <w:rFonts w:ascii="Times New Roman" w:hAnsi="Times New Roman" w:cs="Times New Roman"/>
        </w:rPr>
        <w:t>7</w:t>
      </w:r>
      <w:r w:rsidR="006A7BA9">
        <w:rPr>
          <w:rFonts w:ascii="Times New Roman" w:hAnsi="Times New Roman" w:cs="Times New Roman"/>
        </w:rPr>
        <w:t>3</w:t>
      </w:r>
    </w:p>
    <w:p w:rsidR="00F74757" w:rsidRPr="00135E2B" w:rsidRDefault="00F74757" w:rsidP="00F74757">
      <w:pPr>
        <w:pStyle w:val="ListParagraph"/>
        <w:tabs>
          <w:tab w:val="left" w:pos="1134"/>
          <w:tab w:val="right" w:pos="8931"/>
        </w:tabs>
        <w:spacing w:before="0"/>
        <w:ind w:left="1134" w:hanging="567"/>
        <w:contextualSpacing w:val="0"/>
        <w:rPr>
          <w:rFonts w:ascii="Times New Roman" w:hAnsi="Times New Roman" w:cs="Times New Roman"/>
        </w:rPr>
      </w:pPr>
      <w:r w:rsidRPr="00135E2B">
        <w:rPr>
          <w:rFonts w:ascii="Times New Roman" w:hAnsi="Times New Roman" w:cs="Times New Roman"/>
          <w:i/>
        </w:rPr>
        <w:t xml:space="preserve">A2.2 </w:t>
      </w:r>
      <w:r w:rsidRPr="00135E2B">
        <w:rPr>
          <w:rFonts w:ascii="Times New Roman" w:hAnsi="Times New Roman" w:cs="Times New Roman"/>
          <w:i/>
        </w:rPr>
        <w:tab/>
        <w:t>Running the simulations</w:t>
      </w:r>
      <w:r w:rsidRPr="00135E2B">
        <w:rPr>
          <w:rFonts w:ascii="Times New Roman" w:hAnsi="Times New Roman" w:cs="Times New Roman"/>
          <w:i/>
        </w:rPr>
        <w:tab/>
      </w:r>
      <w:r w:rsidRPr="00135E2B">
        <w:rPr>
          <w:rFonts w:ascii="Times New Roman" w:hAnsi="Times New Roman" w:cs="Times New Roman"/>
        </w:rPr>
        <w:t>7</w:t>
      </w:r>
      <w:r w:rsidR="006A7BA9">
        <w:rPr>
          <w:rFonts w:ascii="Times New Roman" w:hAnsi="Times New Roman" w:cs="Times New Roman"/>
        </w:rPr>
        <w:t>4</w:t>
      </w:r>
    </w:p>
    <w:p w:rsidR="00F74757" w:rsidRPr="00135E2B" w:rsidRDefault="00F74757" w:rsidP="00F74757">
      <w:pPr>
        <w:pStyle w:val="ListParagraph"/>
        <w:tabs>
          <w:tab w:val="left" w:pos="1134"/>
          <w:tab w:val="right" w:pos="8931"/>
        </w:tabs>
        <w:spacing w:before="0"/>
        <w:ind w:left="1134" w:hanging="567"/>
        <w:contextualSpacing w:val="0"/>
        <w:rPr>
          <w:rFonts w:ascii="Times New Roman" w:hAnsi="Times New Roman" w:cs="Times New Roman"/>
        </w:rPr>
      </w:pPr>
      <w:r w:rsidRPr="00135E2B">
        <w:rPr>
          <w:rFonts w:ascii="Times New Roman" w:hAnsi="Times New Roman" w:cs="Times New Roman"/>
          <w:i/>
        </w:rPr>
        <w:t xml:space="preserve">A2.3 </w:t>
      </w:r>
      <w:r w:rsidRPr="00135E2B">
        <w:rPr>
          <w:rFonts w:ascii="Times New Roman" w:hAnsi="Times New Roman" w:cs="Times New Roman"/>
          <w:i/>
        </w:rPr>
        <w:tab/>
        <w:t>Processing solutions to p</w:t>
      </w:r>
      <w:r w:rsidR="00135E2B" w:rsidRPr="00135E2B">
        <w:rPr>
          <w:rFonts w:ascii="Times New Roman" w:hAnsi="Times New Roman" w:cs="Times New Roman"/>
          <w:i/>
        </w:rPr>
        <w:t>roduce elasticities E</w:t>
      </w:r>
      <w:r w:rsidR="00135E2B" w:rsidRPr="00135E2B">
        <w:rPr>
          <w:rFonts w:ascii="Times New Roman" w:hAnsi="Times New Roman" w:cs="Times New Roman"/>
          <w:i/>
          <w:vertAlign w:val="subscript"/>
        </w:rPr>
        <w:t>A</w:t>
      </w:r>
      <w:r w:rsidR="00135E2B" w:rsidRPr="00135E2B">
        <w:rPr>
          <w:rFonts w:ascii="Times New Roman" w:hAnsi="Times New Roman" w:cs="Times New Roman"/>
          <w:i/>
        </w:rPr>
        <w:t>(s,d,v) and contribuitions</w:t>
      </w:r>
      <w:r w:rsidRPr="00135E2B">
        <w:rPr>
          <w:rFonts w:ascii="Times New Roman" w:hAnsi="Times New Roman" w:cs="Times New Roman"/>
          <w:i/>
        </w:rPr>
        <w:tab/>
      </w:r>
      <w:r w:rsidR="00135E2B" w:rsidRPr="00135E2B">
        <w:rPr>
          <w:rFonts w:ascii="Times New Roman" w:hAnsi="Times New Roman" w:cs="Times New Roman"/>
        </w:rPr>
        <w:t>7</w:t>
      </w:r>
      <w:r w:rsidR="006A7BA9">
        <w:rPr>
          <w:rFonts w:ascii="Times New Roman" w:hAnsi="Times New Roman" w:cs="Times New Roman"/>
        </w:rPr>
        <w:t>4</w:t>
      </w:r>
    </w:p>
    <w:p w:rsidR="00A520FE" w:rsidRPr="00135E2B" w:rsidRDefault="00135E2B" w:rsidP="00135E2B">
      <w:pPr>
        <w:pStyle w:val="ListParagraph"/>
        <w:tabs>
          <w:tab w:val="left" w:pos="1134"/>
          <w:tab w:val="right" w:pos="8931"/>
        </w:tabs>
        <w:spacing w:before="0"/>
        <w:ind w:left="1134" w:hanging="567"/>
        <w:contextualSpacing w:val="0"/>
        <w:rPr>
          <w:rFonts w:ascii="Times New Roman" w:hAnsi="Times New Roman" w:cs="Times New Roman"/>
          <w:i/>
        </w:rPr>
      </w:pPr>
      <w:r w:rsidRPr="00135E2B">
        <w:rPr>
          <w:rFonts w:ascii="Times New Roman" w:hAnsi="Times New Roman" w:cs="Times New Roman"/>
          <w:i/>
        </w:rPr>
        <w:tab/>
        <w:t>of driving factors to economic implication variables</w:t>
      </w:r>
    </w:p>
    <w:p w:rsidR="00135E2B" w:rsidRPr="00135E2B" w:rsidRDefault="00135E2B" w:rsidP="00135E2B">
      <w:pPr>
        <w:tabs>
          <w:tab w:val="left" w:pos="1418"/>
          <w:tab w:val="right" w:pos="8931"/>
        </w:tabs>
        <w:spacing w:before="240"/>
        <w:ind w:left="567" w:hanging="567"/>
        <w:rPr>
          <w:rFonts w:ascii="Times New Roman" w:hAnsi="Times New Roman" w:cs="Times New Roman"/>
        </w:rPr>
      </w:pPr>
      <w:r w:rsidRPr="00135E2B">
        <w:rPr>
          <w:rFonts w:ascii="Times New Roman" w:hAnsi="Times New Roman" w:cs="Times New Roman"/>
        </w:rPr>
        <w:t xml:space="preserve">References  </w:t>
      </w:r>
      <w:r w:rsidRPr="00135E2B">
        <w:rPr>
          <w:rFonts w:ascii="Times New Roman" w:hAnsi="Times New Roman" w:cs="Times New Roman"/>
        </w:rPr>
        <w:tab/>
      </w:r>
      <w:r w:rsidRPr="00135E2B">
        <w:rPr>
          <w:rFonts w:ascii="Times New Roman" w:hAnsi="Times New Roman" w:cs="Times New Roman"/>
        </w:rPr>
        <w:tab/>
        <w:t>7</w:t>
      </w:r>
      <w:r w:rsidR="006A7BA9">
        <w:rPr>
          <w:rFonts w:ascii="Times New Roman" w:hAnsi="Times New Roman" w:cs="Times New Roman"/>
        </w:rPr>
        <w:t>5</w:t>
      </w:r>
    </w:p>
    <w:p w:rsidR="003573B9" w:rsidRDefault="003573B9" w:rsidP="00BF1E70">
      <w:pPr>
        <w:tabs>
          <w:tab w:val="right" w:pos="8931"/>
        </w:tabs>
        <w:spacing w:before="240"/>
        <w:ind w:left="567" w:hanging="567"/>
        <w:rPr>
          <w:rFonts w:ascii="Times New Roman" w:hAnsi="Times New Roman" w:cs="Times New Roman"/>
          <w:sz w:val="24"/>
          <w:szCs w:val="24"/>
        </w:rPr>
        <w:sectPr w:rsidR="003573B9" w:rsidSect="003573B9">
          <w:footerReference w:type="default" r:id="rId8"/>
          <w:pgSz w:w="11906" w:h="16838"/>
          <w:pgMar w:top="1440" w:right="1440" w:bottom="1440" w:left="1440" w:header="708" w:footer="708" w:gutter="0"/>
          <w:cols w:space="708"/>
          <w:titlePg/>
          <w:docGrid w:linePitch="360"/>
        </w:sectPr>
      </w:pPr>
    </w:p>
    <w:p w:rsidR="00FD7DB3" w:rsidRPr="00FD7DB3" w:rsidRDefault="00FD7DB3" w:rsidP="00FD7DB3">
      <w:pPr>
        <w:pStyle w:val="ListParagraph"/>
        <w:ind w:left="0"/>
        <w:contextualSpacing w:val="0"/>
        <w:rPr>
          <w:rFonts w:ascii="Times New Roman" w:hAnsi="Times New Roman" w:cs="Times New Roman"/>
          <w:b/>
          <w:sz w:val="24"/>
          <w:szCs w:val="24"/>
          <w:lang w:val="en-AU"/>
        </w:rPr>
      </w:pPr>
      <w:r>
        <w:rPr>
          <w:rFonts w:ascii="Times New Roman" w:hAnsi="Times New Roman" w:cs="Times New Roman"/>
          <w:b/>
          <w:sz w:val="24"/>
          <w:szCs w:val="24"/>
          <w:lang w:val="en-AU"/>
        </w:rPr>
        <w:lastRenderedPageBreak/>
        <w:t>Acknowledgement</w:t>
      </w:r>
      <w:r w:rsidR="00615065">
        <w:rPr>
          <w:rFonts w:ascii="Times New Roman" w:hAnsi="Times New Roman" w:cs="Times New Roman"/>
          <w:b/>
          <w:sz w:val="24"/>
          <w:szCs w:val="24"/>
          <w:lang w:val="en-AU"/>
        </w:rPr>
        <w:t>s</w:t>
      </w:r>
    </w:p>
    <w:p w:rsidR="00FD7DB3" w:rsidRDefault="00FD7DB3" w:rsidP="00FD7DB3">
      <w:pPr>
        <w:pStyle w:val="ListParagraph"/>
        <w:ind w:left="0"/>
        <w:contextualSpacing w:val="0"/>
        <w:rPr>
          <w:rFonts w:ascii="Times New Roman" w:hAnsi="Times New Roman" w:cs="Times New Roman"/>
          <w:sz w:val="24"/>
          <w:szCs w:val="24"/>
          <w:lang w:val="en-AU"/>
        </w:rPr>
      </w:pPr>
      <w:r w:rsidRPr="0065165A">
        <w:rPr>
          <w:rFonts w:ascii="Times New Roman" w:hAnsi="Times New Roman" w:cs="Times New Roman"/>
          <w:sz w:val="24"/>
          <w:szCs w:val="24"/>
          <w:lang w:val="en-AU"/>
        </w:rPr>
        <w:t xml:space="preserve">This project </w:t>
      </w:r>
      <w:r w:rsidR="00615065">
        <w:rPr>
          <w:rFonts w:ascii="Times New Roman" w:hAnsi="Times New Roman" w:cs="Times New Roman"/>
          <w:sz w:val="24"/>
          <w:szCs w:val="24"/>
          <w:lang w:val="en-AU"/>
        </w:rPr>
        <w:t>was</w:t>
      </w:r>
      <w:r w:rsidRPr="0065165A">
        <w:rPr>
          <w:rFonts w:ascii="Times New Roman" w:hAnsi="Times New Roman" w:cs="Times New Roman"/>
          <w:sz w:val="24"/>
          <w:szCs w:val="24"/>
          <w:lang w:val="en-AU"/>
        </w:rPr>
        <w:t xml:space="preserve"> </w:t>
      </w:r>
      <w:r w:rsidR="00615065">
        <w:rPr>
          <w:rFonts w:ascii="Times New Roman" w:hAnsi="Times New Roman" w:cs="Times New Roman"/>
          <w:sz w:val="24"/>
          <w:szCs w:val="24"/>
          <w:lang w:val="en-AU"/>
        </w:rPr>
        <w:t>carried out</w:t>
      </w:r>
      <w:r w:rsidRPr="0065165A">
        <w:rPr>
          <w:rFonts w:ascii="Times New Roman" w:hAnsi="Times New Roman" w:cs="Times New Roman"/>
          <w:sz w:val="24"/>
          <w:szCs w:val="24"/>
          <w:lang w:val="en-AU"/>
        </w:rPr>
        <w:t xml:space="preserve"> over the last year by the Centre of Policy Studies, Victoria University, Australia, under a sub-award from CREATE at the University of Southern California on a contract from DHS.  We received excellent administrative support from CREATE and </w:t>
      </w:r>
      <w:r w:rsidR="00FB119C">
        <w:rPr>
          <w:rFonts w:ascii="Times New Roman" w:hAnsi="Times New Roman" w:cs="Times New Roman"/>
          <w:sz w:val="24"/>
          <w:szCs w:val="24"/>
          <w:lang w:val="en-AU"/>
        </w:rPr>
        <w:t xml:space="preserve">valuable </w:t>
      </w:r>
      <w:r w:rsidRPr="0065165A">
        <w:rPr>
          <w:rFonts w:ascii="Times New Roman" w:hAnsi="Times New Roman" w:cs="Times New Roman"/>
          <w:sz w:val="24"/>
          <w:szCs w:val="24"/>
          <w:lang w:val="en-AU"/>
        </w:rPr>
        <w:t xml:space="preserve">advice throughout the project from Scott Farrow (economics director at CREATE).  </w:t>
      </w:r>
      <w:r>
        <w:rPr>
          <w:rFonts w:ascii="Times New Roman" w:hAnsi="Times New Roman" w:cs="Times New Roman"/>
          <w:sz w:val="24"/>
          <w:szCs w:val="24"/>
          <w:lang w:val="en-AU"/>
        </w:rPr>
        <w:t xml:space="preserve">Tony Cheesebrough from DHS Headquarters was extremely helpful in setting up the project.  In </w:t>
      </w:r>
      <w:r w:rsidR="00615065">
        <w:rPr>
          <w:rFonts w:ascii="Times New Roman" w:hAnsi="Times New Roman" w:cs="Times New Roman"/>
          <w:sz w:val="24"/>
          <w:szCs w:val="24"/>
          <w:lang w:val="en-AU"/>
        </w:rPr>
        <w:t>working on</w:t>
      </w:r>
      <w:r>
        <w:rPr>
          <w:rFonts w:ascii="Times New Roman" w:hAnsi="Times New Roman" w:cs="Times New Roman"/>
          <w:sz w:val="24"/>
          <w:szCs w:val="24"/>
          <w:lang w:val="en-AU"/>
        </w:rPr>
        <w:t xml:space="preserve"> the project we benefited from enthusiastic encouragement from the TRAs, particularly from the project managers Jessica Cox and Scott White.  Throughout the project we enjoyed close collaboration with Battelle’s Dave Winkel.  </w:t>
      </w:r>
    </w:p>
    <w:p w:rsidR="005D5069" w:rsidRDefault="005D5069" w:rsidP="00FD7DB3">
      <w:pPr>
        <w:pStyle w:val="ListParagraph"/>
        <w:ind w:left="0"/>
        <w:contextualSpacing w:val="0"/>
        <w:rPr>
          <w:rFonts w:ascii="Times New Roman" w:hAnsi="Times New Roman" w:cs="Times New Roman"/>
          <w:sz w:val="24"/>
          <w:szCs w:val="24"/>
          <w:lang w:val="en-AU"/>
        </w:rPr>
      </w:pPr>
    </w:p>
    <w:p w:rsidR="005D5069" w:rsidRDefault="005D5069" w:rsidP="00FD7DB3">
      <w:pPr>
        <w:pStyle w:val="ListParagraph"/>
        <w:ind w:left="0"/>
        <w:contextualSpacing w:val="0"/>
        <w:rPr>
          <w:rFonts w:ascii="Times New Roman" w:hAnsi="Times New Roman" w:cs="Times New Roman"/>
          <w:sz w:val="24"/>
          <w:szCs w:val="24"/>
          <w:lang w:val="en-AU"/>
        </w:rPr>
      </w:pPr>
    </w:p>
    <w:p w:rsidR="005D5069" w:rsidRDefault="005D5069" w:rsidP="00FD7DB3">
      <w:pPr>
        <w:pStyle w:val="ListParagraph"/>
        <w:ind w:left="0"/>
        <w:contextualSpacing w:val="0"/>
        <w:rPr>
          <w:rFonts w:ascii="Times New Roman" w:hAnsi="Times New Roman" w:cs="Times New Roman"/>
          <w:b/>
          <w:sz w:val="24"/>
          <w:szCs w:val="24"/>
          <w:lang w:val="en-AU"/>
        </w:rPr>
      </w:pPr>
      <w:r>
        <w:rPr>
          <w:rFonts w:ascii="Times New Roman" w:hAnsi="Times New Roman" w:cs="Times New Roman"/>
          <w:b/>
          <w:sz w:val="24"/>
          <w:szCs w:val="24"/>
          <w:lang w:val="en-AU"/>
        </w:rPr>
        <w:t>Abstract:</w:t>
      </w:r>
    </w:p>
    <w:p w:rsidR="005D5069" w:rsidRPr="003B4927" w:rsidRDefault="005D5069" w:rsidP="005D5069">
      <w:pPr>
        <w:ind w:left="142"/>
        <w:rPr>
          <w:rFonts w:ascii="Times New Roman" w:hAnsi="Times New Roman" w:cs="Times New Roman"/>
          <w:sz w:val="24"/>
          <w:szCs w:val="24"/>
        </w:rPr>
      </w:pPr>
      <w:r w:rsidRPr="003B4927">
        <w:rPr>
          <w:rFonts w:ascii="Times New Roman" w:hAnsi="Times New Roman" w:cs="Times New Roman"/>
          <w:sz w:val="24"/>
          <w:szCs w:val="24"/>
        </w:rPr>
        <w:t>The Terrorism Risk Assessment (TRA) groups in the Department of Homeland Security assess millions of terrorism scenarios</w:t>
      </w:r>
      <w:r>
        <w:rPr>
          <w:rFonts w:ascii="Times New Roman" w:hAnsi="Times New Roman" w:cs="Times New Roman"/>
          <w:sz w:val="24"/>
          <w:szCs w:val="24"/>
        </w:rPr>
        <w:t xml:space="preserve"> defined by</w:t>
      </w:r>
      <w:r w:rsidRPr="003B4927">
        <w:rPr>
          <w:rFonts w:ascii="Times New Roman" w:hAnsi="Times New Roman" w:cs="Times New Roman"/>
          <w:sz w:val="24"/>
          <w:szCs w:val="24"/>
        </w:rPr>
        <w:t xml:space="preserve"> location</w:t>
      </w:r>
      <w:r>
        <w:rPr>
          <w:rFonts w:ascii="Times New Roman" w:hAnsi="Times New Roman" w:cs="Times New Roman"/>
          <w:sz w:val="24"/>
          <w:szCs w:val="24"/>
        </w:rPr>
        <w:t>,</w:t>
      </w:r>
      <w:r w:rsidRPr="003B4927">
        <w:rPr>
          <w:rFonts w:ascii="Times New Roman" w:hAnsi="Times New Roman" w:cs="Times New Roman"/>
          <w:sz w:val="24"/>
          <w:szCs w:val="24"/>
        </w:rPr>
        <w:t xml:space="preserve"> agent (e.g. nuclear device)</w:t>
      </w:r>
      <w:r>
        <w:rPr>
          <w:rFonts w:ascii="Times New Roman" w:hAnsi="Times New Roman" w:cs="Times New Roman"/>
          <w:sz w:val="24"/>
          <w:szCs w:val="24"/>
        </w:rPr>
        <w:t>,</w:t>
      </w:r>
      <w:r w:rsidRPr="003B4927">
        <w:rPr>
          <w:rFonts w:ascii="Times New Roman" w:hAnsi="Times New Roman" w:cs="Times New Roman"/>
          <w:sz w:val="24"/>
          <w:szCs w:val="24"/>
        </w:rPr>
        <w:t xml:space="preserve"> and delivery method (e.g. car bomb).</w:t>
      </w:r>
      <w:r>
        <w:rPr>
          <w:rFonts w:ascii="Times New Roman" w:hAnsi="Times New Roman" w:cs="Times New Roman"/>
          <w:sz w:val="24"/>
          <w:szCs w:val="24"/>
        </w:rPr>
        <w:t xml:space="preserve"> </w:t>
      </w:r>
      <w:r w:rsidRPr="003B4927">
        <w:rPr>
          <w:rFonts w:ascii="Times New Roman" w:hAnsi="Times New Roman" w:cs="Times New Roman"/>
          <w:sz w:val="24"/>
          <w:szCs w:val="24"/>
        </w:rPr>
        <w:t>For each scenario the</w:t>
      </w:r>
      <w:r>
        <w:rPr>
          <w:rFonts w:ascii="Times New Roman" w:hAnsi="Times New Roman" w:cs="Times New Roman"/>
          <w:sz w:val="24"/>
          <w:szCs w:val="24"/>
        </w:rPr>
        <w:t>y</w:t>
      </w:r>
      <w:r w:rsidRPr="003B4927">
        <w:rPr>
          <w:rFonts w:ascii="Times New Roman" w:hAnsi="Times New Roman" w:cs="Times New Roman"/>
          <w:sz w:val="24"/>
          <w:szCs w:val="24"/>
        </w:rPr>
        <w:t xml:space="preserve"> estimate deaths</w:t>
      </w:r>
      <w:r>
        <w:rPr>
          <w:rFonts w:ascii="Times New Roman" w:hAnsi="Times New Roman" w:cs="Times New Roman"/>
          <w:sz w:val="24"/>
          <w:szCs w:val="24"/>
        </w:rPr>
        <w:t>,</w:t>
      </w:r>
      <w:r w:rsidRPr="003B4927">
        <w:rPr>
          <w:rFonts w:ascii="Times New Roman" w:hAnsi="Times New Roman" w:cs="Times New Roman"/>
          <w:sz w:val="24"/>
          <w:szCs w:val="24"/>
        </w:rPr>
        <w:t xml:space="preserve"> injuries, property damage, clean-up </w:t>
      </w:r>
      <w:r>
        <w:rPr>
          <w:rFonts w:ascii="Times New Roman" w:hAnsi="Times New Roman" w:cs="Times New Roman"/>
          <w:sz w:val="24"/>
          <w:szCs w:val="24"/>
        </w:rPr>
        <w:t xml:space="preserve">and </w:t>
      </w:r>
      <w:r w:rsidRPr="003B4927">
        <w:rPr>
          <w:rFonts w:ascii="Times New Roman" w:hAnsi="Times New Roman" w:cs="Times New Roman"/>
          <w:sz w:val="24"/>
          <w:szCs w:val="24"/>
        </w:rPr>
        <w:t>health expen</w:t>
      </w:r>
      <w:r>
        <w:rPr>
          <w:rFonts w:ascii="Times New Roman" w:hAnsi="Times New Roman" w:cs="Times New Roman"/>
          <w:sz w:val="24"/>
          <w:szCs w:val="24"/>
        </w:rPr>
        <w:t>se</w:t>
      </w:r>
      <w:r w:rsidRPr="003B4927">
        <w:rPr>
          <w:rFonts w:ascii="Times New Roman" w:hAnsi="Times New Roman" w:cs="Times New Roman"/>
          <w:sz w:val="24"/>
          <w:szCs w:val="24"/>
        </w:rPr>
        <w:t>s, visitor discouragement, and other damage dimensions.</w:t>
      </w:r>
      <w:r>
        <w:rPr>
          <w:rFonts w:ascii="Times New Roman" w:hAnsi="Times New Roman" w:cs="Times New Roman"/>
          <w:sz w:val="24"/>
          <w:szCs w:val="24"/>
        </w:rPr>
        <w:t xml:space="preserve"> </w:t>
      </w:r>
      <w:r w:rsidRPr="003B4927">
        <w:rPr>
          <w:rFonts w:ascii="Times New Roman" w:hAnsi="Times New Roman" w:cs="Times New Roman"/>
          <w:sz w:val="24"/>
          <w:szCs w:val="24"/>
        </w:rPr>
        <w:t xml:space="preserve">The TRA groups translate </w:t>
      </w:r>
      <w:r>
        <w:rPr>
          <w:rFonts w:ascii="Times New Roman" w:hAnsi="Times New Roman" w:cs="Times New Roman"/>
          <w:sz w:val="24"/>
          <w:szCs w:val="24"/>
        </w:rPr>
        <w:t xml:space="preserve">damages </w:t>
      </w:r>
      <w:r w:rsidRPr="003B4927">
        <w:rPr>
          <w:rFonts w:ascii="Times New Roman" w:hAnsi="Times New Roman" w:cs="Times New Roman"/>
          <w:sz w:val="24"/>
          <w:szCs w:val="24"/>
        </w:rPr>
        <w:t>into economic measures, e.g. loss of GDP.</w:t>
      </w:r>
      <w:r>
        <w:rPr>
          <w:rFonts w:ascii="Times New Roman" w:hAnsi="Times New Roman" w:cs="Times New Roman"/>
          <w:sz w:val="24"/>
          <w:szCs w:val="24"/>
        </w:rPr>
        <w:t xml:space="preserve"> Previously </w:t>
      </w:r>
      <w:r w:rsidRPr="003B4927">
        <w:rPr>
          <w:rFonts w:ascii="Times New Roman" w:hAnsi="Times New Roman" w:cs="Times New Roman"/>
          <w:sz w:val="24"/>
          <w:szCs w:val="24"/>
        </w:rPr>
        <w:t xml:space="preserve">they </w:t>
      </w:r>
      <w:r>
        <w:rPr>
          <w:rFonts w:ascii="Times New Roman" w:hAnsi="Times New Roman" w:cs="Times New Roman"/>
          <w:sz w:val="24"/>
          <w:szCs w:val="24"/>
        </w:rPr>
        <w:t>used</w:t>
      </w:r>
      <w:r w:rsidRPr="003B4927">
        <w:rPr>
          <w:rFonts w:ascii="Times New Roman" w:hAnsi="Times New Roman" w:cs="Times New Roman"/>
          <w:sz w:val="24"/>
          <w:szCs w:val="24"/>
        </w:rPr>
        <w:t xml:space="preserve"> an input-output</w:t>
      </w:r>
      <w:r>
        <w:rPr>
          <w:rFonts w:ascii="Times New Roman" w:hAnsi="Times New Roman" w:cs="Times New Roman"/>
          <w:sz w:val="24"/>
          <w:szCs w:val="24"/>
        </w:rPr>
        <w:t xml:space="preserve"> </w:t>
      </w:r>
      <w:r w:rsidRPr="003B4927">
        <w:rPr>
          <w:rFonts w:ascii="Times New Roman" w:hAnsi="Times New Roman" w:cs="Times New Roman"/>
          <w:sz w:val="24"/>
          <w:szCs w:val="24"/>
        </w:rPr>
        <w:t>(I-O) model.</w:t>
      </w:r>
      <w:r>
        <w:rPr>
          <w:rFonts w:ascii="Times New Roman" w:hAnsi="Times New Roman" w:cs="Times New Roman"/>
          <w:sz w:val="24"/>
          <w:szCs w:val="24"/>
        </w:rPr>
        <w:t xml:space="preserve"> Here we</w:t>
      </w:r>
      <w:r w:rsidRPr="003B4927">
        <w:rPr>
          <w:rFonts w:ascii="Times New Roman" w:hAnsi="Times New Roman" w:cs="Times New Roman"/>
          <w:sz w:val="24"/>
          <w:szCs w:val="24"/>
        </w:rPr>
        <w:t xml:space="preserve"> </w:t>
      </w:r>
      <w:r>
        <w:rPr>
          <w:rFonts w:ascii="Times New Roman" w:hAnsi="Times New Roman" w:cs="Times New Roman"/>
          <w:sz w:val="24"/>
          <w:szCs w:val="24"/>
        </w:rPr>
        <w:t>replace</w:t>
      </w:r>
      <w:r w:rsidRPr="003B4927">
        <w:rPr>
          <w:rFonts w:ascii="Times New Roman" w:hAnsi="Times New Roman" w:cs="Times New Roman"/>
          <w:sz w:val="24"/>
          <w:szCs w:val="24"/>
        </w:rPr>
        <w:t xml:space="preserve"> I-O with computable general equilibrium (CGE).</w:t>
      </w:r>
      <w:r>
        <w:rPr>
          <w:rFonts w:ascii="Times New Roman" w:hAnsi="Times New Roman" w:cs="Times New Roman"/>
          <w:sz w:val="24"/>
          <w:szCs w:val="24"/>
        </w:rPr>
        <w:t xml:space="preserve"> </w:t>
      </w:r>
    </w:p>
    <w:p w:rsidR="005D5069" w:rsidRPr="003B4927" w:rsidRDefault="005D5069" w:rsidP="005D5069">
      <w:pPr>
        <w:ind w:left="142"/>
        <w:rPr>
          <w:rFonts w:ascii="Times New Roman" w:hAnsi="Times New Roman" w:cs="Times New Roman"/>
          <w:sz w:val="24"/>
          <w:szCs w:val="24"/>
        </w:rPr>
      </w:pPr>
      <w:r w:rsidRPr="003B4927">
        <w:rPr>
          <w:rFonts w:ascii="Times New Roman" w:hAnsi="Times New Roman" w:cs="Times New Roman"/>
          <w:sz w:val="24"/>
          <w:szCs w:val="24"/>
        </w:rPr>
        <w:t>Solving CGE models is computationally time-consuming</w:t>
      </w:r>
      <w:r>
        <w:rPr>
          <w:rFonts w:ascii="Times New Roman" w:hAnsi="Times New Roman" w:cs="Times New Roman"/>
          <w:sz w:val="24"/>
          <w:szCs w:val="24"/>
        </w:rPr>
        <w:t xml:space="preserve"> and</w:t>
      </w:r>
      <w:r w:rsidRPr="003B4927">
        <w:rPr>
          <w:rFonts w:ascii="Times New Roman" w:hAnsi="Times New Roman" w:cs="Times New Roman"/>
          <w:sz w:val="24"/>
          <w:szCs w:val="24"/>
        </w:rPr>
        <w:t xml:space="preserve"> require</w:t>
      </w:r>
      <w:r>
        <w:rPr>
          <w:rFonts w:ascii="Times New Roman" w:hAnsi="Times New Roman" w:cs="Times New Roman"/>
          <w:sz w:val="24"/>
          <w:szCs w:val="24"/>
        </w:rPr>
        <w:t>s</w:t>
      </w:r>
      <w:r w:rsidRPr="003B4927">
        <w:rPr>
          <w:rFonts w:ascii="Times New Roman" w:hAnsi="Times New Roman" w:cs="Times New Roman"/>
          <w:sz w:val="24"/>
          <w:szCs w:val="24"/>
        </w:rPr>
        <w:t xml:space="preserve"> specialist skills.</w:t>
      </w:r>
      <w:r>
        <w:rPr>
          <w:rFonts w:ascii="Times New Roman" w:hAnsi="Times New Roman" w:cs="Times New Roman"/>
          <w:sz w:val="24"/>
          <w:szCs w:val="24"/>
        </w:rPr>
        <w:t xml:space="preserve"> </w:t>
      </w:r>
      <w:r w:rsidRPr="003B4927">
        <w:rPr>
          <w:rFonts w:ascii="Times New Roman" w:hAnsi="Times New Roman" w:cs="Times New Roman"/>
          <w:sz w:val="24"/>
          <w:szCs w:val="24"/>
        </w:rPr>
        <w:t>For the TRA groups this creates two challenges: feasibility and security.</w:t>
      </w:r>
      <w:r>
        <w:rPr>
          <w:rFonts w:ascii="Times New Roman" w:hAnsi="Times New Roman" w:cs="Times New Roman"/>
          <w:sz w:val="24"/>
          <w:szCs w:val="24"/>
        </w:rPr>
        <w:t xml:space="preserve"> </w:t>
      </w:r>
      <w:r w:rsidRPr="003B4927">
        <w:rPr>
          <w:rFonts w:ascii="Times New Roman" w:hAnsi="Times New Roman" w:cs="Times New Roman"/>
          <w:sz w:val="24"/>
          <w:szCs w:val="24"/>
        </w:rPr>
        <w:t>A model that cannot be solved in less than a fraction of a second is infeasible for analyzing millions of scenarios.</w:t>
      </w:r>
      <w:r>
        <w:rPr>
          <w:rFonts w:ascii="Times New Roman" w:hAnsi="Times New Roman" w:cs="Times New Roman"/>
          <w:sz w:val="24"/>
          <w:szCs w:val="24"/>
        </w:rPr>
        <w:t xml:space="preserve"> The</w:t>
      </w:r>
      <w:r w:rsidRPr="003B4927">
        <w:rPr>
          <w:rFonts w:ascii="Times New Roman" w:hAnsi="Times New Roman" w:cs="Times New Roman"/>
          <w:sz w:val="24"/>
          <w:szCs w:val="24"/>
        </w:rPr>
        <w:t xml:space="preserve"> TRAs can rely only on people with high security clearances, limiting the possibilities for obtaining specialist advice. </w:t>
      </w:r>
    </w:p>
    <w:p w:rsidR="005D5069" w:rsidRPr="003B4927" w:rsidRDefault="005D5069" w:rsidP="005D5069">
      <w:pPr>
        <w:ind w:left="142"/>
        <w:rPr>
          <w:rFonts w:ascii="Times New Roman" w:hAnsi="Times New Roman" w:cs="Times New Roman"/>
          <w:sz w:val="24"/>
          <w:szCs w:val="24"/>
        </w:rPr>
      </w:pPr>
      <w:r w:rsidRPr="003B4927">
        <w:rPr>
          <w:rFonts w:ascii="Times New Roman" w:hAnsi="Times New Roman" w:cs="Times New Roman"/>
          <w:sz w:val="24"/>
          <w:szCs w:val="24"/>
        </w:rPr>
        <w:t>Our approach to these challenges was to use a CGE model to estimate elasticities that connect economic implication variables with damage or driving variables.</w:t>
      </w:r>
      <w:r>
        <w:rPr>
          <w:rFonts w:ascii="Times New Roman" w:hAnsi="Times New Roman" w:cs="Times New Roman"/>
          <w:sz w:val="24"/>
          <w:szCs w:val="24"/>
        </w:rPr>
        <w:t xml:space="preserve"> </w:t>
      </w:r>
      <w:r w:rsidRPr="003B4927">
        <w:rPr>
          <w:rFonts w:ascii="Times New Roman" w:hAnsi="Times New Roman" w:cs="Times New Roman"/>
          <w:sz w:val="24"/>
          <w:szCs w:val="24"/>
        </w:rPr>
        <w:t>We supplied these elasticities for use in the equation:</w:t>
      </w:r>
    </w:p>
    <w:p w:rsidR="005D5069" w:rsidRPr="002502E2" w:rsidRDefault="005D5069" w:rsidP="005D5069">
      <w:pPr>
        <w:pStyle w:val="ListParagraph"/>
        <w:tabs>
          <w:tab w:val="left" w:pos="1701"/>
          <w:tab w:val="right" w:pos="8789"/>
        </w:tabs>
        <w:spacing w:before="0"/>
        <w:ind w:left="142"/>
        <w:contextualSpacing w:val="0"/>
        <w:rPr>
          <w:rFonts w:ascii="Times New Roman" w:hAnsi="Times New Roman" w:cs="Times New Roman"/>
          <w:sz w:val="24"/>
          <w:szCs w:val="24"/>
        </w:rPr>
      </w:pPr>
      <w:r>
        <w:rPr>
          <w:rFonts w:ascii="Times New Roman" w:hAnsi="Times New Roman" w:cs="Times New Roman"/>
          <w:sz w:val="24"/>
          <w:szCs w:val="24"/>
        </w:rPr>
        <w:tab/>
      </w:r>
      <w:r w:rsidRPr="0008174B">
        <w:rPr>
          <w:rFonts w:ascii="Times New Roman" w:hAnsi="Times New Roman" w:cs="Times New Roman"/>
          <w:position w:val="-28"/>
          <w:sz w:val="24"/>
          <w:szCs w:val="24"/>
        </w:rPr>
        <w:object w:dxaOrig="1900" w:dyaOrig="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95.25pt;height:27.75pt" o:ole="">
            <v:imagedata r:id="rId9" o:title=""/>
          </v:shape>
          <o:OLEObject Type="Embed" ProgID="Equation.DSMT4" ShapeID="_x0000_i1059" DrawAspect="Content" ObjectID="_1553159832" r:id="rId10"/>
        </w:object>
      </w:r>
      <w:r>
        <w:rPr>
          <w:rFonts w:ascii="Times New Roman" w:hAnsi="Times New Roman" w:cs="Times New Roman"/>
          <w:sz w:val="24"/>
          <w:szCs w:val="24"/>
        </w:rPr>
        <w:t xml:space="preserve"> </w:t>
      </w:r>
      <w:r w:rsidRPr="002502E2">
        <w:rPr>
          <w:rFonts w:ascii="Times New Roman" w:hAnsi="Times New Roman" w:cs="Times New Roman"/>
          <w:sz w:val="24"/>
          <w:szCs w:val="24"/>
        </w:rPr>
        <w:t xml:space="preserve"> </w:t>
      </w:r>
    </w:p>
    <w:p w:rsidR="005D5069" w:rsidRDefault="005D5069" w:rsidP="005D5069">
      <w:pPr>
        <w:spacing w:before="0"/>
        <w:ind w:left="142"/>
        <w:rPr>
          <w:rFonts w:ascii="Times New Roman" w:hAnsi="Times New Roman" w:cs="Times New Roman"/>
          <w:sz w:val="24"/>
          <w:szCs w:val="24"/>
        </w:rPr>
      </w:pPr>
      <w:r>
        <w:rPr>
          <w:rFonts w:ascii="Times New Roman" w:hAnsi="Times New Roman" w:cs="Times New Roman"/>
          <w:sz w:val="24"/>
          <w:szCs w:val="24"/>
        </w:rPr>
        <w:t xml:space="preserve">where v and s are the percentage changes in an implication variable and a driving variable. E(s,d,v) is a CGE-estimated elasticity that we supplied. It is the elasticity of v to a terrorism shock s perpetrated in target region d, e.g. the percentage effect on national welfare of destruction of 1 per cent of the capital stock in congressional district NY14. </w:t>
      </w:r>
    </w:p>
    <w:p w:rsidR="005D5069" w:rsidRPr="003B4927" w:rsidRDefault="005D5069" w:rsidP="005D5069">
      <w:pPr>
        <w:ind w:left="142"/>
        <w:rPr>
          <w:rFonts w:ascii="Times New Roman" w:hAnsi="Times New Roman" w:cs="Times New Roman"/>
          <w:sz w:val="24"/>
          <w:szCs w:val="24"/>
        </w:rPr>
      </w:pPr>
      <w:r w:rsidRPr="003B4927">
        <w:rPr>
          <w:rFonts w:ascii="Times New Roman" w:hAnsi="Times New Roman" w:cs="Times New Roman"/>
          <w:sz w:val="24"/>
          <w:szCs w:val="24"/>
        </w:rPr>
        <w:t xml:space="preserve">Our elasticity approach </w:t>
      </w:r>
      <w:r>
        <w:rPr>
          <w:rFonts w:ascii="Times New Roman" w:hAnsi="Times New Roman" w:cs="Times New Roman"/>
          <w:sz w:val="24"/>
          <w:szCs w:val="24"/>
        </w:rPr>
        <w:t>solves</w:t>
      </w:r>
      <w:r w:rsidRPr="003B4927">
        <w:rPr>
          <w:rFonts w:ascii="Times New Roman" w:hAnsi="Times New Roman" w:cs="Times New Roman"/>
          <w:sz w:val="24"/>
          <w:szCs w:val="24"/>
        </w:rPr>
        <w:t xml:space="preserve"> both challenges.</w:t>
      </w:r>
      <w:r>
        <w:rPr>
          <w:rFonts w:ascii="Times New Roman" w:hAnsi="Times New Roman" w:cs="Times New Roman"/>
          <w:sz w:val="24"/>
          <w:szCs w:val="24"/>
        </w:rPr>
        <w:t xml:space="preserve"> </w:t>
      </w:r>
      <w:r w:rsidRPr="003B4927">
        <w:rPr>
          <w:rFonts w:ascii="Times New Roman" w:hAnsi="Times New Roman" w:cs="Times New Roman"/>
          <w:sz w:val="24"/>
          <w:szCs w:val="24"/>
        </w:rPr>
        <w:t>First, for any given terrorism scenario specified by a location and a vector of s variables, the elasticity equation can be computed in nanoseconds to evaluate a range of implication variables, v.</w:t>
      </w:r>
      <w:r>
        <w:rPr>
          <w:rFonts w:ascii="Times New Roman" w:hAnsi="Times New Roman" w:cs="Times New Roman"/>
          <w:sz w:val="24"/>
          <w:szCs w:val="24"/>
        </w:rPr>
        <w:t xml:space="preserve"> </w:t>
      </w:r>
      <w:r w:rsidRPr="003B4927">
        <w:rPr>
          <w:rFonts w:ascii="Times New Roman" w:hAnsi="Times New Roman" w:cs="Times New Roman"/>
          <w:sz w:val="24"/>
          <w:szCs w:val="24"/>
        </w:rPr>
        <w:t xml:space="preserve">Second, as outside contractors, we had no need for access to sensitive information </w:t>
      </w:r>
      <w:r>
        <w:rPr>
          <w:rFonts w:ascii="Times New Roman" w:hAnsi="Times New Roman" w:cs="Times New Roman"/>
          <w:sz w:val="24"/>
          <w:szCs w:val="24"/>
        </w:rPr>
        <w:t>on</w:t>
      </w:r>
      <w:r w:rsidRPr="003B4927">
        <w:rPr>
          <w:rFonts w:ascii="Times New Roman" w:hAnsi="Times New Roman" w:cs="Times New Roman"/>
          <w:sz w:val="24"/>
          <w:szCs w:val="24"/>
        </w:rPr>
        <w:t xml:space="preserve"> specific shock vectors s and target regions d.</w:t>
      </w:r>
      <w:r>
        <w:rPr>
          <w:rFonts w:ascii="Times New Roman" w:hAnsi="Times New Roman" w:cs="Times New Roman"/>
          <w:sz w:val="24"/>
          <w:szCs w:val="24"/>
        </w:rPr>
        <w:t xml:space="preserve"> </w:t>
      </w:r>
    </w:p>
    <w:p w:rsidR="005D5069" w:rsidRDefault="005D5069" w:rsidP="005D5069">
      <w:pPr>
        <w:ind w:left="142"/>
        <w:rPr>
          <w:rFonts w:ascii="Times New Roman" w:hAnsi="Times New Roman" w:cs="Times New Roman"/>
          <w:sz w:val="24"/>
          <w:szCs w:val="24"/>
        </w:rPr>
      </w:pPr>
      <w:r>
        <w:rPr>
          <w:rFonts w:ascii="Times New Roman" w:hAnsi="Times New Roman" w:cs="Times New Roman"/>
          <w:sz w:val="24"/>
          <w:szCs w:val="24"/>
        </w:rPr>
        <w:t xml:space="preserve">We describe how we used a </w:t>
      </w:r>
      <w:r w:rsidRPr="003B4927">
        <w:rPr>
          <w:rFonts w:ascii="Times New Roman" w:hAnsi="Times New Roman" w:cs="Times New Roman"/>
          <w:sz w:val="24"/>
          <w:szCs w:val="24"/>
        </w:rPr>
        <w:t>dynamic, multi-regional CGE model</w:t>
      </w:r>
      <w:r>
        <w:rPr>
          <w:rFonts w:ascii="Times New Roman" w:hAnsi="Times New Roman" w:cs="Times New Roman"/>
          <w:sz w:val="24"/>
          <w:szCs w:val="24"/>
        </w:rPr>
        <w:t>, USAGE-TERM,</w:t>
      </w:r>
      <w:r w:rsidRPr="003B4927">
        <w:rPr>
          <w:rFonts w:ascii="Times New Roman" w:hAnsi="Times New Roman" w:cs="Times New Roman"/>
          <w:sz w:val="24"/>
          <w:szCs w:val="24"/>
        </w:rPr>
        <w:t xml:space="preserve"> </w:t>
      </w:r>
      <w:r>
        <w:rPr>
          <w:rFonts w:ascii="Times New Roman" w:hAnsi="Times New Roman" w:cs="Times New Roman"/>
          <w:sz w:val="24"/>
          <w:szCs w:val="24"/>
        </w:rPr>
        <w:t>to estimate the elasticities.</w:t>
      </w:r>
    </w:p>
    <w:p w:rsidR="005D5069" w:rsidRDefault="005D5069" w:rsidP="00FD7DB3">
      <w:pPr>
        <w:pStyle w:val="ListParagraph"/>
        <w:ind w:left="0"/>
        <w:contextualSpacing w:val="0"/>
        <w:rPr>
          <w:rFonts w:ascii="Times New Roman" w:hAnsi="Times New Roman" w:cs="Times New Roman"/>
          <w:b/>
          <w:sz w:val="24"/>
          <w:szCs w:val="24"/>
          <w:lang w:val="en-AU"/>
        </w:rPr>
      </w:pPr>
    </w:p>
    <w:p w:rsidR="005D5069" w:rsidRDefault="005D5069" w:rsidP="00FD7DB3">
      <w:pPr>
        <w:pStyle w:val="ListParagraph"/>
        <w:ind w:left="0"/>
        <w:contextualSpacing w:val="0"/>
        <w:rPr>
          <w:rFonts w:ascii="Times New Roman" w:hAnsi="Times New Roman" w:cs="Times New Roman"/>
          <w:sz w:val="24"/>
          <w:szCs w:val="24"/>
          <w:lang w:val="en-AU"/>
        </w:rPr>
      </w:pPr>
      <w:r w:rsidRPr="005D5069">
        <w:rPr>
          <w:rFonts w:ascii="Times New Roman" w:hAnsi="Times New Roman" w:cs="Times New Roman"/>
          <w:b/>
          <w:sz w:val="24"/>
          <w:szCs w:val="24"/>
          <w:lang w:val="en-AU"/>
        </w:rPr>
        <w:t>JEL codes:</w:t>
      </w:r>
      <w:r>
        <w:rPr>
          <w:rFonts w:ascii="Times New Roman" w:hAnsi="Times New Roman" w:cs="Times New Roman"/>
          <w:b/>
          <w:sz w:val="24"/>
          <w:szCs w:val="24"/>
          <w:lang w:val="en-AU"/>
        </w:rPr>
        <w:t xml:space="preserve">  </w:t>
      </w:r>
      <w:r>
        <w:rPr>
          <w:rFonts w:ascii="Times New Roman" w:hAnsi="Times New Roman" w:cs="Times New Roman"/>
          <w:sz w:val="24"/>
          <w:szCs w:val="24"/>
          <w:lang w:val="en-AU"/>
        </w:rPr>
        <w:t>C68; F52</w:t>
      </w:r>
      <w:r w:rsidR="007144A4">
        <w:rPr>
          <w:rFonts w:ascii="Times New Roman" w:hAnsi="Times New Roman" w:cs="Times New Roman"/>
          <w:sz w:val="24"/>
          <w:szCs w:val="24"/>
          <w:lang w:val="en-AU"/>
        </w:rPr>
        <w:t>; R13</w:t>
      </w:r>
      <w:bookmarkStart w:id="0" w:name="_GoBack"/>
      <w:bookmarkEnd w:id="0"/>
    </w:p>
    <w:p w:rsidR="005D5069" w:rsidRPr="005D5069" w:rsidRDefault="005D5069" w:rsidP="00FD7DB3">
      <w:pPr>
        <w:pStyle w:val="ListParagraph"/>
        <w:ind w:left="0"/>
        <w:contextualSpacing w:val="0"/>
        <w:rPr>
          <w:rFonts w:ascii="Times New Roman" w:hAnsi="Times New Roman" w:cs="Times New Roman"/>
          <w:b/>
          <w:sz w:val="24"/>
          <w:szCs w:val="24"/>
          <w:lang w:val="en-AU"/>
        </w:rPr>
      </w:pPr>
      <w:r w:rsidRPr="005D5069">
        <w:rPr>
          <w:rFonts w:ascii="Times New Roman" w:hAnsi="Times New Roman" w:cs="Times New Roman"/>
          <w:b/>
          <w:sz w:val="24"/>
          <w:szCs w:val="24"/>
          <w:lang w:val="en-AU"/>
        </w:rPr>
        <w:t xml:space="preserve">Key words:  </w:t>
      </w:r>
      <w:r w:rsidRPr="005D5069">
        <w:rPr>
          <w:rFonts w:ascii="Times New Roman" w:hAnsi="Times New Roman" w:cs="Times New Roman"/>
          <w:sz w:val="24"/>
          <w:szCs w:val="24"/>
          <w:lang w:val="en-AU"/>
        </w:rPr>
        <w:t>terrorism assessment; multi-regional, dynamic CGE</w:t>
      </w:r>
    </w:p>
    <w:p w:rsidR="000418E3" w:rsidRDefault="000418E3" w:rsidP="000418E3">
      <w:pPr>
        <w:rPr>
          <w:rFonts w:ascii="Times New Roman" w:hAnsi="Times New Roman" w:cs="Times New Roman"/>
          <w:sz w:val="24"/>
          <w:szCs w:val="24"/>
        </w:rPr>
      </w:pPr>
      <w:r>
        <w:rPr>
          <w:rFonts w:ascii="Times New Roman" w:hAnsi="Times New Roman" w:cs="Times New Roman"/>
          <w:sz w:val="24"/>
          <w:szCs w:val="24"/>
        </w:rPr>
        <w:br w:type="page"/>
      </w:r>
    </w:p>
    <w:p w:rsidR="00C95346" w:rsidRPr="00C95346" w:rsidRDefault="00C95346" w:rsidP="000418E3">
      <w:pPr>
        <w:rPr>
          <w:rFonts w:ascii="Times New Roman" w:hAnsi="Times New Roman" w:cs="Times New Roman"/>
          <w:b/>
          <w:sz w:val="24"/>
          <w:szCs w:val="24"/>
        </w:rPr>
      </w:pPr>
      <w:r w:rsidRPr="00C95346">
        <w:rPr>
          <w:rFonts w:ascii="Times New Roman" w:hAnsi="Times New Roman" w:cs="Times New Roman"/>
          <w:b/>
          <w:sz w:val="24"/>
          <w:szCs w:val="24"/>
        </w:rPr>
        <w:lastRenderedPageBreak/>
        <w:t>Summary</w:t>
      </w:r>
    </w:p>
    <w:p w:rsidR="00C95346" w:rsidRDefault="00C95346" w:rsidP="00257FEE">
      <w:pPr>
        <w:pStyle w:val="ListParagraph"/>
        <w:numPr>
          <w:ilvl w:val="0"/>
          <w:numId w:val="20"/>
        </w:numPr>
        <w:ind w:hanging="578"/>
        <w:rPr>
          <w:rFonts w:ascii="Times New Roman" w:hAnsi="Times New Roman" w:cs="Times New Roman"/>
          <w:sz w:val="24"/>
          <w:szCs w:val="24"/>
        </w:rPr>
      </w:pPr>
      <w:r w:rsidRPr="00C95346">
        <w:rPr>
          <w:rFonts w:ascii="Times New Roman" w:hAnsi="Times New Roman" w:cs="Times New Roman"/>
          <w:sz w:val="24"/>
          <w:szCs w:val="24"/>
        </w:rPr>
        <w:t xml:space="preserve">The Terrorism Risk Assessment (TRA) groups in the Department of Homeland Security assess </w:t>
      </w:r>
      <w:r w:rsidR="0029154B">
        <w:rPr>
          <w:rFonts w:ascii="Times New Roman" w:hAnsi="Times New Roman" w:cs="Times New Roman"/>
          <w:sz w:val="24"/>
          <w:szCs w:val="24"/>
        </w:rPr>
        <w:t>millions</w:t>
      </w:r>
      <w:r w:rsidRPr="00C95346">
        <w:rPr>
          <w:rFonts w:ascii="Times New Roman" w:hAnsi="Times New Roman" w:cs="Times New Roman"/>
          <w:sz w:val="24"/>
          <w:szCs w:val="24"/>
        </w:rPr>
        <w:t xml:space="preserve"> of potential terrorism scenarios.  </w:t>
      </w:r>
      <w:r>
        <w:rPr>
          <w:rFonts w:ascii="Times New Roman" w:hAnsi="Times New Roman" w:cs="Times New Roman"/>
          <w:sz w:val="24"/>
          <w:szCs w:val="24"/>
        </w:rPr>
        <w:t xml:space="preserve">These scenarios are </w:t>
      </w:r>
      <w:r w:rsidR="007063C7">
        <w:rPr>
          <w:rFonts w:ascii="Times New Roman" w:hAnsi="Times New Roman" w:cs="Times New Roman"/>
          <w:sz w:val="24"/>
          <w:szCs w:val="24"/>
        </w:rPr>
        <w:t>defined</w:t>
      </w:r>
      <w:r>
        <w:rPr>
          <w:rFonts w:ascii="Times New Roman" w:hAnsi="Times New Roman" w:cs="Times New Roman"/>
          <w:sz w:val="24"/>
          <w:szCs w:val="24"/>
        </w:rPr>
        <w:t xml:space="preserve"> by</w:t>
      </w:r>
      <w:r w:rsidR="007974CA">
        <w:rPr>
          <w:rFonts w:ascii="Times New Roman" w:hAnsi="Times New Roman" w:cs="Times New Roman"/>
          <w:sz w:val="24"/>
          <w:szCs w:val="24"/>
        </w:rPr>
        <w:t xml:space="preserve"> an array of characteristics including:</w:t>
      </w:r>
      <w:r>
        <w:rPr>
          <w:rFonts w:ascii="Times New Roman" w:hAnsi="Times New Roman" w:cs="Times New Roman"/>
          <w:sz w:val="24"/>
          <w:szCs w:val="24"/>
        </w:rPr>
        <w:t xml:space="preserve"> </w:t>
      </w:r>
      <w:r w:rsidR="007974CA">
        <w:rPr>
          <w:rFonts w:ascii="Times New Roman" w:hAnsi="Times New Roman" w:cs="Times New Roman"/>
          <w:sz w:val="24"/>
          <w:szCs w:val="24"/>
        </w:rPr>
        <w:t>city and location at which the incident takes place (e.g. Miami</w:t>
      </w:r>
      <w:r w:rsidR="007063C7">
        <w:rPr>
          <w:rFonts w:ascii="Times New Roman" w:hAnsi="Times New Roman" w:cs="Times New Roman"/>
          <w:sz w:val="24"/>
          <w:szCs w:val="24"/>
        </w:rPr>
        <w:t>,</w:t>
      </w:r>
      <w:r w:rsidR="007974CA">
        <w:rPr>
          <w:rFonts w:ascii="Times New Roman" w:hAnsi="Times New Roman" w:cs="Times New Roman"/>
          <w:sz w:val="24"/>
          <w:szCs w:val="24"/>
        </w:rPr>
        <w:t xml:space="preserve"> airport);</w:t>
      </w:r>
      <w:r>
        <w:rPr>
          <w:rFonts w:ascii="Times New Roman" w:hAnsi="Times New Roman" w:cs="Times New Roman"/>
          <w:sz w:val="24"/>
          <w:szCs w:val="24"/>
        </w:rPr>
        <w:t xml:space="preserve"> agent (e.g. nuclear device)</w:t>
      </w:r>
      <w:r w:rsidR="007974CA">
        <w:rPr>
          <w:rFonts w:ascii="Times New Roman" w:hAnsi="Times New Roman" w:cs="Times New Roman"/>
          <w:sz w:val="24"/>
          <w:szCs w:val="24"/>
        </w:rPr>
        <w:t>; and delivery method (e.g. car bomb</w:t>
      </w:r>
      <w:r w:rsidR="007063C7">
        <w:rPr>
          <w:rFonts w:ascii="Times New Roman" w:hAnsi="Times New Roman" w:cs="Times New Roman"/>
          <w:sz w:val="24"/>
          <w:szCs w:val="24"/>
        </w:rPr>
        <w:t>)</w:t>
      </w:r>
      <w:r w:rsidR="007974CA">
        <w:rPr>
          <w:rFonts w:ascii="Times New Roman" w:hAnsi="Times New Roman" w:cs="Times New Roman"/>
          <w:sz w:val="24"/>
          <w:szCs w:val="24"/>
        </w:rPr>
        <w:t xml:space="preserve">.  </w:t>
      </w:r>
      <w:r w:rsidRPr="00C95346">
        <w:rPr>
          <w:rFonts w:ascii="Times New Roman" w:hAnsi="Times New Roman" w:cs="Times New Roman"/>
          <w:sz w:val="24"/>
          <w:szCs w:val="24"/>
        </w:rPr>
        <w:t xml:space="preserve">For each scenario </w:t>
      </w:r>
      <w:r w:rsidR="007974CA">
        <w:rPr>
          <w:rFonts w:ascii="Times New Roman" w:hAnsi="Times New Roman" w:cs="Times New Roman"/>
          <w:sz w:val="24"/>
          <w:szCs w:val="24"/>
        </w:rPr>
        <w:t xml:space="preserve">the TRA groups </w:t>
      </w:r>
      <w:r w:rsidRPr="00C95346">
        <w:rPr>
          <w:rFonts w:ascii="Times New Roman" w:hAnsi="Times New Roman" w:cs="Times New Roman"/>
          <w:sz w:val="24"/>
          <w:szCs w:val="24"/>
        </w:rPr>
        <w:t>estimate deaths and injuries, property damage, clean-up expenditures, health expenditures, foreign-visitor discouragement, and several other damage dimensions.</w:t>
      </w:r>
    </w:p>
    <w:p w:rsidR="007D09C9" w:rsidRDefault="007063C7" w:rsidP="00257FEE">
      <w:pPr>
        <w:pStyle w:val="ListParagraph"/>
        <w:numPr>
          <w:ilvl w:val="0"/>
          <w:numId w:val="20"/>
        </w:numPr>
        <w:ind w:hanging="578"/>
        <w:rPr>
          <w:rFonts w:ascii="Times New Roman" w:hAnsi="Times New Roman" w:cs="Times New Roman"/>
          <w:sz w:val="24"/>
          <w:szCs w:val="24"/>
        </w:rPr>
      </w:pPr>
      <w:r w:rsidRPr="007063C7">
        <w:rPr>
          <w:rFonts w:ascii="Times New Roman" w:hAnsi="Times New Roman" w:cs="Times New Roman"/>
          <w:sz w:val="24"/>
          <w:szCs w:val="24"/>
        </w:rPr>
        <w:t xml:space="preserve">The TRA groups translate the damages for each scenario into summary economic measures, e.g. loss of GDP.  In the past they have done this by applying an input-output  (I-O) model.  </w:t>
      </w:r>
      <w:r>
        <w:rPr>
          <w:rFonts w:ascii="Times New Roman" w:hAnsi="Times New Roman" w:cs="Times New Roman"/>
          <w:sz w:val="24"/>
          <w:szCs w:val="24"/>
        </w:rPr>
        <w:t>T</w:t>
      </w:r>
      <w:r w:rsidRPr="007063C7">
        <w:rPr>
          <w:rFonts w:ascii="Times New Roman" w:hAnsi="Times New Roman" w:cs="Times New Roman"/>
          <w:sz w:val="24"/>
          <w:szCs w:val="24"/>
        </w:rPr>
        <w:t xml:space="preserve">he aim of this project is to investigate the practicality of replacing the I-O model with a computable general equilibrium (CGE) model.  </w:t>
      </w:r>
    </w:p>
    <w:p w:rsidR="00B23305" w:rsidRDefault="00045241" w:rsidP="00257FEE">
      <w:pPr>
        <w:pStyle w:val="ListParagraph"/>
        <w:numPr>
          <w:ilvl w:val="0"/>
          <w:numId w:val="20"/>
        </w:numPr>
        <w:ind w:hanging="578"/>
        <w:rPr>
          <w:rFonts w:ascii="Times New Roman" w:hAnsi="Times New Roman" w:cs="Times New Roman"/>
          <w:sz w:val="24"/>
          <w:szCs w:val="24"/>
        </w:rPr>
      </w:pPr>
      <w:r w:rsidRPr="00B23305">
        <w:rPr>
          <w:rFonts w:ascii="Times New Roman" w:hAnsi="Times New Roman" w:cs="Times New Roman"/>
          <w:sz w:val="24"/>
          <w:szCs w:val="24"/>
        </w:rPr>
        <w:t xml:space="preserve">Relative to I-O, CGE </w:t>
      </w:r>
      <w:r w:rsidR="007D09C9" w:rsidRPr="00B23305">
        <w:rPr>
          <w:rFonts w:ascii="Times New Roman" w:hAnsi="Times New Roman" w:cs="Times New Roman"/>
          <w:sz w:val="24"/>
          <w:szCs w:val="24"/>
        </w:rPr>
        <w:t>is</w:t>
      </w:r>
      <w:r w:rsidRPr="00B23305">
        <w:rPr>
          <w:rFonts w:ascii="Times New Roman" w:hAnsi="Times New Roman" w:cs="Times New Roman"/>
          <w:sz w:val="24"/>
          <w:szCs w:val="24"/>
        </w:rPr>
        <w:t xml:space="preserve"> a superior framework for</w:t>
      </w:r>
      <w:r w:rsidR="007D09C9" w:rsidRPr="00B23305">
        <w:rPr>
          <w:rFonts w:ascii="Times New Roman" w:hAnsi="Times New Roman" w:cs="Times New Roman"/>
          <w:sz w:val="24"/>
          <w:szCs w:val="24"/>
        </w:rPr>
        <w:t>: (a)</w:t>
      </w:r>
      <w:r w:rsidRPr="00B23305">
        <w:rPr>
          <w:rFonts w:ascii="Times New Roman" w:hAnsi="Times New Roman" w:cs="Times New Roman"/>
          <w:sz w:val="24"/>
          <w:szCs w:val="24"/>
        </w:rPr>
        <w:t xml:space="preserve"> </w:t>
      </w:r>
      <w:r w:rsidR="007D09C9" w:rsidRPr="00B23305">
        <w:rPr>
          <w:rFonts w:ascii="Times New Roman" w:hAnsi="Times New Roman" w:cs="Times New Roman"/>
          <w:sz w:val="24"/>
          <w:szCs w:val="24"/>
        </w:rPr>
        <w:t>recognizing</w:t>
      </w:r>
      <w:r w:rsidRPr="00B23305">
        <w:rPr>
          <w:rFonts w:ascii="Times New Roman" w:hAnsi="Times New Roman" w:cs="Times New Roman"/>
          <w:sz w:val="24"/>
          <w:szCs w:val="24"/>
        </w:rPr>
        <w:t xml:space="preserve"> constraints on the availability of resources such as labor, physical capital, government finance and foreign exchange</w:t>
      </w:r>
      <w:r w:rsidR="007D09C9" w:rsidRPr="00B23305">
        <w:rPr>
          <w:rFonts w:ascii="Times New Roman" w:hAnsi="Times New Roman" w:cs="Times New Roman"/>
          <w:sz w:val="24"/>
          <w:szCs w:val="24"/>
        </w:rPr>
        <w:t>;</w:t>
      </w:r>
      <w:r w:rsidRPr="00B23305">
        <w:rPr>
          <w:rFonts w:ascii="Times New Roman" w:hAnsi="Times New Roman" w:cs="Times New Roman"/>
          <w:sz w:val="24"/>
          <w:szCs w:val="24"/>
        </w:rPr>
        <w:t xml:space="preserve"> </w:t>
      </w:r>
      <w:r w:rsidR="007D09C9" w:rsidRPr="00B23305">
        <w:rPr>
          <w:rFonts w:ascii="Times New Roman" w:hAnsi="Times New Roman" w:cs="Times New Roman"/>
          <w:sz w:val="24"/>
          <w:szCs w:val="24"/>
        </w:rPr>
        <w:t xml:space="preserve">(b) representing price-sensitive and resilient behavior such as substitution away from </w:t>
      </w:r>
      <w:r w:rsidR="00B23305" w:rsidRPr="00B23305">
        <w:rPr>
          <w:rFonts w:ascii="Times New Roman" w:hAnsi="Times New Roman" w:cs="Times New Roman"/>
          <w:sz w:val="24"/>
          <w:szCs w:val="24"/>
        </w:rPr>
        <w:t xml:space="preserve">oil in response to supply interruptions and price hikes; and (c) </w:t>
      </w:r>
      <w:r w:rsidR="007D09C9" w:rsidRPr="00B23305">
        <w:rPr>
          <w:rFonts w:ascii="Times New Roman" w:hAnsi="Times New Roman" w:cs="Times New Roman"/>
          <w:sz w:val="24"/>
          <w:szCs w:val="24"/>
        </w:rPr>
        <w:t xml:space="preserve">for </w:t>
      </w:r>
      <w:r w:rsidRPr="00B23305">
        <w:rPr>
          <w:rFonts w:ascii="Times New Roman" w:hAnsi="Times New Roman" w:cs="Times New Roman"/>
          <w:sz w:val="24"/>
          <w:szCs w:val="24"/>
        </w:rPr>
        <w:t xml:space="preserve">capturing the time dimension (dynamics).  </w:t>
      </w:r>
      <w:r w:rsidR="00B23305">
        <w:rPr>
          <w:rFonts w:ascii="Times New Roman" w:hAnsi="Times New Roman" w:cs="Times New Roman"/>
          <w:sz w:val="24"/>
          <w:szCs w:val="24"/>
        </w:rPr>
        <w:t xml:space="preserve">In common with I-O, </w:t>
      </w:r>
      <w:r w:rsidRPr="00B23305">
        <w:rPr>
          <w:rFonts w:ascii="Times New Roman" w:hAnsi="Times New Roman" w:cs="Times New Roman"/>
          <w:sz w:val="24"/>
          <w:szCs w:val="24"/>
        </w:rPr>
        <w:t xml:space="preserve">CGE </w:t>
      </w:r>
      <w:r w:rsidR="00B23305">
        <w:rPr>
          <w:rFonts w:ascii="Times New Roman" w:hAnsi="Times New Roman" w:cs="Times New Roman"/>
          <w:sz w:val="24"/>
          <w:szCs w:val="24"/>
        </w:rPr>
        <w:t xml:space="preserve">models produce results for standard national and regional variables such as </w:t>
      </w:r>
      <w:r w:rsidR="00523E0A" w:rsidRPr="00B23305">
        <w:rPr>
          <w:rFonts w:ascii="Times New Roman" w:hAnsi="Times New Roman" w:cs="Times New Roman"/>
          <w:sz w:val="24"/>
          <w:szCs w:val="24"/>
        </w:rPr>
        <w:t>GDP</w:t>
      </w:r>
      <w:r w:rsidR="00B23305">
        <w:rPr>
          <w:rFonts w:ascii="Times New Roman" w:hAnsi="Times New Roman" w:cs="Times New Roman"/>
          <w:sz w:val="24"/>
          <w:szCs w:val="24"/>
        </w:rPr>
        <w:t xml:space="preserve">, employment by industry and employment by region.  </w:t>
      </w:r>
      <w:r w:rsidR="00523E0A" w:rsidRPr="00B23305">
        <w:rPr>
          <w:rFonts w:ascii="Times New Roman" w:hAnsi="Times New Roman" w:cs="Times New Roman"/>
          <w:sz w:val="24"/>
          <w:szCs w:val="24"/>
        </w:rPr>
        <w:t xml:space="preserve">In addition, CGE models can </w:t>
      </w:r>
      <w:r w:rsidR="00B23305">
        <w:rPr>
          <w:rFonts w:ascii="Times New Roman" w:hAnsi="Times New Roman" w:cs="Times New Roman"/>
          <w:sz w:val="24"/>
          <w:szCs w:val="24"/>
        </w:rPr>
        <w:t>generate</w:t>
      </w:r>
      <w:r w:rsidRPr="00B23305">
        <w:rPr>
          <w:rFonts w:ascii="Times New Roman" w:hAnsi="Times New Roman" w:cs="Times New Roman"/>
          <w:sz w:val="24"/>
          <w:szCs w:val="24"/>
        </w:rPr>
        <w:t xml:space="preserve"> results for </w:t>
      </w:r>
      <w:r w:rsidR="00523E0A" w:rsidRPr="00B23305">
        <w:rPr>
          <w:rFonts w:ascii="Times New Roman" w:hAnsi="Times New Roman" w:cs="Times New Roman"/>
          <w:sz w:val="24"/>
          <w:szCs w:val="24"/>
        </w:rPr>
        <w:t>financial variables (e.g. net foreign liabilities)</w:t>
      </w:r>
      <w:r w:rsidR="003668FA">
        <w:rPr>
          <w:rFonts w:ascii="Times New Roman" w:hAnsi="Times New Roman" w:cs="Times New Roman"/>
          <w:sz w:val="24"/>
          <w:szCs w:val="24"/>
        </w:rPr>
        <w:t xml:space="preserve"> and welfare variables</w:t>
      </w:r>
      <w:r w:rsidR="00B23305">
        <w:rPr>
          <w:rFonts w:ascii="Times New Roman" w:hAnsi="Times New Roman" w:cs="Times New Roman"/>
          <w:sz w:val="24"/>
          <w:szCs w:val="24"/>
        </w:rPr>
        <w:t>.</w:t>
      </w:r>
    </w:p>
    <w:p w:rsidR="00045241" w:rsidRPr="00B23305" w:rsidRDefault="0053033B" w:rsidP="00257FEE">
      <w:pPr>
        <w:pStyle w:val="ListParagraph"/>
        <w:numPr>
          <w:ilvl w:val="0"/>
          <w:numId w:val="20"/>
        </w:numPr>
        <w:ind w:hanging="578"/>
        <w:rPr>
          <w:rFonts w:ascii="Times New Roman" w:hAnsi="Times New Roman" w:cs="Times New Roman"/>
          <w:sz w:val="24"/>
          <w:szCs w:val="24"/>
        </w:rPr>
      </w:pPr>
      <w:r>
        <w:rPr>
          <w:rFonts w:ascii="Times New Roman" w:hAnsi="Times New Roman" w:cs="Times New Roman"/>
          <w:sz w:val="24"/>
          <w:szCs w:val="24"/>
        </w:rPr>
        <w:t xml:space="preserve">GDP is often used as a measure of welfare.  However, this can be misleading, especially in terrorism analysis.  GDP is a measure of output.  In the immediate aftermath of a terrorism event, GDP may be increased by medical, clean-up and other expenditures.  This doesn’t mean that national welfare has been increased.  CGE offers the possibility of measuring welfare effects by computing how a terrorism event affects a society’s ability to consume pleasure-giving goods and services.  By using the dynamic facilities of CGE, the welfare measure can take account of the future path of consumption and the accumulation of debts that must be eventually paid off.  </w:t>
      </w:r>
      <w:r w:rsidR="007D09C9" w:rsidRPr="00B23305">
        <w:rPr>
          <w:rFonts w:ascii="Times New Roman" w:hAnsi="Times New Roman" w:cs="Times New Roman"/>
          <w:sz w:val="24"/>
          <w:szCs w:val="24"/>
        </w:rPr>
        <w:t xml:space="preserve">  </w:t>
      </w:r>
    </w:p>
    <w:p w:rsidR="002502E2" w:rsidRDefault="000D7B34" w:rsidP="00257FEE">
      <w:pPr>
        <w:pStyle w:val="ListParagraph"/>
        <w:numPr>
          <w:ilvl w:val="0"/>
          <w:numId w:val="20"/>
        </w:numPr>
        <w:ind w:left="709" w:hanging="567"/>
        <w:contextualSpacing w:val="0"/>
        <w:rPr>
          <w:rFonts w:ascii="Times New Roman" w:hAnsi="Times New Roman" w:cs="Times New Roman"/>
          <w:sz w:val="24"/>
          <w:szCs w:val="24"/>
        </w:rPr>
      </w:pPr>
      <w:r w:rsidRPr="002502E2">
        <w:rPr>
          <w:rFonts w:ascii="Times New Roman" w:hAnsi="Times New Roman" w:cs="Times New Roman"/>
          <w:sz w:val="24"/>
          <w:szCs w:val="24"/>
        </w:rPr>
        <w:t xml:space="preserve">Solving CGE models is computationally much more time-consuming than solving similar dimension I-O models.  CGE models also require a higher level of specialist skills for computation and interpretation than I-O models.  For the TRA groups this creates two related challenges: computational feasibility and security.  </w:t>
      </w:r>
      <w:r w:rsidR="0029154B" w:rsidRPr="002502E2">
        <w:rPr>
          <w:rFonts w:ascii="Times New Roman" w:hAnsi="Times New Roman" w:cs="Times New Roman"/>
          <w:sz w:val="24"/>
          <w:szCs w:val="24"/>
        </w:rPr>
        <w:t xml:space="preserve">A model that cannot be solved in less than a fraction of a second is infeasible as a tool for analyzing </w:t>
      </w:r>
      <w:r w:rsidR="00CE154C" w:rsidRPr="002502E2">
        <w:rPr>
          <w:rFonts w:ascii="Times New Roman" w:hAnsi="Times New Roman" w:cs="Times New Roman"/>
          <w:sz w:val="24"/>
          <w:szCs w:val="24"/>
        </w:rPr>
        <w:t xml:space="preserve">millions of scenarios.  </w:t>
      </w:r>
      <w:r w:rsidR="00D92BCC">
        <w:rPr>
          <w:rFonts w:ascii="Times New Roman" w:hAnsi="Times New Roman" w:cs="Times New Roman"/>
          <w:sz w:val="24"/>
          <w:szCs w:val="24"/>
        </w:rPr>
        <w:t>F</w:t>
      </w:r>
      <w:r w:rsidR="00CE154C" w:rsidRPr="002502E2">
        <w:rPr>
          <w:rFonts w:ascii="Times New Roman" w:hAnsi="Times New Roman" w:cs="Times New Roman"/>
          <w:sz w:val="24"/>
          <w:szCs w:val="24"/>
        </w:rPr>
        <w:t xml:space="preserve">or analyzing sensitive issues, the TRAs can rely only on people with high security clearances, limiting the possibilities for obtaining adequate specialist advice on a flexible basis. </w:t>
      </w:r>
    </w:p>
    <w:p w:rsidR="002502E2" w:rsidRDefault="00F14BDC" w:rsidP="002B618D">
      <w:pPr>
        <w:pStyle w:val="ListParagraph"/>
        <w:numPr>
          <w:ilvl w:val="0"/>
          <w:numId w:val="20"/>
        </w:numPr>
        <w:ind w:left="709" w:hanging="567"/>
        <w:contextualSpacing w:val="0"/>
        <w:rPr>
          <w:rFonts w:ascii="Times New Roman" w:hAnsi="Times New Roman" w:cs="Times New Roman"/>
          <w:sz w:val="24"/>
          <w:szCs w:val="24"/>
        </w:rPr>
      </w:pPr>
      <w:r>
        <w:rPr>
          <w:rFonts w:ascii="Times New Roman" w:hAnsi="Times New Roman" w:cs="Times New Roman"/>
          <w:sz w:val="24"/>
          <w:szCs w:val="24"/>
        </w:rPr>
        <w:t xml:space="preserve">Our approach to these two challenges </w:t>
      </w:r>
      <w:r w:rsidR="00426B64">
        <w:rPr>
          <w:rFonts w:ascii="Times New Roman" w:hAnsi="Times New Roman" w:cs="Times New Roman"/>
          <w:sz w:val="24"/>
          <w:szCs w:val="24"/>
        </w:rPr>
        <w:t>was</w:t>
      </w:r>
      <w:r>
        <w:rPr>
          <w:rFonts w:ascii="Times New Roman" w:hAnsi="Times New Roman" w:cs="Times New Roman"/>
          <w:sz w:val="24"/>
          <w:szCs w:val="24"/>
        </w:rPr>
        <w:t xml:space="preserve"> </w:t>
      </w:r>
      <w:r w:rsidR="00426B64">
        <w:rPr>
          <w:rFonts w:ascii="Times New Roman" w:hAnsi="Times New Roman" w:cs="Times New Roman"/>
          <w:sz w:val="24"/>
          <w:szCs w:val="24"/>
        </w:rPr>
        <w:t xml:space="preserve">to use a CGE model to estimate elasticities (sensitivity coefficients) that connect economic implication variables (e.g. GDP) with damage </w:t>
      </w:r>
      <w:r w:rsidR="002B618D">
        <w:rPr>
          <w:rFonts w:ascii="Times New Roman" w:hAnsi="Times New Roman" w:cs="Times New Roman"/>
          <w:sz w:val="24"/>
          <w:szCs w:val="24"/>
        </w:rPr>
        <w:t xml:space="preserve">or driving </w:t>
      </w:r>
      <w:r w:rsidR="00426B64">
        <w:rPr>
          <w:rFonts w:ascii="Times New Roman" w:hAnsi="Times New Roman" w:cs="Times New Roman"/>
          <w:sz w:val="24"/>
          <w:szCs w:val="24"/>
        </w:rPr>
        <w:t>variables (e.g. capital destruction).  We supplied these elasticities to the TRA groups for use in the equation</w:t>
      </w:r>
      <w:r>
        <w:rPr>
          <w:rFonts w:ascii="Times New Roman" w:hAnsi="Times New Roman" w:cs="Times New Roman"/>
          <w:sz w:val="24"/>
          <w:szCs w:val="24"/>
        </w:rPr>
        <w:t>:</w:t>
      </w:r>
    </w:p>
    <w:p w:rsidR="002502E2" w:rsidRPr="002502E2" w:rsidRDefault="00257FEE" w:rsidP="00D92BCC">
      <w:pPr>
        <w:pStyle w:val="ListParagraph"/>
        <w:tabs>
          <w:tab w:val="left" w:pos="1701"/>
          <w:tab w:val="right" w:pos="8789"/>
        </w:tabs>
        <w:spacing w:before="0"/>
        <w:ind w:left="709" w:hanging="567"/>
        <w:contextualSpacing w:val="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2502E2" w:rsidRPr="0008174B">
        <w:rPr>
          <w:rFonts w:ascii="Times New Roman" w:hAnsi="Times New Roman" w:cs="Times New Roman"/>
          <w:position w:val="-28"/>
          <w:sz w:val="24"/>
          <w:szCs w:val="24"/>
        </w:rPr>
        <w:object w:dxaOrig="1900" w:dyaOrig="540">
          <v:shape id="_x0000_i1025" type="#_x0000_t75" style="width:95.25pt;height:27.75pt" o:ole="">
            <v:imagedata r:id="rId9" o:title=""/>
          </v:shape>
          <o:OLEObject Type="Embed" ProgID="Equation.DSMT4" ShapeID="_x0000_i1025" DrawAspect="Content" ObjectID="_1553159833" r:id="rId11"/>
        </w:object>
      </w:r>
      <w:r w:rsidR="002502E2" w:rsidRPr="002502E2">
        <w:rPr>
          <w:rFonts w:ascii="Times New Roman" w:hAnsi="Times New Roman" w:cs="Times New Roman"/>
          <w:sz w:val="24"/>
          <w:szCs w:val="24"/>
        </w:rPr>
        <w:t xml:space="preserve">   </w:t>
      </w:r>
      <w:r w:rsidR="00A81262">
        <w:rPr>
          <w:rFonts w:ascii="Times New Roman" w:hAnsi="Times New Roman" w:cs="Times New Roman"/>
          <w:sz w:val="24"/>
          <w:szCs w:val="24"/>
        </w:rPr>
        <w:tab/>
        <w:t>(S</w:t>
      </w:r>
      <w:r w:rsidR="00222010">
        <w:rPr>
          <w:rFonts w:ascii="Times New Roman" w:hAnsi="Times New Roman" w:cs="Times New Roman"/>
          <w:sz w:val="24"/>
          <w:szCs w:val="24"/>
        </w:rPr>
        <w:t>.</w:t>
      </w:r>
      <w:r w:rsidR="00A81262">
        <w:rPr>
          <w:rFonts w:ascii="Times New Roman" w:hAnsi="Times New Roman" w:cs="Times New Roman"/>
          <w:sz w:val="24"/>
          <w:szCs w:val="24"/>
        </w:rPr>
        <w:t>1)</w:t>
      </w:r>
    </w:p>
    <w:p w:rsidR="00F14BDC" w:rsidRDefault="007E34B9" w:rsidP="00D92BCC">
      <w:pPr>
        <w:spacing w:before="0"/>
        <w:ind w:left="709"/>
        <w:rPr>
          <w:rFonts w:ascii="Times New Roman" w:hAnsi="Times New Roman" w:cs="Times New Roman"/>
          <w:sz w:val="24"/>
          <w:szCs w:val="24"/>
        </w:rPr>
      </w:pPr>
      <w:r>
        <w:rPr>
          <w:rFonts w:ascii="Times New Roman" w:hAnsi="Times New Roman" w:cs="Times New Roman"/>
          <w:sz w:val="24"/>
          <w:szCs w:val="24"/>
        </w:rPr>
        <w:t xml:space="preserve">This equation </w:t>
      </w:r>
      <w:r w:rsidR="002502E2">
        <w:rPr>
          <w:rFonts w:ascii="Times New Roman" w:hAnsi="Times New Roman" w:cs="Times New Roman"/>
          <w:sz w:val="24"/>
          <w:szCs w:val="24"/>
        </w:rPr>
        <w:t>compute</w:t>
      </w:r>
      <w:r>
        <w:rPr>
          <w:rFonts w:ascii="Times New Roman" w:hAnsi="Times New Roman" w:cs="Times New Roman"/>
          <w:sz w:val="24"/>
          <w:szCs w:val="24"/>
        </w:rPr>
        <w:t>s</w:t>
      </w:r>
      <w:r w:rsidR="002502E2">
        <w:rPr>
          <w:rFonts w:ascii="Times New Roman" w:hAnsi="Times New Roman" w:cs="Times New Roman"/>
          <w:sz w:val="24"/>
          <w:szCs w:val="24"/>
        </w:rPr>
        <w:t xml:space="preserve"> the economic effects of any given terrorism scenario.  In th</w:t>
      </w:r>
      <w:r>
        <w:rPr>
          <w:rFonts w:ascii="Times New Roman" w:hAnsi="Times New Roman" w:cs="Times New Roman"/>
          <w:sz w:val="24"/>
          <w:szCs w:val="24"/>
        </w:rPr>
        <w:t>e</w:t>
      </w:r>
      <w:r w:rsidR="002502E2">
        <w:rPr>
          <w:rFonts w:ascii="Times New Roman" w:hAnsi="Times New Roman" w:cs="Times New Roman"/>
          <w:sz w:val="24"/>
          <w:szCs w:val="24"/>
        </w:rPr>
        <w:t xml:space="preserve"> equation, v is </w:t>
      </w:r>
      <w:r w:rsidR="009900BA">
        <w:rPr>
          <w:rFonts w:ascii="Times New Roman" w:hAnsi="Times New Roman" w:cs="Times New Roman"/>
          <w:sz w:val="24"/>
          <w:szCs w:val="24"/>
        </w:rPr>
        <w:t xml:space="preserve">the percentage change in </w:t>
      </w:r>
      <w:r w:rsidR="002502E2">
        <w:rPr>
          <w:rFonts w:ascii="Times New Roman" w:hAnsi="Times New Roman" w:cs="Times New Roman"/>
          <w:sz w:val="24"/>
          <w:szCs w:val="24"/>
        </w:rPr>
        <w:t>an economic implication variable</w:t>
      </w:r>
      <w:r w:rsidR="009900BA">
        <w:rPr>
          <w:rFonts w:ascii="Times New Roman" w:hAnsi="Times New Roman" w:cs="Times New Roman"/>
          <w:sz w:val="24"/>
          <w:szCs w:val="24"/>
        </w:rPr>
        <w:t xml:space="preserve"> and s is t</w:t>
      </w:r>
      <w:r w:rsidR="002502E2">
        <w:rPr>
          <w:rFonts w:ascii="Times New Roman" w:hAnsi="Times New Roman" w:cs="Times New Roman"/>
          <w:sz w:val="24"/>
          <w:szCs w:val="24"/>
        </w:rPr>
        <w:t xml:space="preserve">he percentage </w:t>
      </w:r>
      <w:r w:rsidR="009900BA">
        <w:rPr>
          <w:rFonts w:ascii="Times New Roman" w:hAnsi="Times New Roman" w:cs="Times New Roman"/>
          <w:sz w:val="24"/>
          <w:szCs w:val="24"/>
        </w:rPr>
        <w:t xml:space="preserve">change in a </w:t>
      </w:r>
      <w:r w:rsidR="002B618D">
        <w:rPr>
          <w:rFonts w:ascii="Times New Roman" w:hAnsi="Times New Roman" w:cs="Times New Roman"/>
          <w:sz w:val="24"/>
          <w:szCs w:val="24"/>
        </w:rPr>
        <w:t>driving</w:t>
      </w:r>
      <w:r w:rsidR="009900BA">
        <w:rPr>
          <w:rFonts w:ascii="Times New Roman" w:hAnsi="Times New Roman" w:cs="Times New Roman"/>
          <w:sz w:val="24"/>
          <w:szCs w:val="24"/>
        </w:rPr>
        <w:t xml:space="preserve"> variable.  E(s,d,v) is a </w:t>
      </w:r>
      <w:r>
        <w:rPr>
          <w:rFonts w:ascii="Times New Roman" w:hAnsi="Times New Roman" w:cs="Times New Roman"/>
          <w:sz w:val="24"/>
          <w:szCs w:val="24"/>
        </w:rPr>
        <w:t xml:space="preserve">CGE-estimated </w:t>
      </w:r>
      <w:r w:rsidR="009900BA">
        <w:rPr>
          <w:rFonts w:ascii="Times New Roman" w:hAnsi="Times New Roman" w:cs="Times New Roman"/>
          <w:sz w:val="24"/>
          <w:szCs w:val="24"/>
        </w:rPr>
        <w:t xml:space="preserve">coefficient </w:t>
      </w:r>
      <w:r>
        <w:rPr>
          <w:rFonts w:ascii="Times New Roman" w:hAnsi="Times New Roman" w:cs="Times New Roman"/>
          <w:sz w:val="24"/>
          <w:szCs w:val="24"/>
        </w:rPr>
        <w:t>that we supplied to the TRA groups.  It is t</w:t>
      </w:r>
      <w:r w:rsidR="009900BA">
        <w:rPr>
          <w:rFonts w:ascii="Times New Roman" w:hAnsi="Times New Roman" w:cs="Times New Roman"/>
          <w:sz w:val="24"/>
          <w:szCs w:val="24"/>
        </w:rPr>
        <w:t xml:space="preserve">he elasticity of v to a terrorism shock s perpetrated in target region d.  For example, E(s,d,v) </w:t>
      </w:r>
      <w:r w:rsidR="00F14BDC">
        <w:rPr>
          <w:rFonts w:ascii="Times New Roman" w:hAnsi="Times New Roman" w:cs="Times New Roman"/>
          <w:sz w:val="24"/>
          <w:szCs w:val="24"/>
        </w:rPr>
        <w:t xml:space="preserve">could be the percentage effect on </w:t>
      </w:r>
      <w:r w:rsidR="00F14BDC">
        <w:rPr>
          <w:rFonts w:ascii="Times New Roman" w:hAnsi="Times New Roman" w:cs="Times New Roman"/>
          <w:sz w:val="24"/>
          <w:szCs w:val="24"/>
        </w:rPr>
        <w:lastRenderedPageBreak/>
        <w:t xml:space="preserve">national welfare of destruction of 1 per cent of the capital stock in congressional district NY14.  </w:t>
      </w:r>
    </w:p>
    <w:p w:rsidR="002502E2" w:rsidRDefault="00B60A61" w:rsidP="00257FEE">
      <w:pPr>
        <w:pStyle w:val="ListParagraph"/>
        <w:numPr>
          <w:ilvl w:val="0"/>
          <w:numId w:val="20"/>
        </w:numPr>
        <w:ind w:left="709" w:hanging="567"/>
        <w:rPr>
          <w:rFonts w:ascii="Times New Roman" w:hAnsi="Times New Roman" w:cs="Times New Roman"/>
          <w:sz w:val="24"/>
          <w:szCs w:val="24"/>
        </w:rPr>
      </w:pPr>
      <w:r>
        <w:rPr>
          <w:rFonts w:ascii="Times New Roman" w:hAnsi="Times New Roman" w:cs="Times New Roman"/>
          <w:sz w:val="24"/>
          <w:szCs w:val="24"/>
        </w:rPr>
        <w:t>Our</w:t>
      </w:r>
      <w:r w:rsidR="007E34B9">
        <w:rPr>
          <w:rFonts w:ascii="Times New Roman" w:hAnsi="Times New Roman" w:cs="Times New Roman"/>
          <w:sz w:val="24"/>
          <w:szCs w:val="24"/>
        </w:rPr>
        <w:t xml:space="preserve"> elasticity approach</w:t>
      </w:r>
      <w:r w:rsidR="00291558">
        <w:rPr>
          <w:rFonts w:ascii="Times New Roman" w:hAnsi="Times New Roman" w:cs="Times New Roman"/>
          <w:sz w:val="24"/>
          <w:szCs w:val="24"/>
        </w:rPr>
        <w:t xml:space="preserve"> offers a solution to both the computational and security challenges.  First, for any given terrorism scenario specified by a location and a vector of s variables, the elasticity equation can be computed in nanoseconds to evaluate a broad range of implication variables, v.  Second, as outside contractors supplying the E coefficients, we had no need for access to sensitive information concerning </w:t>
      </w:r>
      <w:r w:rsidR="002B618D">
        <w:rPr>
          <w:rFonts w:ascii="Times New Roman" w:hAnsi="Times New Roman" w:cs="Times New Roman"/>
          <w:sz w:val="24"/>
          <w:szCs w:val="24"/>
        </w:rPr>
        <w:t xml:space="preserve">specific </w:t>
      </w:r>
      <w:r w:rsidR="00291558">
        <w:rPr>
          <w:rFonts w:ascii="Times New Roman" w:hAnsi="Times New Roman" w:cs="Times New Roman"/>
          <w:sz w:val="24"/>
          <w:szCs w:val="24"/>
        </w:rPr>
        <w:t xml:space="preserve">shock vectors s and target regions d.  </w:t>
      </w:r>
    </w:p>
    <w:p w:rsidR="00F14BDC" w:rsidRDefault="00291558" w:rsidP="002B618D">
      <w:pPr>
        <w:pStyle w:val="ListParagraph"/>
        <w:numPr>
          <w:ilvl w:val="0"/>
          <w:numId w:val="20"/>
        </w:numPr>
        <w:ind w:left="709" w:hanging="567"/>
        <w:contextualSpacing w:val="0"/>
        <w:rPr>
          <w:rFonts w:ascii="Times New Roman" w:hAnsi="Times New Roman" w:cs="Times New Roman"/>
          <w:sz w:val="24"/>
          <w:szCs w:val="24"/>
        </w:rPr>
      </w:pPr>
      <w:r>
        <w:rPr>
          <w:rFonts w:ascii="Times New Roman" w:hAnsi="Times New Roman" w:cs="Times New Roman"/>
          <w:sz w:val="24"/>
          <w:szCs w:val="24"/>
        </w:rPr>
        <w:t xml:space="preserve">In estimating the E coefficients we used a </w:t>
      </w:r>
      <w:r w:rsidR="006B3108">
        <w:rPr>
          <w:rFonts w:ascii="Times New Roman" w:hAnsi="Times New Roman" w:cs="Times New Roman"/>
          <w:sz w:val="24"/>
          <w:szCs w:val="24"/>
        </w:rPr>
        <w:t xml:space="preserve">dynamic, multi-regional CGE model known as USAGE-TERM.  This is a regional version of the USAGE model which has been used for more than a decade by the U.S. International Trade Commission and several departments of the federal government to analyze a wide variety of </w:t>
      </w:r>
      <w:r w:rsidR="00B60A61">
        <w:rPr>
          <w:rFonts w:ascii="Times New Roman" w:hAnsi="Times New Roman" w:cs="Times New Roman"/>
          <w:sz w:val="24"/>
          <w:szCs w:val="24"/>
        </w:rPr>
        <w:t>topics</w:t>
      </w:r>
      <w:r w:rsidR="006B3108">
        <w:rPr>
          <w:rFonts w:ascii="Times New Roman" w:hAnsi="Times New Roman" w:cs="Times New Roman"/>
          <w:sz w:val="24"/>
          <w:szCs w:val="24"/>
        </w:rPr>
        <w:t xml:space="preserve"> in trade, immigration, transport infrastructure, energy and environment.  </w:t>
      </w:r>
    </w:p>
    <w:p w:rsidR="00257FEE" w:rsidRDefault="00257FEE" w:rsidP="002B618D">
      <w:pPr>
        <w:pStyle w:val="ListParagraph"/>
        <w:numPr>
          <w:ilvl w:val="0"/>
          <w:numId w:val="20"/>
        </w:numPr>
        <w:ind w:left="709" w:hanging="567"/>
        <w:contextualSpacing w:val="0"/>
        <w:rPr>
          <w:rFonts w:ascii="Times New Roman" w:hAnsi="Times New Roman" w:cs="Times New Roman"/>
          <w:sz w:val="24"/>
          <w:szCs w:val="24"/>
        </w:rPr>
      </w:pPr>
      <w:r>
        <w:rPr>
          <w:rFonts w:ascii="Times New Roman" w:hAnsi="Times New Roman" w:cs="Times New Roman"/>
          <w:sz w:val="24"/>
          <w:szCs w:val="24"/>
        </w:rPr>
        <w:t xml:space="preserve">The E coefficients </w:t>
      </w:r>
      <w:r w:rsidR="00E83AEF">
        <w:rPr>
          <w:rFonts w:ascii="Times New Roman" w:hAnsi="Times New Roman" w:cs="Times New Roman"/>
          <w:sz w:val="24"/>
          <w:szCs w:val="24"/>
        </w:rPr>
        <w:t>that we supplied to the TRA groups cover</w:t>
      </w:r>
      <w:r>
        <w:rPr>
          <w:rFonts w:ascii="Times New Roman" w:hAnsi="Times New Roman" w:cs="Times New Roman"/>
          <w:sz w:val="24"/>
          <w:szCs w:val="24"/>
        </w:rPr>
        <w:t xml:space="preserve"> 10 implication variables</w:t>
      </w:r>
      <w:r w:rsidR="006A4172">
        <w:rPr>
          <w:rFonts w:ascii="Times New Roman" w:hAnsi="Times New Roman" w:cs="Times New Roman"/>
          <w:sz w:val="24"/>
          <w:szCs w:val="24"/>
        </w:rPr>
        <w:t>,</w:t>
      </w:r>
      <w:r>
        <w:rPr>
          <w:rFonts w:ascii="Times New Roman" w:hAnsi="Times New Roman" w:cs="Times New Roman"/>
          <w:sz w:val="24"/>
          <w:szCs w:val="24"/>
        </w:rPr>
        <w:t xml:space="preserve"> v.  These include year 1 (short run) and year 20 (long run) measures of output and employment for the nation and the target region, and two measures of national economic welfare.</w:t>
      </w:r>
    </w:p>
    <w:p w:rsidR="00257FEE" w:rsidRDefault="00257FEE" w:rsidP="002B618D">
      <w:pPr>
        <w:pStyle w:val="ListParagraph"/>
        <w:numPr>
          <w:ilvl w:val="0"/>
          <w:numId w:val="20"/>
        </w:numPr>
        <w:ind w:left="709" w:hanging="567"/>
        <w:contextualSpacing w:val="0"/>
        <w:rPr>
          <w:rFonts w:ascii="Times New Roman" w:hAnsi="Times New Roman" w:cs="Times New Roman"/>
          <w:sz w:val="24"/>
          <w:szCs w:val="24"/>
        </w:rPr>
      </w:pPr>
      <w:r>
        <w:rPr>
          <w:rFonts w:ascii="Times New Roman" w:hAnsi="Times New Roman" w:cs="Times New Roman"/>
          <w:sz w:val="24"/>
          <w:szCs w:val="24"/>
        </w:rPr>
        <w:t xml:space="preserve">The E coefficients </w:t>
      </w:r>
      <w:r w:rsidR="00E83AEF">
        <w:rPr>
          <w:rFonts w:ascii="Times New Roman" w:hAnsi="Times New Roman" w:cs="Times New Roman"/>
          <w:sz w:val="24"/>
          <w:szCs w:val="24"/>
        </w:rPr>
        <w:t>cover</w:t>
      </w:r>
      <w:r>
        <w:rPr>
          <w:rFonts w:ascii="Times New Roman" w:hAnsi="Times New Roman" w:cs="Times New Roman"/>
          <w:sz w:val="24"/>
          <w:szCs w:val="24"/>
        </w:rPr>
        <w:t xml:space="preserve"> 14 </w:t>
      </w:r>
      <w:r w:rsidR="00B60A61">
        <w:rPr>
          <w:rFonts w:ascii="Times New Roman" w:hAnsi="Times New Roman" w:cs="Times New Roman"/>
          <w:sz w:val="24"/>
          <w:szCs w:val="24"/>
        </w:rPr>
        <w:t>driving</w:t>
      </w:r>
      <w:r>
        <w:rPr>
          <w:rFonts w:ascii="Times New Roman" w:hAnsi="Times New Roman" w:cs="Times New Roman"/>
          <w:sz w:val="24"/>
          <w:szCs w:val="24"/>
        </w:rPr>
        <w:t xml:space="preserve"> variables</w:t>
      </w:r>
      <w:r w:rsidR="006A4172">
        <w:rPr>
          <w:rFonts w:ascii="Times New Roman" w:hAnsi="Times New Roman" w:cs="Times New Roman"/>
          <w:sz w:val="24"/>
          <w:szCs w:val="24"/>
        </w:rPr>
        <w:t>,</w:t>
      </w:r>
      <w:r>
        <w:rPr>
          <w:rFonts w:ascii="Times New Roman" w:hAnsi="Times New Roman" w:cs="Times New Roman"/>
          <w:sz w:val="24"/>
          <w:szCs w:val="24"/>
        </w:rPr>
        <w:t xml:space="preserve"> </w:t>
      </w:r>
      <w:r w:rsidR="006A4172">
        <w:rPr>
          <w:rFonts w:ascii="Times New Roman" w:hAnsi="Times New Roman" w:cs="Times New Roman"/>
          <w:sz w:val="24"/>
          <w:szCs w:val="24"/>
        </w:rPr>
        <w:t>s</w:t>
      </w:r>
      <w:r>
        <w:rPr>
          <w:rFonts w:ascii="Times New Roman" w:hAnsi="Times New Roman" w:cs="Times New Roman"/>
          <w:sz w:val="24"/>
          <w:szCs w:val="24"/>
        </w:rPr>
        <w:t xml:space="preserve">.  These include </w:t>
      </w:r>
      <w:r w:rsidR="006A4172">
        <w:rPr>
          <w:rFonts w:ascii="Times New Roman" w:hAnsi="Times New Roman" w:cs="Times New Roman"/>
          <w:sz w:val="24"/>
          <w:szCs w:val="24"/>
        </w:rPr>
        <w:t xml:space="preserve">property damage, deaths, clean-up expenditures, medical expenditures, accommodation expenditures, foreign and domestic visitor discouragement, loss of food output and long-term aversion to working in the target region. </w:t>
      </w:r>
      <w:r>
        <w:rPr>
          <w:rFonts w:ascii="Times New Roman" w:hAnsi="Times New Roman" w:cs="Times New Roman"/>
          <w:sz w:val="24"/>
          <w:szCs w:val="24"/>
        </w:rPr>
        <w:t xml:space="preserve"> </w:t>
      </w:r>
    </w:p>
    <w:p w:rsidR="006A4172" w:rsidRDefault="006A4172" w:rsidP="002B618D">
      <w:pPr>
        <w:pStyle w:val="ListParagraph"/>
        <w:numPr>
          <w:ilvl w:val="0"/>
          <w:numId w:val="20"/>
        </w:numPr>
        <w:ind w:left="709" w:hanging="567"/>
        <w:contextualSpacing w:val="0"/>
        <w:rPr>
          <w:rFonts w:ascii="Times New Roman" w:hAnsi="Times New Roman" w:cs="Times New Roman"/>
          <w:sz w:val="24"/>
          <w:szCs w:val="24"/>
        </w:rPr>
      </w:pPr>
      <w:r>
        <w:rPr>
          <w:rFonts w:ascii="Times New Roman" w:hAnsi="Times New Roman" w:cs="Times New Roman"/>
          <w:sz w:val="24"/>
          <w:szCs w:val="24"/>
        </w:rPr>
        <w:t xml:space="preserve">The E coefficients </w:t>
      </w:r>
      <w:r w:rsidR="00E83AEF">
        <w:rPr>
          <w:rFonts w:ascii="Times New Roman" w:hAnsi="Times New Roman" w:cs="Times New Roman"/>
          <w:sz w:val="24"/>
          <w:szCs w:val="24"/>
        </w:rPr>
        <w:t>cover</w:t>
      </w:r>
      <w:r>
        <w:rPr>
          <w:rFonts w:ascii="Times New Roman" w:hAnsi="Times New Roman" w:cs="Times New Roman"/>
          <w:sz w:val="24"/>
          <w:szCs w:val="24"/>
        </w:rPr>
        <w:t xml:space="preserve"> 170 target regions, d.  These are the congressional districts located in 74 cities identified by the TRA groups as potential terrorism targets.  </w:t>
      </w:r>
    </w:p>
    <w:p w:rsidR="006E67C1" w:rsidRDefault="006E67C1" w:rsidP="002B618D">
      <w:pPr>
        <w:pStyle w:val="ListParagraph"/>
        <w:numPr>
          <w:ilvl w:val="0"/>
          <w:numId w:val="20"/>
        </w:numPr>
        <w:ind w:left="709" w:hanging="567"/>
        <w:contextualSpacing w:val="0"/>
        <w:rPr>
          <w:rFonts w:ascii="Times New Roman" w:hAnsi="Times New Roman" w:cs="Times New Roman"/>
          <w:sz w:val="24"/>
          <w:szCs w:val="24"/>
        </w:rPr>
      </w:pPr>
      <w:r>
        <w:rPr>
          <w:rFonts w:ascii="Times New Roman" w:hAnsi="Times New Roman" w:cs="Times New Roman"/>
          <w:sz w:val="24"/>
          <w:szCs w:val="24"/>
        </w:rPr>
        <w:t>Clean-up, medical and other expenditures have greater short-run stimulatory effects in an economy experiencing high levels of unemployment than in an economy with normal levels.  By the same token, loss of visitor expenditures has a greater short-run depressing effect in an underemployed economy whe</w:t>
      </w:r>
      <w:r w:rsidR="0032610D">
        <w:rPr>
          <w:rFonts w:ascii="Times New Roman" w:hAnsi="Times New Roman" w:cs="Times New Roman"/>
          <w:sz w:val="24"/>
          <w:szCs w:val="24"/>
        </w:rPr>
        <w:t>re</w:t>
      </w:r>
      <w:r>
        <w:rPr>
          <w:rFonts w:ascii="Times New Roman" w:hAnsi="Times New Roman" w:cs="Times New Roman"/>
          <w:sz w:val="24"/>
          <w:szCs w:val="24"/>
        </w:rPr>
        <w:t xml:space="preserve"> new jobs are hard to find than in an economy with normal levels</w:t>
      </w:r>
      <w:r w:rsidR="0032610D">
        <w:rPr>
          <w:rFonts w:ascii="Times New Roman" w:hAnsi="Times New Roman" w:cs="Times New Roman"/>
          <w:sz w:val="24"/>
          <w:szCs w:val="24"/>
        </w:rPr>
        <w:t xml:space="preserve"> of employment</w:t>
      </w:r>
      <w:r>
        <w:rPr>
          <w:rFonts w:ascii="Times New Roman" w:hAnsi="Times New Roman" w:cs="Times New Roman"/>
          <w:sz w:val="24"/>
          <w:szCs w:val="24"/>
        </w:rPr>
        <w:t>.</w:t>
      </w:r>
      <w:r w:rsidR="0032610D">
        <w:rPr>
          <w:rFonts w:ascii="Times New Roman" w:hAnsi="Times New Roman" w:cs="Times New Roman"/>
          <w:sz w:val="24"/>
          <w:szCs w:val="24"/>
        </w:rPr>
        <w:t xml:space="preserve">  These considerations led us to compute two sets of E coefficients, one for a situation in which the terrorism event takes place at a time of high unemployment and the other for a situation of normal employment.  We refer to the first set as Keynesian elasticities and the second as Neoclassical elasticities.   </w:t>
      </w:r>
    </w:p>
    <w:p w:rsidR="006B3108" w:rsidRDefault="0032610D" w:rsidP="002B618D">
      <w:pPr>
        <w:pStyle w:val="ListParagraph"/>
        <w:numPr>
          <w:ilvl w:val="0"/>
          <w:numId w:val="20"/>
        </w:numPr>
        <w:ind w:left="709" w:hanging="567"/>
        <w:contextualSpacing w:val="0"/>
        <w:rPr>
          <w:rFonts w:ascii="Times New Roman" w:hAnsi="Times New Roman" w:cs="Times New Roman"/>
          <w:sz w:val="24"/>
          <w:szCs w:val="24"/>
        </w:rPr>
      </w:pPr>
      <w:r>
        <w:rPr>
          <w:rFonts w:ascii="Times New Roman" w:hAnsi="Times New Roman" w:cs="Times New Roman"/>
          <w:sz w:val="24"/>
          <w:szCs w:val="24"/>
        </w:rPr>
        <w:t>A</w:t>
      </w:r>
      <w:r w:rsidR="00367E79">
        <w:rPr>
          <w:rFonts w:ascii="Times New Roman" w:hAnsi="Times New Roman" w:cs="Times New Roman"/>
          <w:sz w:val="24"/>
          <w:szCs w:val="24"/>
        </w:rPr>
        <w:t>l</w:t>
      </w:r>
      <w:r>
        <w:rPr>
          <w:rFonts w:ascii="Times New Roman" w:hAnsi="Times New Roman" w:cs="Times New Roman"/>
          <w:sz w:val="24"/>
          <w:szCs w:val="24"/>
        </w:rPr>
        <w:t xml:space="preserve">together we supplied 47,600 </w:t>
      </w:r>
      <w:r w:rsidR="006B3108">
        <w:rPr>
          <w:rFonts w:ascii="Times New Roman" w:hAnsi="Times New Roman" w:cs="Times New Roman"/>
          <w:sz w:val="24"/>
          <w:szCs w:val="24"/>
        </w:rPr>
        <w:t>E coefficients to the TRA groups</w:t>
      </w:r>
      <w:r>
        <w:rPr>
          <w:rFonts w:ascii="Times New Roman" w:hAnsi="Times New Roman" w:cs="Times New Roman"/>
          <w:sz w:val="24"/>
          <w:szCs w:val="24"/>
        </w:rPr>
        <w:t>:</w:t>
      </w:r>
      <w:r w:rsidR="006B3108">
        <w:rPr>
          <w:rFonts w:ascii="Times New Roman" w:hAnsi="Times New Roman" w:cs="Times New Roman"/>
          <w:sz w:val="24"/>
          <w:szCs w:val="24"/>
        </w:rPr>
        <w:t xml:space="preserve"> 10 implication variables</w:t>
      </w:r>
      <w:r w:rsidR="00257FEE">
        <w:rPr>
          <w:rFonts w:ascii="Times New Roman" w:hAnsi="Times New Roman" w:cs="Times New Roman"/>
          <w:sz w:val="24"/>
          <w:szCs w:val="24"/>
        </w:rPr>
        <w:t xml:space="preserve"> (s) by 170 potential target regions (d) by 14 </w:t>
      </w:r>
      <w:r w:rsidR="00B60A61">
        <w:rPr>
          <w:rFonts w:ascii="Times New Roman" w:hAnsi="Times New Roman" w:cs="Times New Roman"/>
          <w:sz w:val="24"/>
          <w:szCs w:val="24"/>
        </w:rPr>
        <w:t>driving</w:t>
      </w:r>
      <w:r w:rsidR="00257FEE">
        <w:rPr>
          <w:rFonts w:ascii="Times New Roman" w:hAnsi="Times New Roman" w:cs="Times New Roman"/>
          <w:sz w:val="24"/>
          <w:szCs w:val="24"/>
        </w:rPr>
        <w:t xml:space="preserve"> variables (s) by 2 sets of assumptions, Keynesian and Neoclassical.  </w:t>
      </w:r>
    </w:p>
    <w:p w:rsidR="00F04177" w:rsidRDefault="00367E79" w:rsidP="002B618D">
      <w:pPr>
        <w:pStyle w:val="ListParagraph"/>
        <w:numPr>
          <w:ilvl w:val="0"/>
          <w:numId w:val="20"/>
        </w:numPr>
        <w:ind w:left="709" w:hanging="567"/>
        <w:contextualSpacing w:val="0"/>
        <w:rPr>
          <w:rFonts w:ascii="Times New Roman" w:hAnsi="Times New Roman" w:cs="Times New Roman"/>
          <w:sz w:val="24"/>
          <w:szCs w:val="24"/>
        </w:rPr>
      </w:pPr>
      <w:r>
        <w:rPr>
          <w:rFonts w:ascii="Times New Roman" w:hAnsi="Times New Roman" w:cs="Times New Roman"/>
          <w:sz w:val="24"/>
          <w:szCs w:val="24"/>
        </w:rPr>
        <w:t xml:space="preserve">It is possible to imagine estimating the E coefficients </w:t>
      </w:r>
      <w:r w:rsidRPr="00AC1316">
        <w:rPr>
          <w:rFonts w:ascii="Times New Roman" w:hAnsi="Times New Roman" w:cs="Times New Roman"/>
          <w:sz w:val="24"/>
          <w:szCs w:val="24"/>
        </w:rPr>
        <w:t>by conducting simulations</w:t>
      </w:r>
      <w:r>
        <w:rPr>
          <w:rFonts w:ascii="Times New Roman" w:hAnsi="Times New Roman" w:cs="Times New Roman"/>
          <w:sz w:val="24"/>
          <w:szCs w:val="24"/>
        </w:rPr>
        <w:t xml:space="preserve"> </w:t>
      </w:r>
      <w:r w:rsidR="00016100">
        <w:rPr>
          <w:rFonts w:ascii="Times New Roman" w:hAnsi="Times New Roman" w:cs="Times New Roman"/>
          <w:sz w:val="24"/>
          <w:szCs w:val="24"/>
        </w:rPr>
        <w:t xml:space="preserve">in a version of USAGE-TERM identifying the </w:t>
      </w:r>
      <w:r w:rsidR="00F04177">
        <w:rPr>
          <w:rFonts w:ascii="Times New Roman" w:hAnsi="Times New Roman" w:cs="Times New Roman"/>
          <w:sz w:val="24"/>
          <w:szCs w:val="24"/>
        </w:rPr>
        <w:t>170 potential target</w:t>
      </w:r>
      <w:r w:rsidR="00016100">
        <w:rPr>
          <w:rFonts w:ascii="Times New Roman" w:hAnsi="Times New Roman" w:cs="Times New Roman"/>
          <w:sz w:val="24"/>
          <w:szCs w:val="24"/>
        </w:rPr>
        <w:t xml:space="preserve"> congressional districts</w:t>
      </w:r>
      <w:r w:rsidR="00F04177">
        <w:rPr>
          <w:rFonts w:ascii="Times New Roman" w:hAnsi="Times New Roman" w:cs="Times New Roman"/>
          <w:sz w:val="24"/>
          <w:szCs w:val="24"/>
        </w:rPr>
        <w:t xml:space="preserve"> plus the remainder of the U.S. </w:t>
      </w:r>
      <w:r w:rsidR="00016100">
        <w:rPr>
          <w:rFonts w:ascii="Times New Roman" w:hAnsi="Times New Roman" w:cs="Times New Roman"/>
          <w:sz w:val="24"/>
          <w:szCs w:val="24"/>
        </w:rPr>
        <w:t xml:space="preserve"> F</w:t>
      </w:r>
      <w:r>
        <w:rPr>
          <w:rFonts w:ascii="Times New Roman" w:hAnsi="Times New Roman" w:cs="Times New Roman"/>
          <w:sz w:val="24"/>
          <w:szCs w:val="24"/>
        </w:rPr>
        <w:t>or each s</w:t>
      </w:r>
      <w:r w:rsidR="00016100">
        <w:rPr>
          <w:rFonts w:ascii="Times New Roman" w:hAnsi="Times New Roman" w:cs="Times New Roman"/>
          <w:sz w:val="24"/>
          <w:szCs w:val="24"/>
        </w:rPr>
        <w:t>,d pair</w:t>
      </w:r>
      <w:r w:rsidR="00137447">
        <w:rPr>
          <w:rFonts w:ascii="Times New Roman" w:hAnsi="Times New Roman" w:cs="Times New Roman"/>
          <w:sz w:val="24"/>
          <w:szCs w:val="24"/>
        </w:rPr>
        <w:t xml:space="preserve"> and macro assumption A</w:t>
      </w:r>
      <w:r w:rsidR="00016100">
        <w:rPr>
          <w:rFonts w:ascii="Times New Roman" w:hAnsi="Times New Roman" w:cs="Times New Roman"/>
          <w:sz w:val="24"/>
          <w:szCs w:val="24"/>
        </w:rPr>
        <w:t xml:space="preserve"> </w:t>
      </w:r>
      <w:r w:rsidR="00137447">
        <w:rPr>
          <w:rFonts w:ascii="Times New Roman" w:hAnsi="Times New Roman" w:cs="Times New Roman"/>
          <w:sz w:val="24"/>
          <w:szCs w:val="24"/>
        </w:rPr>
        <w:t>(Keynesian or Neoclassical),</w:t>
      </w:r>
      <w:r w:rsidR="00B60A61">
        <w:rPr>
          <w:rFonts w:ascii="Times New Roman" w:hAnsi="Times New Roman" w:cs="Times New Roman"/>
          <w:sz w:val="24"/>
          <w:szCs w:val="24"/>
        </w:rPr>
        <w:t xml:space="preserve"> </w:t>
      </w:r>
      <w:r w:rsidR="00016100">
        <w:rPr>
          <w:rFonts w:ascii="Times New Roman" w:hAnsi="Times New Roman" w:cs="Times New Roman"/>
          <w:sz w:val="24"/>
          <w:szCs w:val="24"/>
        </w:rPr>
        <w:t xml:space="preserve">we would </w:t>
      </w:r>
      <w:r w:rsidR="00016100" w:rsidRPr="00AC1316">
        <w:rPr>
          <w:rFonts w:ascii="Times New Roman" w:hAnsi="Times New Roman" w:cs="Times New Roman"/>
          <w:sz w:val="24"/>
          <w:szCs w:val="24"/>
        </w:rPr>
        <w:t xml:space="preserve">perform a </w:t>
      </w:r>
      <w:r w:rsidR="00137447" w:rsidRPr="00AC1316">
        <w:rPr>
          <w:rFonts w:ascii="Times New Roman" w:hAnsi="Times New Roman" w:cs="Times New Roman"/>
          <w:sz w:val="24"/>
          <w:szCs w:val="24"/>
        </w:rPr>
        <w:t>simulation t</w:t>
      </w:r>
      <w:r w:rsidR="00137447">
        <w:rPr>
          <w:rFonts w:ascii="Times New Roman" w:hAnsi="Times New Roman" w:cs="Times New Roman"/>
          <w:sz w:val="24"/>
          <w:szCs w:val="24"/>
        </w:rPr>
        <w:t xml:space="preserve">o find out </w:t>
      </w:r>
      <w:r w:rsidR="00C925B4">
        <w:rPr>
          <w:rFonts w:ascii="Times New Roman" w:hAnsi="Times New Roman" w:cs="Times New Roman"/>
          <w:sz w:val="24"/>
          <w:szCs w:val="24"/>
        </w:rPr>
        <w:t>the effects on the 10 implication variables of</w:t>
      </w:r>
      <w:r w:rsidR="00137447">
        <w:rPr>
          <w:rFonts w:ascii="Times New Roman" w:hAnsi="Times New Roman" w:cs="Times New Roman"/>
          <w:sz w:val="24"/>
          <w:szCs w:val="24"/>
        </w:rPr>
        <w:t xml:space="preserve"> a 1 per cent s shock perpetrated in </w:t>
      </w:r>
      <w:r w:rsidR="00F04177">
        <w:rPr>
          <w:rFonts w:ascii="Times New Roman" w:hAnsi="Times New Roman" w:cs="Times New Roman"/>
          <w:sz w:val="24"/>
          <w:szCs w:val="24"/>
        </w:rPr>
        <w:t>congressional district</w:t>
      </w:r>
      <w:r w:rsidR="00137447">
        <w:rPr>
          <w:rFonts w:ascii="Times New Roman" w:hAnsi="Times New Roman" w:cs="Times New Roman"/>
          <w:sz w:val="24"/>
          <w:szCs w:val="24"/>
        </w:rPr>
        <w:t xml:space="preserve"> d</w:t>
      </w:r>
      <w:r w:rsidR="00C925B4">
        <w:rPr>
          <w:rFonts w:ascii="Times New Roman" w:hAnsi="Times New Roman" w:cs="Times New Roman"/>
          <w:sz w:val="24"/>
          <w:szCs w:val="24"/>
        </w:rPr>
        <w:t xml:space="preserve">.  </w:t>
      </w:r>
      <w:r w:rsidR="00F04177">
        <w:rPr>
          <w:rFonts w:ascii="Times New Roman" w:hAnsi="Times New Roman" w:cs="Times New Roman"/>
          <w:sz w:val="24"/>
          <w:szCs w:val="24"/>
        </w:rPr>
        <w:t xml:space="preserve">Using this 170+ region model we would </w:t>
      </w:r>
      <w:r w:rsidR="00137447">
        <w:rPr>
          <w:rFonts w:ascii="Times New Roman" w:hAnsi="Times New Roman" w:cs="Times New Roman"/>
          <w:sz w:val="24"/>
          <w:szCs w:val="24"/>
        </w:rPr>
        <w:t>find out</w:t>
      </w:r>
      <w:r w:rsidR="00F04177">
        <w:rPr>
          <w:rFonts w:ascii="Times New Roman" w:hAnsi="Times New Roman" w:cs="Times New Roman"/>
          <w:sz w:val="24"/>
          <w:szCs w:val="24"/>
        </w:rPr>
        <w:t>, for example,</w:t>
      </w:r>
      <w:r w:rsidR="00137447">
        <w:rPr>
          <w:rFonts w:ascii="Times New Roman" w:hAnsi="Times New Roman" w:cs="Times New Roman"/>
          <w:sz w:val="24"/>
          <w:szCs w:val="24"/>
        </w:rPr>
        <w:t xml:space="preserve"> the sensitivity of national welfare and other implication variables to capital destruction in NY14 under Keynesian assumptions.  </w:t>
      </w:r>
      <w:r w:rsidR="00F04177">
        <w:rPr>
          <w:rFonts w:ascii="Times New Roman" w:hAnsi="Times New Roman" w:cs="Times New Roman"/>
          <w:sz w:val="24"/>
          <w:szCs w:val="24"/>
        </w:rPr>
        <w:t>While this is a conceptually useful way to think about the estimation of the E coefficients, it is not a description of a practical approach.  First, even with large computers, it is not possible to solve a CGE model having 170+ regions and a number of industries adequate for terrorism analysis</w:t>
      </w:r>
      <w:r w:rsidR="003A50FF">
        <w:rPr>
          <w:rFonts w:ascii="Times New Roman" w:hAnsi="Times New Roman" w:cs="Times New Roman"/>
          <w:sz w:val="24"/>
          <w:szCs w:val="24"/>
        </w:rPr>
        <w:t xml:space="preserve"> (say, 20 industries)</w:t>
      </w:r>
      <w:r w:rsidR="00F04177">
        <w:rPr>
          <w:rFonts w:ascii="Times New Roman" w:hAnsi="Times New Roman" w:cs="Times New Roman"/>
          <w:sz w:val="24"/>
          <w:szCs w:val="24"/>
        </w:rPr>
        <w:t xml:space="preserve">.  Second, we would need to perform 4,760 simulations: </w:t>
      </w:r>
      <w:r w:rsidR="003A50FF">
        <w:rPr>
          <w:rFonts w:ascii="Times New Roman" w:hAnsi="Times New Roman" w:cs="Times New Roman"/>
          <w:sz w:val="24"/>
          <w:szCs w:val="24"/>
        </w:rPr>
        <w:t xml:space="preserve">14 </w:t>
      </w:r>
      <w:r w:rsidR="00B60A61">
        <w:rPr>
          <w:rFonts w:ascii="Times New Roman" w:hAnsi="Times New Roman" w:cs="Times New Roman"/>
          <w:sz w:val="24"/>
          <w:szCs w:val="24"/>
        </w:rPr>
        <w:t>driving</w:t>
      </w:r>
      <w:r w:rsidR="003A50FF">
        <w:rPr>
          <w:rFonts w:ascii="Times New Roman" w:hAnsi="Times New Roman" w:cs="Times New Roman"/>
          <w:sz w:val="24"/>
          <w:szCs w:val="24"/>
        </w:rPr>
        <w:t xml:space="preserve"> variables by 170 </w:t>
      </w:r>
      <w:r w:rsidR="003A50FF">
        <w:rPr>
          <w:rFonts w:ascii="Times New Roman" w:hAnsi="Times New Roman" w:cs="Times New Roman"/>
          <w:sz w:val="24"/>
          <w:szCs w:val="24"/>
        </w:rPr>
        <w:lastRenderedPageBreak/>
        <w:t>potential target regions</w:t>
      </w:r>
      <w:r w:rsidR="003A50FF" w:rsidRPr="003A50FF">
        <w:rPr>
          <w:rFonts w:ascii="Times New Roman" w:hAnsi="Times New Roman" w:cs="Times New Roman"/>
          <w:sz w:val="24"/>
          <w:szCs w:val="24"/>
        </w:rPr>
        <w:t xml:space="preserve"> </w:t>
      </w:r>
      <w:r w:rsidR="003A50FF">
        <w:rPr>
          <w:rFonts w:ascii="Times New Roman" w:hAnsi="Times New Roman" w:cs="Times New Roman"/>
          <w:sz w:val="24"/>
          <w:szCs w:val="24"/>
        </w:rPr>
        <w:t xml:space="preserve">by 2 sets of assumptions.  This is too many simulations even for a model with moderate regional disaggregation. </w:t>
      </w:r>
    </w:p>
    <w:p w:rsidR="00DB40CD" w:rsidRDefault="003A50FF" w:rsidP="002B618D">
      <w:pPr>
        <w:pStyle w:val="ListParagraph"/>
        <w:numPr>
          <w:ilvl w:val="0"/>
          <w:numId w:val="20"/>
        </w:numPr>
        <w:ind w:left="709" w:hanging="567"/>
        <w:contextualSpacing w:val="0"/>
        <w:rPr>
          <w:rFonts w:ascii="Times New Roman" w:hAnsi="Times New Roman" w:cs="Times New Roman"/>
          <w:sz w:val="24"/>
          <w:szCs w:val="24"/>
        </w:rPr>
      </w:pPr>
      <w:r>
        <w:rPr>
          <w:rFonts w:ascii="Times New Roman" w:hAnsi="Times New Roman" w:cs="Times New Roman"/>
          <w:sz w:val="24"/>
          <w:szCs w:val="24"/>
        </w:rPr>
        <w:t xml:space="preserve">To solve the problem of </w:t>
      </w:r>
      <w:r w:rsidR="00B60A61">
        <w:rPr>
          <w:rFonts w:ascii="Times New Roman" w:hAnsi="Times New Roman" w:cs="Times New Roman"/>
          <w:sz w:val="24"/>
          <w:szCs w:val="24"/>
        </w:rPr>
        <w:t xml:space="preserve">excessive </w:t>
      </w:r>
      <w:r>
        <w:rPr>
          <w:rFonts w:ascii="Times New Roman" w:hAnsi="Times New Roman" w:cs="Times New Roman"/>
          <w:sz w:val="24"/>
          <w:szCs w:val="24"/>
        </w:rPr>
        <w:t>regional dimensionality, we used 4-region versions of USAGE-TERM</w:t>
      </w:r>
      <w:r w:rsidR="00AC1316">
        <w:rPr>
          <w:rFonts w:ascii="Times New Roman" w:hAnsi="Times New Roman" w:cs="Times New Roman"/>
          <w:sz w:val="24"/>
          <w:szCs w:val="24"/>
        </w:rPr>
        <w:t xml:space="preserve"> in which t</w:t>
      </w:r>
      <w:r>
        <w:rPr>
          <w:rFonts w:ascii="Times New Roman" w:hAnsi="Times New Roman" w:cs="Times New Roman"/>
          <w:sz w:val="24"/>
          <w:szCs w:val="24"/>
        </w:rPr>
        <w:t xml:space="preserve">he 4 regions </w:t>
      </w:r>
      <w:r w:rsidR="00AC1316">
        <w:rPr>
          <w:rFonts w:ascii="Times New Roman" w:hAnsi="Times New Roman" w:cs="Times New Roman"/>
          <w:sz w:val="24"/>
          <w:szCs w:val="24"/>
        </w:rPr>
        <w:t>are</w:t>
      </w:r>
      <w:r>
        <w:rPr>
          <w:rFonts w:ascii="Times New Roman" w:hAnsi="Times New Roman" w:cs="Times New Roman"/>
          <w:sz w:val="24"/>
          <w:szCs w:val="24"/>
        </w:rPr>
        <w:t xml:space="preserve">: a congressional district (one of the 170 potential targets); Rest of city; Rest of state; and Rest of U.S.  </w:t>
      </w:r>
      <w:r w:rsidR="00DB40CD">
        <w:rPr>
          <w:rFonts w:ascii="Times New Roman" w:hAnsi="Times New Roman" w:cs="Times New Roman"/>
          <w:sz w:val="24"/>
          <w:szCs w:val="24"/>
        </w:rPr>
        <w:t>We refer to the model that separately identif</w:t>
      </w:r>
      <w:r w:rsidR="00AC1316">
        <w:rPr>
          <w:rFonts w:ascii="Times New Roman" w:hAnsi="Times New Roman" w:cs="Times New Roman"/>
          <w:sz w:val="24"/>
          <w:szCs w:val="24"/>
        </w:rPr>
        <w:t xml:space="preserve">ies </w:t>
      </w:r>
      <w:r w:rsidR="00DB40CD">
        <w:rPr>
          <w:rFonts w:ascii="Times New Roman" w:hAnsi="Times New Roman" w:cs="Times New Roman"/>
          <w:sz w:val="24"/>
          <w:szCs w:val="24"/>
        </w:rPr>
        <w:t>congressional district d as the d-model.  By performing 28 simulations (14 s shocks under 2 assumptions A) with the d-model we can obtain estimates of E</w:t>
      </w:r>
      <w:r w:rsidR="00DB40CD">
        <w:rPr>
          <w:rFonts w:ascii="Times New Roman" w:hAnsi="Times New Roman" w:cs="Times New Roman"/>
          <w:sz w:val="24"/>
          <w:szCs w:val="24"/>
          <w:vertAlign w:val="subscript"/>
        </w:rPr>
        <w:t>A</w:t>
      </w:r>
      <w:r w:rsidR="00DB40CD">
        <w:rPr>
          <w:rFonts w:ascii="Times New Roman" w:hAnsi="Times New Roman" w:cs="Times New Roman"/>
          <w:sz w:val="24"/>
          <w:szCs w:val="24"/>
        </w:rPr>
        <w:t>(s,d,v) for all s, v and A.  From a computational point of view, 28 simulations with a 4-region, 20-industry model going out 20 years is manageable</w:t>
      </w:r>
      <w:r w:rsidR="007230A0">
        <w:rPr>
          <w:rFonts w:ascii="Times New Roman" w:hAnsi="Times New Roman" w:cs="Times New Roman"/>
          <w:sz w:val="24"/>
          <w:szCs w:val="24"/>
        </w:rPr>
        <w:t xml:space="preserve">: </w:t>
      </w:r>
      <w:r w:rsidR="001446B0">
        <w:rPr>
          <w:rFonts w:ascii="Times New Roman" w:hAnsi="Times New Roman" w:cs="Times New Roman"/>
          <w:sz w:val="24"/>
          <w:szCs w:val="24"/>
        </w:rPr>
        <w:t xml:space="preserve">each simulations takes </w:t>
      </w:r>
      <w:r w:rsidR="007230A0">
        <w:rPr>
          <w:rFonts w:ascii="Times New Roman" w:hAnsi="Times New Roman" w:cs="Times New Roman"/>
          <w:sz w:val="24"/>
          <w:szCs w:val="24"/>
        </w:rPr>
        <w:t xml:space="preserve">about </w:t>
      </w:r>
      <w:r w:rsidR="00AC1316">
        <w:rPr>
          <w:rFonts w:ascii="Times New Roman" w:hAnsi="Times New Roman" w:cs="Times New Roman"/>
          <w:sz w:val="24"/>
          <w:szCs w:val="24"/>
        </w:rPr>
        <w:t xml:space="preserve">6 minutes </w:t>
      </w:r>
      <w:r w:rsidR="007230A0">
        <w:rPr>
          <w:rFonts w:ascii="Times New Roman" w:hAnsi="Times New Roman" w:cs="Times New Roman"/>
          <w:sz w:val="24"/>
          <w:szCs w:val="24"/>
        </w:rPr>
        <w:t xml:space="preserve">on </w:t>
      </w:r>
      <w:r w:rsidR="00AC1316">
        <w:rPr>
          <w:rFonts w:ascii="Times New Roman" w:hAnsi="Times New Roman" w:cs="Times New Roman"/>
          <w:sz w:val="24"/>
          <w:szCs w:val="24"/>
        </w:rPr>
        <w:t>a</w:t>
      </w:r>
      <w:r w:rsidR="007230A0">
        <w:rPr>
          <w:rFonts w:ascii="Times New Roman" w:hAnsi="Times New Roman" w:cs="Times New Roman"/>
          <w:sz w:val="24"/>
          <w:szCs w:val="24"/>
        </w:rPr>
        <w:t xml:space="preserve"> high-speed desktop computer.  But </w:t>
      </w:r>
      <w:r w:rsidR="00AC1316">
        <w:rPr>
          <w:rFonts w:ascii="Times New Roman" w:hAnsi="Times New Roman" w:cs="Times New Roman"/>
          <w:sz w:val="24"/>
          <w:szCs w:val="24"/>
        </w:rPr>
        <w:t xml:space="preserve">creating 170 d-models and performing 28 simulations with each </w:t>
      </w:r>
      <w:r w:rsidR="007230A0">
        <w:rPr>
          <w:rFonts w:ascii="Times New Roman" w:hAnsi="Times New Roman" w:cs="Times New Roman"/>
          <w:sz w:val="24"/>
          <w:szCs w:val="24"/>
        </w:rPr>
        <w:t xml:space="preserve">would not be manageable, especially when it is recognized that all computations inevitably need to be repeated several times to eliminate errors and introduce improvements.  </w:t>
      </w:r>
    </w:p>
    <w:p w:rsidR="00C57E26" w:rsidRDefault="007230A0" w:rsidP="002B618D">
      <w:pPr>
        <w:pStyle w:val="ListParagraph"/>
        <w:numPr>
          <w:ilvl w:val="0"/>
          <w:numId w:val="20"/>
        </w:numPr>
        <w:ind w:left="709" w:hanging="567"/>
        <w:contextualSpacing w:val="0"/>
        <w:rPr>
          <w:rFonts w:ascii="Times New Roman" w:hAnsi="Times New Roman" w:cs="Times New Roman"/>
          <w:sz w:val="24"/>
          <w:szCs w:val="24"/>
        </w:rPr>
      </w:pPr>
      <w:r w:rsidRPr="001446B0">
        <w:rPr>
          <w:rFonts w:ascii="Times New Roman" w:hAnsi="Times New Roman" w:cs="Times New Roman"/>
          <w:sz w:val="24"/>
          <w:szCs w:val="24"/>
        </w:rPr>
        <w:t>To solve the problem of an excessive number of d-models we designed a method for using estimates of E</w:t>
      </w:r>
      <w:r w:rsidRPr="001446B0">
        <w:rPr>
          <w:rFonts w:ascii="Times New Roman" w:hAnsi="Times New Roman" w:cs="Times New Roman"/>
          <w:sz w:val="24"/>
          <w:szCs w:val="24"/>
          <w:vertAlign w:val="subscript"/>
        </w:rPr>
        <w:t>A</w:t>
      </w:r>
      <w:r w:rsidRPr="001446B0">
        <w:rPr>
          <w:rFonts w:ascii="Times New Roman" w:hAnsi="Times New Roman" w:cs="Times New Roman"/>
          <w:sz w:val="24"/>
          <w:szCs w:val="24"/>
        </w:rPr>
        <w:t>(s,d,v) matrices derived from a small number of d-models to obtain estimates of E</w:t>
      </w:r>
      <w:r w:rsidRPr="001446B0">
        <w:rPr>
          <w:rFonts w:ascii="Times New Roman" w:hAnsi="Times New Roman" w:cs="Times New Roman"/>
          <w:sz w:val="24"/>
          <w:szCs w:val="24"/>
          <w:vertAlign w:val="subscript"/>
        </w:rPr>
        <w:t>A</w:t>
      </w:r>
      <w:r w:rsidRPr="001446B0">
        <w:rPr>
          <w:rFonts w:ascii="Times New Roman" w:hAnsi="Times New Roman" w:cs="Times New Roman"/>
          <w:sz w:val="24"/>
          <w:szCs w:val="24"/>
        </w:rPr>
        <w:t>(s,d,v) for all d.</w:t>
      </w:r>
      <w:r w:rsidR="00FE20F2">
        <w:rPr>
          <w:rFonts w:ascii="Times New Roman" w:hAnsi="Times New Roman" w:cs="Times New Roman"/>
          <w:sz w:val="24"/>
          <w:szCs w:val="24"/>
        </w:rPr>
        <w:t xml:space="preserve">  The method relies on being able to </w:t>
      </w:r>
      <w:r w:rsidR="00B60A61">
        <w:rPr>
          <w:rFonts w:ascii="Times New Roman" w:hAnsi="Times New Roman" w:cs="Times New Roman"/>
          <w:sz w:val="24"/>
          <w:szCs w:val="24"/>
        </w:rPr>
        <w:t>extract</w:t>
      </w:r>
      <w:r w:rsidR="00FE20F2">
        <w:rPr>
          <w:rFonts w:ascii="Times New Roman" w:hAnsi="Times New Roman" w:cs="Times New Roman"/>
          <w:sz w:val="24"/>
          <w:szCs w:val="24"/>
        </w:rPr>
        <w:t xml:space="preserve"> </w:t>
      </w:r>
      <w:r w:rsidR="00D417F6">
        <w:rPr>
          <w:rFonts w:ascii="Times New Roman" w:hAnsi="Times New Roman" w:cs="Times New Roman"/>
          <w:sz w:val="24"/>
          <w:szCs w:val="24"/>
        </w:rPr>
        <w:t xml:space="preserve">from the USAGE-TERM </w:t>
      </w:r>
      <w:r w:rsidR="00B60A61">
        <w:rPr>
          <w:rFonts w:ascii="Times New Roman" w:hAnsi="Times New Roman" w:cs="Times New Roman"/>
          <w:sz w:val="24"/>
          <w:szCs w:val="24"/>
        </w:rPr>
        <w:t xml:space="preserve">master </w:t>
      </w:r>
      <w:r w:rsidR="00D417F6">
        <w:rPr>
          <w:rFonts w:ascii="Times New Roman" w:hAnsi="Times New Roman" w:cs="Times New Roman"/>
          <w:sz w:val="24"/>
          <w:szCs w:val="24"/>
        </w:rPr>
        <w:t>database</w:t>
      </w:r>
      <w:r w:rsidR="00B60A61">
        <w:rPr>
          <w:rStyle w:val="FootnoteReference"/>
          <w:rFonts w:ascii="Times New Roman" w:hAnsi="Times New Roman" w:cs="Times New Roman"/>
          <w:sz w:val="24"/>
          <w:szCs w:val="24"/>
        </w:rPr>
        <w:footnoteReference w:id="1"/>
      </w:r>
      <w:r w:rsidR="00B60A61">
        <w:rPr>
          <w:rFonts w:ascii="Times New Roman" w:hAnsi="Times New Roman" w:cs="Times New Roman"/>
          <w:sz w:val="24"/>
          <w:szCs w:val="24"/>
        </w:rPr>
        <w:t xml:space="preserve"> values for </w:t>
      </w:r>
      <w:r w:rsidR="00D417F6">
        <w:rPr>
          <w:rFonts w:ascii="Times New Roman" w:hAnsi="Times New Roman" w:cs="Times New Roman"/>
          <w:sz w:val="24"/>
          <w:szCs w:val="24"/>
        </w:rPr>
        <w:t xml:space="preserve">what we call relevant variables, </w:t>
      </w:r>
      <w:r w:rsidR="00FE20F2">
        <w:rPr>
          <w:rFonts w:ascii="Times New Roman" w:hAnsi="Times New Roman" w:cs="Times New Roman"/>
          <w:sz w:val="24"/>
          <w:szCs w:val="24"/>
        </w:rPr>
        <w:t>RV(s,d,v)</w:t>
      </w:r>
      <w:r w:rsidR="00D417F6">
        <w:rPr>
          <w:rFonts w:ascii="Times New Roman" w:hAnsi="Times New Roman" w:cs="Times New Roman"/>
          <w:sz w:val="24"/>
          <w:szCs w:val="24"/>
        </w:rPr>
        <w:t>,</w:t>
      </w:r>
      <w:r w:rsidR="00FE20F2">
        <w:rPr>
          <w:rFonts w:ascii="Times New Roman" w:hAnsi="Times New Roman" w:cs="Times New Roman"/>
          <w:sz w:val="24"/>
          <w:szCs w:val="24"/>
        </w:rPr>
        <w:t xml:space="preserve"> such that </w:t>
      </w:r>
    </w:p>
    <w:p w:rsidR="00FE20F2" w:rsidRDefault="00FE20F2" w:rsidP="00FE20F2">
      <w:pPr>
        <w:pStyle w:val="ListParagraph"/>
        <w:tabs>
          <w:tab w:val="left" w:pos="540"/>
          <w:tab w:val="right" w:pos="8820"/>
        </w:tabs>
        <w:ind w:left="0" w:firstLine="1418"/>
        <w:contextualSpacing w:val="0"/>
        <w:rPr>
          <w:rFonts w:ascii="Times New Roman" w:hAnsi="Times New Roman" w:cs="Times New Roman"/>
          <w:sz w:val="24"/>
          <w:szCs w:val="24"/>
        </w:rPr>
      </w:pPr>
      <w:r w:rsidRPr="005C3039">
        <w:rPr>
          <w:rFonts w:ascii="Times New Roman" w:hAnsi="Times New Roman" w:cs="Times New Roman"/>
          <w:position w:val="-12"/>
          <w:sz w:val="24"/>
          <w:szCs w:val="24"/>
        </w:rPr>
        <w:object w:dxaOrig="3240" w:dyaOrig="360">
          <v:shape id="_x0000_i1026" type="#_x0000_t75" style="width:162.75pt;height:18pt" o:ole="">
            <v:imagedata r:id="rId12" o:title=""/>
          </v:shape>
          <o:OLEObject Type="Embed" ProgID="Equation.DSMT4" ShapeID="_x0000_i1026" DrawAspect="Content" ObjectID="_1553159834" r:id="rId13"/>
        </w:object>
      </w:r>
      <w:r>
        <w:rPr>
          <w:rFonts w:ascii="Times New Roman" w:hAnsi="Times New Roman" w:cs="Times New Roman"/>
          <w:sz w:val="24"/>
          <w:szCs w:val="24"/>
        </w:rPr>
        <w:t xml:space="preserve">    for all d</w:t>
      </w:r>
      <w:r w:rsidR="00A81262">
        <w:rPr>
          <w:rFonts w:ascii="Times New Roman" w:hAnsi="Times New Roman" w:cs="Times New Roman"/>
          <w:sz w:val="24"/>
          <w:szCs w:val="24"/>
        </w:rPr>
        <w:tab/>
        <w:t>(S</w:t>
      </w:r>
      <w:r w:rsidR="00222010">
        <w:rPr>
          <w:rFonts w:ascii="Times New Roman" w:hAnsi="Times New Roman" w:cs="Times New Roman"/>
          <w:sz w:val="24"/>
          <w:szCs w:val="24"/>
        </w:rPr>
        <w:t>.</w:t>
      </w:r>
      <w:r w:rsidR="00A81262">
        <w:rPr>
          <w:rFonts w:ascii="Times New Roman" w:hAnsi="Times New Roman" w:cs="Times New Roman"/>
          <w:sz w:val="24"/>
          <w:szCs w:val="24"/>
        </w:rPr>
        <w:t>2)</w:t>
      </w:r>
    </w:p>
    <w:p w:rsidR="00FE20F2" w:rsidRDefault="00FE20F2" w:rsidP="00FE20F2">
      <w:pPr>
        <w:pStyle w:val="ListParagraph"/>
        <w:ind w:left="709"/>
        <w:rPr>
          <w:rFonts w:ascii="Times New Roman" w:hAnsi="Times New Roman" w:cs="Times New Roman"/>
          <w:sz w:val="24"/>
          <w:szCs w:val="24"/>
        </w:rPr>
      </w:pPr>
      <w:r>
        <w:rPr>
          <w:rFonts w:ascii="Times New Roman" w:hAnsi="Times New Roman" w:cs="Times New Roman"/>
          <w:sz w:val="24"/>
          <w:szCs w:val="24"/>
        </w:rPr>
        <w:t>where C</w:t>
      </w:r>
      <w:r>
        <w:rPr>
          <w:rFonts w:ascii="Times New Roman" w:hAnsi="Times New Roman" w:cs="Times New Roman"/>
          <w:sz w:val="24"/>
          <w:szCs w:val="24"/>
          <w:vertAlign w:val="subscript"/>
        </w:rPr>
        <w:t>A</w:t>
      </w:r>
      <w:r>
        <w:rPr>
          <w:rFonts w:ascii="Times New Roman" w:hAnsi="Times New Roman" w:cs="Times New Roman"/>
          <w:sz w:val="24"/>
          <w:szCs w:val="24"/>
        </w:rPr>
        <w:t xml:space="preserve">(s,v) is a coefficient of proportionality, independent of d.  </w:t>
      </w:r>
      <w:r w:rsidR="00D417F6">
        <w:rPr>
          <w:rFonts w:ascii="Times New Roman" w:hAnsi="Times New Roman" w:cs="Times New Roman"/>
          <w:sz w:val="24"/>
          <w:szCs w:val="24"/>
        </w:rPr>
        <w:t xml:space="preserve">If the RV variables can be formed and the C coefficients can be legitimately estimated, then evaluation of all the elasticities is trivial.  </w:t>
      </w:r>
    </w:p>
    <w:p w:rsidR="00FE20F2" w:rsidRDefault="00D417F6" w:rsidP="002B618D">
      <w:pPr>
        <w:pStyle w:val="ListParagraph"/>
        <w:numPr>
          <w:ilvl w:val="0"/>
          <w:numId w:val="20"/>
        </w:numPr>
        <w:ind w:left="709" w:hanging="567"/>
        <w:contextualSpacing w:val="0"/>
        <w:rPr>
          <w:rFonts w:ascii="Times New Roman" w:hAnsi="Times New Roman" w:cs="Times New Roman"/>
          <w:sz w:val="24"/>
          <w:szCs w:val="24"/>
        </w:rPr>
      </w:pPr>
      <w:r>
        <w:rPr>
          <w:rFonts w:ascii="Times New Roman" w:hAnsi="Times New Roman" w:cs="Times New Roman"/>
          <w:sz w:val="24"/>
          <w:szCs w:val="24"/>
        </w:rPr>
        <w:t xml:space="preserve">The quickest way to explain this method is by an example.  </w:t>
      </w:r>
      <w:r w:rsidR="008B68DC">
        <w:rPr>
          <w:rFonts w:ascii="Times New Roman" w:hAnsi="Times New Roman" w:cs="Times New Roman"/>
          <w:sz w:val="24"/>
          <w:szCs w:val="24"/>
        </w:rPr>
        <w:t>Consider the elasticities E</w:t>
      </w:r>
      <w:r w:rsidR="008B68DC">
        <w:rPr>
          <w:rFonts w:ascii="Times New Roman" w:hAnsi="Times New Roman" w:cs="Times New Roman"/>
          <w:sz w:val="24"/>
          <w:szCs w:val="24"/>
          <w:vertAlign w:val="subscript"/>
        </w:rPr>
        <w:t>A</w:t>
      </w:r>
      <w:r w:rsidR="008B68DC">
        <w:rPr>
          <w:rFonts w:ascii="Times New Roman" w:hAnsi="Times New Roman" w:cs="Times New Roman"/>
          <w:sz w:val="24"/>
          <w:szCs w:val="24"/>
        </w:rPr>
        <w:t>(s,d,v) for all d where s refers to capital destruction and v refers to GDP.  We might guess that these elasticities are proportional to the value of the capital stock in region d</w:t>
      </w:r>
      <w:r w:rsidR="00C92BBB">
        <w:rPr>
          <w:rFonts w:ascii="Times New Roman" w:hAnsi="Times New Roman" w:cs="Times New Roman"/>
          <w:sz w:val="24"/>
          <w:szCs w:val="24"/>
        </w:rPr>
        <w:t>, that is we guess that capital stock is a relevant variable [</w:t>
      </w:r>
      <w:r w:rsidR="00A81262">
        <w:rPr>
          <w:rFonts w:ascii="Times New Roman" w:hAnsi="Times New Roman" w:cs="Times New Roman"/>
          <w:sz w:val="24"/>
          <w:szCs w:val="24"/>
        </w:rPr>
        <w:t>RV(s,d,v)</w:t>
      </w:r>
      <w:r w:rsidR="00C92BBB">
        <w:rPr>
          <w:rFonts w:ascii="Times New Roman" w:hAnsi="Times New Roman" w:cs="Times New Roman"/>
          <w:sz w:val="24"/>
          <w:szCs w:val="24"/>
        </w:rPr>
        <w:t xml:space="preserve">] for s equals capital destruction and v equals GDP.  </w:t>
      </w:r>
      <w:r w:rsidR="009138D7">
        <w:rPr>
          <w:rFonts w:ascii="Times New Roman" w:hAnsi="Times New Roman" w:cs="Times New Roman"/>
          <w:sz w:val="24"/>
          <w:szCs w:val="24"/>
        </w:rPr>
        <w:t xml:space="preserve">If </w:t>
      </w:r>
      <w:r w:rsidR="008B68DC">
        <w:rPr>
          <w:rFonts w:ascii="Times New Roman" w:hAnsi="Times New Roman" w:cs="Times New Roman"/>
          <w:sz w:val="24"/>
          <w:szCs w:val="24"/>
        </w:rPr>
        <w:t xml:space="preserve">the capital stock in </w:t>
      </w:r>
      <w:r w:rsidR="000E6F28">
        <w:rPr>
          <w:rFonts w:ascii="Times New Roman" w:hAnsi="Times New Roman" w:cs="Times New Roman"/>
          <w:sz w:val="24"/>
          <w:szCs w:val="24"/>
        </w:rPr>
        <w:t xml:space="preserve">congressional district </w:t>
      </w:r>
      <w:r w:rsidR="008B68DC">
        <w:rPr>
          <w:rFonts w:ascii="Times New Roman" w:hAnsi="Times New Roman" w:cs="Times New Roman"/>
          <w:sz w:val="24"/>
          <w:szCs w:val="24"/>
        </w:rPr>
        <w:t xml:space="preserve">CA34 is worth $100 billion and that in AZ07 is worth $50 billion, then we would expect the percentage effect on GDP of a 1 per cent </w:t>
      </w:r>
      <w:r w:rsidR="009138D7">
        <w:rPr>
          <w:rFonts w:ascii="Times New Roman" w:hAnsi="Times New Roman" w:cs="Times New Roman"/>
          <w:sz w:val="24"/>
          <w:szCs w:val="24"/>
        </w:rPr>
        <w:t xml:space="preserve">capital </w:t>
      </w:r>
      <w:r w:rsidR="008B68DC">
        <w:rPr>
          <w:rFonts w:ascii="Times New Roman" w:hAnsi="Times New Roman" w:cs="Times New Roman"/>
          <w:sz w:val="24"/>
          <w:szCs w:val="24"/>
        </w:rPr>
        <w:t xml:space="preserve">destruction in CA34 to be twice as great as </w:t>
      </w:r>
      <w:r w:rsidR="00A81262">
        <w:rPr>
          <w:rFonts w:ascii="Times New Roman" w:hAnsi="Times New Roman" w:cs="Times New Roman"/>
          <w:sz w:val="24"/>
          <w:szCs w:val="24"/>
        </w:rPr>
        <w:t xml:space="preserve">that for </w:t>
      </w:r>
      <w:r w:rsidR="008B68DC">
        <w:rPr>
          <w:rFonts w:ascii="Times New Roman" w:hAnsi="Times New Roman" w:cs="Times New Roman"/>
          <w:sz w:val="24"/>
          <w:szCs w:val="24"/>
        </w:rPr>
        <w:t xml:space="preserve">a 1 per cent destruction in AZ07.  </w:t>
      </w:r>
      <w:r w:rsidR="00A81262">
        <w:rPr>
          <w:rFonts w:ascii="Times New Roman" w:hAnsi="Times New Roman" w:cs="Times New Roman"/>
          <w:sz w:val="24"/>
          <w:szCs w:val="24"/>
        </w:rPr>
        <w:t xml:space="preserve">We can check the legitimacy of this guess by using </w:t>
      </w:r>
      <w:r w:rsidR="00C92BBB">
        <w:rPr>
          <w:rFonts w:ascii="Times New Roman" w:hAnsi="Times New Roman" w:cs="Times New Roman"/>
          <w:sz w:val="24"/>
          <w:szCs w:val="24"/>
        </w:rPr>
        <w:t>(S</w:t>
      </w:r>
      <w:r w:rsidR="00222010">
        <w:rPr>
          <w:rFonts w:ascii="Times New Roman" w:hAnsi="Times New Roman" w:cs="Times New Roman"/>
          <w:sz w:val="24"/>
          <w:szCs w:val="24"/>
        </w:rPr>
        <w:t>.</w:t>
      </w:r>
      <w:r w:rsidR="00C92BBB">
        <w:rPr>
          <w:rFonts w:ascii="Times New Roman" w:hAnsi="Times New Roman" w:cs="Times New Roman"/>
          <w:sz w:val="24"/>
          <w:szCs w:val="24"/>
        </w:rPr>
        <w:t>2) to calculate alternative values of C</w:t>
      </w:r>
      <w:r w:rsidR="00C92BBB">
        <w:rPr>
          <w:rFonts w:ascii="Times New Roman" w:hAnsi="Times New Roman" w:cs="Times New Roman"/>
          <w:sz w:val="24"/>
          <w:szCs w:val="24"/>
          <w:vertAlign w:val="subscript"/>
        </w:rPr>
        <w:t>A</w:t>
      </w:r>
      <w:r w:rsidR="00C92BBB">
        <w:rPr>
          <w:rFonts w:ascii="Times New Roman" w:hAnsi="Times New Roman" w:cs="Times New Roman"/>
          <w:sz w:val="24"/>
          <w:szCs w:val="24"/>
        </w:rPr>
        <w:t xml:space="preserve">(s,v) with </w:t>
      </w:r>
      <w:r w:rsidR="00A81262">
        <w:rPr>
          <w:rFonts w:ascii="Times New Roman" w:hAnsi="Times New Roman" w:cs="Times New Roman"/>
          <w:sz w:val="24"/>
          <w:szCs w:val="24"/>
        </w:rPr>
        <w:t>values of E</w:t>
      </w:r>
      <w:r w:rsidR="00A81262">
        <w:rPr>
          <w:rFonts w:ascii="Times New Roman" w:hAnsi="Times New Roman" w:cs="Times New Roman"/>
          <w:sz w:val="24"/>
          <w:szCs w:val="24"/>
          <w:vertAlign w:val="subscript"/>
        </w:rPr>
        <w:t>A</w:t>
      </w:r>
      <w:r w:rsidR="00A81262">
        <w:rPr>
          <w:rFonts w:ascii="Times New Roman" w:hAnsi="Times New Roman" w:cs="Times New Roman"/>
          <w:sz w:val="24"/>
          <w:szCs w:val="24"/>
        </w:rPr>
        <w:t xml:space="preserve">(s,d,v) estimated from available d-models together with values of capital from the </w:t>
      </w:r>
      <w:r w:rsidR="00C92BBB">
        <w:rPr>
          <w:rFonts w:ascii="Times New Roman" w:hAnsi="Times New Roman" w:cs="Times New Roman"/>
          <w:sz w:val="24"/>
          <w:szCs w:val="24"/>
        </w:rPr>
        <w:t xml:space="preserve">USAGE-TERM </w:t>
      </w:r>
      <w:r w:rsidR="00A81262">
        <w:rPr>
          <w:rFonts w:ascii="Times New Roman" w:hAnsi="Times New Roman" w:cs="Times New Roman"/>
          <w:sz w:val="24"/>
          <w:szCs w:val="24"/>
        </w:rPr>
        <w:t xml:space="preserve">database </w:t>
      </w:r>
      <w:r w:rsidR="00C92BBB">
        <w:rPr>
          <w:rFonts w:ascii="Times New Roman" w:hAnsi="Times New Roman" w:cs="Times New Roman"/>
          <w:sz w:val="24"/>
          <w:szCs w:val="24"/>
        </w:rPr>
        <w:t xml:space="preserve">as </w:t>
      </w:r>
      <w:r w:rsidR="00A81262">
        <w:rPr>
          <w:rFonts w:ascii="Times New Roman" w:hAnsi="Times New Roman" w:cs="Times New Roman"/>
          <w:sz w:val="24"/>
          <w:szCs w:val="24"/>
        </w:rPr>
        <w:t>RV(s,d,v)</w:t>
      </w:r>
      <w:r w:rsidR="00C92BBB">
        <w:rPr>
          <w:rFonts w:ascii="Times New Roman" w:hAnsi="Times New Roman" w:cs="Times New Roman"/>
          <w:sz w:val="24"/>
          <w:szCs w:val="24"/>
        </w:rPr>
        <w:t xml:space="preserve"> values.</w:t>
      </w:r>
      <w:r w:rsidR="00541A3B">
        <w:rPr>
          <w:rFonts w:ascii="Times New Roman" w:hAnsi="Times New Roman" w:cs="Times New Roman"/>
          <w:sz w:val="24"/>
          <w:szCs w:val="24"/>
        </w:rPr>
        <w:t xml:space="preserve">  W</w:t>
      </w:r>
      <w:r w:rsidR="006F2161">
        <w:rPr>
          <w:rFonts w:ascii="Times New Roman" w:hAnsi="Times New Roman" w:cs="Times New Roman"/>
          <w:sz w:val="24"/>
          <w:szCs w:val="24"/>
        </w:rPr>
        <w:t>e judge legitimacy by the closeness of the alternative estimates of C</w:t>
      </w:r>
      <w:r w:rsidR="006F2161">
        <w:rPr>
          <w:rFonts w:ascii="Times New Roman" w:hAnsi="Times New Roman" w:cs="Times New Roman"/>
          <w:sz w:val="24"/>
          <w:szCs w:val="24"/>
          <w:vertAlign w:val="subscript"/>
        </w:rPr>
        <w:t>A</w:t>
      </w:r>
      <w:r w:rsidR="006F2161">
        <w:rPr>
          <w:rFonts w:ascii="Times New Roman" w:hAnsi="Times New Roman" w:cs="Times New Roman"/>
          <w:sz w:val="24"/>
          <w:szCs w:val="24"/>
        </w:rPr>
        <w:t xml:space="preserve">(s,v).  </w:t>
      </w:r>
      <w:r w:rsidR="00C92BBB">
        <w:rPr>
          <w:rFonts w:ascii="Times New Roman" w:hAnsi="Times New Roman" w:cs="Times New Roman"/>
          <w:sz w:val="24"/>
          <w:szCs w:val="24"/>
        </w:rPr>
        <w:t xml:space="preserve"> </w:t>
      </w:r>
    </w:p>
    <w:p w:rsidR="00CE154C" w:rsidRDefault="00DD1927" w:rsidP="002B618D">
      <w:pPr>
        <w:pStyle w:val="ListParagraph"/>
        <w:numPr>
          <w:ilvl w:val="0"/>
          <w:numId w:val="20"/>
        </w:numPr>
        <w:ind w:left="709" w:hanging="567"/>
        <w:contextualSpacing w:val="0"/>
        <w:rPr>
          <w:rFonts w:ascii="Times New Roman" w:hAnsi="Times New Roman" w:cs="Times New Roman"/>
          <w:sz w:val="24"/>
          <w:szCs w:val="24"/>
        </w:rPr>
      </w:pPr>
      <w:r>
        <w:rPr>
          <w:rFonts w:ascii="Times New Roman" w:hAnsi="Times New Roman" w:cs="Times New Roman"/>
          <w:sz w:val="24"/>
          <w:szCs w:val="24"/>
        </w:rPr>
        <w:t>We found RV variables that led to legitimate estimates of C</w:t>
      </w:r>
      <w:r>
        <w:rPr>
          <w:rFonts w:ascii="Times New Roman" w:hAnsi="Times New Roman" w:cs="Times New Roman"/>
          <w:sz w:val="24"/>
          <w:szCs w:val="24"/>
          <w:vertAlign w:val="subscript"/>
        </w:rPr>
        <w:t>A</w:t>
      </w:r>
      <w:r>
        <w:rPr>
          <w:rFonts w:ascii="Times New Roman" w:hAnsi="Times New Roman" w:cs="Times New Roman"/>
          <w:sz w:val="24"/>
          <w:szCs w:val="24"/>
        </w:rPr>
        <w:t xml:space="preserve">(s,v) for v equal to welfare, national GDP and national employment.  The results were less satisfactory for v equal to a regional variable e.g. employment </w:t>
      </w:r>
      <w:r w:rsidR="00222010">
        <w:rPr>
          <w:rFonts w:ascii="Times New Roman" w:hAnsi="Times New Roman" w:cs="Times New Roman"/>
          <w:sz w:val="24"/>
          <w:szCs w:val="24"/>
        </w:rPr>
        <w:t xml:space="preserve">in the target region.  What this means is that we can be more confident about the estimates of the effects on national variables of a terrorism event in region d than the estimates of the effects on variables for region d itself.  </w:t>
      </w:r>
      <w:r>
        <w:rPr>
          <w:rFonts w:ascii="Times New Roman" w:hAnsi="Times New Roman" w:cs="Times New Roman"/>
          <w:sz w:val="24"/>
          <w:szCs w:val="24"/>
        </w:rPr>
        <w:t xml:space="preserve"> </w:t>
      </w:r>
    </w:p>
    <w:p w:rsidR="004F43E3" w:rsidRPr="004F43E3" w:rsidRDefault="004F43E3" w:rsidP="002B618D">
      <w:pPr>
        <w:pStyle w:val="ListParagraph"/>
        <w:numPr>
          <w:ilvl w:val="0"/>
          <w:numId w:val="20"/>
        </w:numPr>
        <w:ind w:left="709" w:hanging="567"/>
        <w:contextualSpacing w:val="0"/>
        <w:rPr>
          <w:rFonts w:ascii="Times New Roman" w:hAnsi="Times New Roman" w:cs="Times New Roman"/>
          <w:sz w:val="24"/>
          <w:szCs w:val="24"/>
        </w:rPr>
      </w:pPr>
      <w:r>
        <w:rPr>
          <w:rFonts w:ascii="Times New Roman" w:hAnsi="Times New Roman" w:cs="Times New Roman"/>
          <w:sz w:val="24"/>
          <w:szCs w:val="24"/>
        </w:rPr>
        <w:t>We refer to the package of elasticities</w:t>
      </w:r>
      <w:r w:rsidR="00255392">
        <w:rPr>
          <w:rFonts w:ascii="Times New Roman" w:hAnsi="Times New Roman" w:cs="Times New Roman"/>
          <w:sz w:val="24"/>
          <w:szCs w:val="24"/>
        </w:rPr>
        <w:t xml:space="preserve"> [</w:t>
      </w:r>
      <w:r>
        <w:rPr>
          <w:rFonts w:ascii="Times New Roman" w:hAnsi="Times New Roman" w:cs="Times New Roman"/>
          <w:sz w:val="24"/>
          <w:szCs w:val="24"/>
        </w:rPr>
        <w:t>E</w:t>
      </w:r>
      <w:r>
        <w:rPr>
          <w:rFonts w:ascii="Times New Roman" w:hAnsi="Times New Roman" w:cs="Times New Roman"/>
          <w:sz w:val="24"/>
          <w:szCs w:val="24"/>
          <w:vertAlign w:val="subscript"/>
        </w:rPr>
        <w:t>A</w:t>
      </w:r>
      <w:r>
        <w:rPr>
          <w:rFonts w:ascii="Times New Roman" w:hAnsi="Times New Roman" w:cs="Times New Roman"/>
          <w:sz w:val="24"/>
          <w:szCs w:val="24"/>
        </w:rPr>
        <w:t>(s,d,v)</w:t>
      </w:r>
      <w:r w:rsidR="00255392">
        <w:rPr>
          <w:rFonts w:ascii="Times New Roman" w:hAnsi="Times New Roman" w:cs="Times New Roman"/>
          <w:sz w:val="24"/>
          <w:szCs w:val="24"/>
        </w:rPr>
        <w:t>]</w:t>
      </w:r>
      <w:r>
        <w:rPr>
          <w:rFonts w:ascii="Times New Roman" w:hAnsi="Times New Roman" w:cs="Times New Roman"/>
          <w:sz w:val="24"/>
          <w:szCs w:val="24"/>
        </w:rPr>
        <w:t xml:space="preserve"> and equation (S.1) for evaluating implication variables as GRAD-ECAT (Generalized Regional And Dynamic Economic Consequence Analysis Tool).  </w:t>
      </w:r>
      <w:r w:rsidR="00255392">
        <w:rPr>
          <w:rFonts w:ascii="Times New Roman" w:hAnsi="Times New Roman" w:cs="Times New Roman"/>
          <w:sz w:val="24"/>
          <w:szCs w:val="24"/>
        </w:rPr>
        <w:t>This</w:t>
      </w:r>
      <w:r w:rsidR="005C0163">
        <w:rPr>
          <w:rFonts w:ascii="Times New Roman" w:hAnsi="Times New Roman" w:cs="Times New Roman"/>
          <w:sz w:val="24"/>
          <w:szCs w:val="24"/>
        </w:rPr>
        <w:t xml:space="preserve"> name </w:t>
      </w:r>
      <w:r w:rsidR="00255392">
        <w:rPr>
          <w:rFonts w:ascii="Times New Roman" w:hAnsi="Times New Roman" w:cs="Times New Roman"/>
          <w:sz w:val="24"/>
          <w:szCs w:val="24"/>
        </w:rPr>
        <w:t xml:space="preserve">was chosen </w:t>
      </w:r>
      <w:r w:rsidR="005C0163">
        <w:rPr>
          <w:rFonts w:ascii="Times New Roman" w:hAnsi="Times New Roman" w:cs="Times New Roman"/>
          <w:sz w:val="24"/>
          <w:szCs w:val="24"/>
        </w:rPr>
        <w:t xml:space="preserve">to acknowledge ECAT, created by Adam Rose and his colleagues, as the key precursor of our own work.  ECAT uses a </w:t>
      </w:r>
      <w:r w:rsidR="00D8116B">
        <w:rPr>
          <w:rFonts w:ascii="Times New Roman" w:hAnsi="Times New Roman" w:cs="Times New Roman"/>
          <w:sz w:val="24"/>
          <w:szCs w:val="24"/>
        </w:rPr>
        <w:t xml:space="preserve">national </w:t>
      </w:r>
      <w:r w:rsidR="005C0163">
        <w:rPr>
          <w:rFonts w:ascii="Times New Roman" w:hAnsi="Times New Roman" w:cs="Times New Roman"/>
          <w:sz w:val="24"/>
          <w:szCs w:val="24"/>
        </w:rPr>
        <w:t xml:space="preserve">CGE model to create an Economic Consequence </w:t>
      </w:r>
      <w:r w:rsidR="00D8116B">
        <w:rPr>
          <w:rFonts w:ascii="Times New Roman" w:hAnsi="Times New Roman" w:cs="Times New Roman"/>
          <w:sz w:val="24"/>
          <w:szCs w:val="24"/>
        </w:rPr>
        <w:lastRenderedPageBreak/>
        <w:t>A</w:t>
      </w:r>
      <w:r w:rsidR="005C0163">
        <w:rPr>
          <w:rFonts w:ascii="Times New Roman" w:hAnsi="Times New Roman" w:cs="Times New Roman"/>
          <w:sz w:val="24"/>
          <w:szCs w:val="24"/>
        </w:rPr>
        <w:t xml:space="preserve">nalysis </w:t>
      </w:r>
      <w:r w:rsidR="00D8116B">
        <w:rPr>
          <w:rFonts w:ascii="Times New Roman" w:hAnsi="Times New Roman" w:cs="Times New Roman"/>
          <w:sz w:val="24"/>
          <w:szCs w:val="24"/>
        </w:rPr>
        <w:t>Too</w:t>
      </w:r>
      <w:r w:rsidR="005C0163">
        <w:rPr>
          <w:rFonts w:ascii="Times New Roman" w:hAnsi="Times New Roman" w:cs="Times New Roman"/>
          <w:sz w:val="24"/>
          <w:szCs w:val="24"/>
        </w:rPr>
        <w:t>l</w:t>
      </w:r>
      <w:r w:rsidR="00D8116B">
        <w:rPr>
          <w:rFonts w:ascii="Times New Roman" w:hAnsi="Times New Roman" w:cs="Times New Roman"/>
          <w:sz w:val="24"/>
          <w:szCs w:val="24"/>
        </w:rPr>
        <w:t xml:space="preserve">.  GRAD-ECAT generalizes ECAT by including regional and dynamic dimensions.  </w:t>
      </w:r>
      <w:r w:rsidR="005D79C9">
        <w:rPr>
          <w:rFonts w:ascii="Times New Roman" w:hAnsi="Times New Roman" w:cs="Times New Roman"/>
          <w:sz w:val="24"/>
          <w:szCs w:val="24"/>
        </w:rPr>
        <w:t xml:space="preserve">In addition, it comes much closer than ECAT to covering the </w:t>
      </w:r>
      <w:r w:rsidR="00284DF8">
        <w:rPr>
          <w:rFonts w:ascii="Times New Roman" w:hAnsi="Times New Roman" w:cs="Times New Roman"/>
          <w:sz w:val="24"/>
          <w:szCs w:val="24"/>
        </w:rPr>
        <w:t xml:space="preserve"> </w:t>
      </w:r>
      <w:r w:rsidR="005D79C9">
        <w:rPr>
          <w:rFonts w:ascii="Times New Roman" w:hAnsi="Times New Roman" w:cs="Times New Roman"/>
          <w:sz w:val="24"/>
          <w:szCs w:val="24"/>
        </w:rPr>
        <w:t xml:space="preserve">complete set </w:t>
      </w:r>
      <w:r w:rsidR="00284DF8">
        <w:rPr>
          <w:rFonts w:ascii="Times New Roman" w:hAnsi="Times New Roman" w:cs="Times New Roman"/>
          <w:sz w:val="24"/>
          <w:szCs w:val="24"/>
        </w:rPr>
        <w:t xml:space="preserve">scenarios of interest to the TRA groups.  </w:t>
      </w:r>
    </w:p>
    <w:p w:rsidR="007A1F5B" w:rsidRDefault="00222010" w:rsidP="002B618D">
      <w:pPr>
        <w:pStyle w:val="ListParagraph"/>
        <w:numPr>
          <w:ilvl w:val="0"/>
          <w:numId w:val="20"/>
        </w:numPr>
        <w:ind w:left="709" w:hanging="567"/>
        <w:contextualSpacing w:val="0"/>
        <w:rPr>
          <w:rFonts w:ascii="Times New Roman" w:hAnsi="Times New Roman" w:cs="Times New Roman"/>
          <w:sz w:val="24"/>
          <w:szCs w:val="24"/>
        </w:rPr>
      </w:pPr>
      <w:r>
        <w:rPr>
          <w:rFonts w:ascii="Times New Roman" w:hAnsi="Times New Roman" w:cs="Times New Roman"/>
          <w:sz w:val="24"/>
          <w:szCs w:val="24"/>
        </w:rPr>
        <w:t xml:space="preserve">To illustrate the application of equation (S.1) with elasticities estimated via (S.2) we considered </w:t>
      </w:r>
      <w:r w:rsidR="00004598">
        <w:rPr>
          <w:rFonts w:ascii="Times New Roman" w:hAnsi="Times New Roman" w:cs="Times New Roman"/>
          <w:sz w:val="24"/>
          <w:szCs w:val="24"/>
        </w:rPr>
        <w:t>12</w:t>
      </w:r>
      <w:r>
        <w:rPr>
          <w:rFonts w:ascii="Times New Roman" w:hAnsi="Times New Roman" w:cs="Times New Roman"/>
          <w:sz w:val="24"/>
          <w:szCs w:val="24"/>
        </w:rPr>
        <w:t xml:space="preserve"> hypothetical scenarios</w:t>
      </w:r>
      <w:r w:rsidR="007A1F5B">
        <w:rPr>
          <w:rFonts w:ascii="Times New Roman" w:hAnsi="Times New Roman" w:cs="Times New Roman"/>
          <w:sz w:val="24"/>
          <w:szCs w:val="24"/>
        </w:rPr>
        <w:t xml:space="preserve">: 3 events </w:t>
      </w:r>
      <w:r w:rsidR="00004598">
        <w:rPr>
          <w:rFonts w:ascii="Times New Roman" w:hAnsi="Times New Roman" w:cs="Times New Roman"/>
          <w:sz w:val="24"/>
          <w:szCs w:val="24"/>
        </w:rPr>
        <w:t xml:space="preserve">by 2 assumptions (Keynesian and Neoclassical) and 2 </w:t>
      </w:r>
      <w:r w:rsidR="007A1F5B">
        <w:rPr>
          <w:rFonts w:ascii="Times New Roman" w:hAnsi="Times New Roman" w:cs="Times New Roman"/>
          <w:sz w:val="24"/>
          <w:szCs w:val="24"/>
        </w:rPr>
        <w:t>locations</w:t>
      </w:r>
      <w:r w:rsidR="00004598">
        <w:rPr>
          <w:rFonts w:ascii="Times New Roman" w:hAnsi="Times New Roman" w:cs="Times New Roman"/>
          <w:sz w:val="24"/>
          <w:szCs w:val="24"/>
        </w:rPr>
        <w:t xml:space="preserve"> (</w:t>
      </w:r>
      <w:r w:rsidR="007A1F5B">
        <w:rPr>
          <w:rFonts w:ascii="Times New Roman" w:hAnsi="Times New Roman" w:cs="Times New Roman"/>
          <w:sz w:val="24"/>
          <w:szCs w:val="24"/>
        </w:rPr>
        <w:t>FL24 and CA34</w:t>
      </w:r>
      <w:r w:rsidR="00004598">
        <w:rPr>
          <w:rFonts w:ascii="Times New Roman" w:hAnsi="Times New Roman" w:cs="Times New Roman"/>
          <w:sz w:val="24"/>
          <w:szCs w:val="24"/>
        </w:rPr>
        <w:t>)</w:t>
      </w:r>
      <w:r w:rsidR="007A1F5B">
        <w:rPr>
          <w:rFonts w:ascii="Times New Roman" w:hAnsi="Times New Roman" w:cs="Times New Roman"/>
          <w:sz w:val="24"/>
          <w:szCs w:val="24"/>
        </w:rPr>
        <w:t>.  The three events are</w:t>
      </w:r>
      <w:r w:rsidR="00004598">
        <w:rPr>
          <w:rFonts w:ascii="Times New Roman" w:hAnsi="Times New Roman" w:cs="Times New Roman"/>
          <w:sz w:val="24"/>
          <w:szCs w:val="24"/>
        </w:rPr>
        <w:t>:</w:t>
      </w:r>
      <w:r w:rsidR="007A1F5B">
        <w:rPr>
          <w:rFonts w:ascii="Times New Roman" w:hAnsi="Times New Roman" w:cs="Times New Roman"/>
          <w:sz w:val="24"/>
          <w:szCs w:val="24"/>
        </w:rPr>
        <w:t xml:space="preserve"> an Epidemic </w:t>
      </w:r>
      <w:r w:rsidR="00004598">
        <w:rPr>
          <w:rFonts w:ascii="Times New Roman" w:hAnsi="Times New Roman" w:cs="Times New Roman"/>
          <w:sz w:val="24"/>
          <w:szCs w:val="24"/>
        </w:rPr>
        <w:t xml:space="preserve">in which the dominant shock is </w:t>
      </w:r>
      <w:r w:rsidR="007A1F5B">
        <w:rPr>
          <w:rFonts w:ascii="Times New Roman" w:hAnsi="Times New Roman" w:cs="Times New Roman"/>
          <w:sz w:val="24"/>
          <w:szCs w:val="24"/>
        </w:rPr>
        <w:t xml:space="preserve">loss of life; a Dirty bomb </w:t>
      </w:r>
      <w:r w:rsidR="00004598">
        <w:rPr>
          <w:rFonts w:ascii="Times New Roman" w:hAnsi="Times New Roman" w:cs="Times New Roman"/>
          <w:sz w:val="24"/>
          <w:szCs w:val="24"/>
        </w:rPr>
        <w:t xml:space="preserve">requiring </w:t>
      </w:r>
      <w:r w:rsidR="007A1F5B">
        <w:rPr>
          <w:rFonts w:ascii="Times New Roman" w:hAnsi="Times New Roman" w:cs="Times New Roman"/>
          <w:sz w:val="24"/>
          <w:szCs w:val="24"/>
        </w:rPr>
        <w:t xml:space="preserve">large clean-up expenditures; and Food contamination involving loss of food output and considerable discouragement of foreign visitors.  For analyzing and interpreting the results </w:t>
      </w:r>
      <w:r w:rsidR="00004598">
        <w:rPr>
          <w:rFonts w:ascii="Times New Roman" w:hAnsi="Times New Roman" w:cs="Times New Roman"/>
          <w:sz w:val="24"/>
          <w:szCs w:val="24"/>
        </w:rPr>
        <w:t xml:space="preserve">from a scenario </w:t>
      </w:r>
      <w:r w:rsidR="007A1F5B">
        <w:rPr>
          <w:rFonts w:ascii="Times New Roman" w:hAnsi="Times New Roman" w:cs="Times New Roman"/>
          <w:sz w:val="24"/>
          <w:szCs w:val="24"/>
        </w:rPr>
        <w:t xml:space="preserve">it was useful to generate </w:t>
      </w:r>
      <w:r w:rsidR="00004598">
        <w:rPr>
          <w:rFonts w:ascii="Times New Roman" w:hAnsi="Times New Roman" w:cs="Times New Roman"/>
          <w:sz w:val="24"/>
          <w:szCs w:val="24"/>
        </w:rPr>
        <w:t xml:space="preserve">a </w:t>
      </w:r>
      <w:r w:rsidR="007A1F5B">
        <w:rPr>
          <w:rFonts w:ascii="Times New Roman" w:hAnsi="Times New Roman" w:cs="Times New Roman"/>
          <w:sz w:val="24"/>
          <w:szCs w:val="24"/>
        </w:rPr>
        <w:t>decomposition matri</w:t>
      </w:r>
      <w:r w:rsidR="00004598">
        <w:rPr>
          <w:rFonts w:ascii="Times New Roman" w:hAnsi="Times New Roman" w:cs="Times New Roman"/>
          <w:sz w:val="24"/>
          <w:szCs w:val="24"/>
        </w:rPr>
        <w:t>x</w:t>
      </w:r>
      <w:r w:rsidR="007A1F5B">
        <w:rPr>
          <w:rFonts w:ascii="Times New Roman" w:hAnsi="Times New Roman" w:cs="Times New Roman"/>
          <w:sz w:val="24"/>
          <w:szCs w:val="24"/>
        </w:rPr>
        <w:t xml:space="preserve">.  </w:t>
      </w:r>
      <w:r w:rsidR="00004598">
        <w:rPr>
          <w:rFonts w:ascii="Times New Roman" w:hAnsi="Times New Roman" w:cs="Times New Roman"/>
          <w:sz w:val="24"/>
          <w:szCs w:val="24"/>
        </w:rPr>
        <w:t xml:space="preserve">For any implication variable v, this matrix shows the contribution of each shock variable s to the total effect on v.   </w:t>
      </w:r>
      <w:r w:rsidR="007A1F5B">
        <w:rPr>
          <w:rFonts w:ascii="Times New Roman" w:hAnsi="Times New Roman" w:cs="Times New Roman"/>
          <w:sz w:val="24"/>
          <w:szCs w:val="24"/>
        </w:rPr>
        <w:t xml:space="preserve"> </w:t>
      </w:r>
    </w:p>
    <w:p w:rsidR="00084859" w:rsidRDefault="00084859" w:rsidP="002B618D">
      <w:pPr>
        <w:pStyle w:val="ListParagraph"/>
        <w:numPr>
          <w:ilvl w:val="0"/>
          <w:numId w:val="20"/>
        </w:numPr>
        <w:ind w:left="709" w:hanging="567"/>
        <w:contextualSpacing w:val="0"/>
        <w:rPr>
          <w:rFonts w:ascii="Times New Roman" w:hAnsi="Times New Roman" w:cs="Times New Roman"/>
          <w:sz w:val="24"/>
          <w:szCs w:val="24"/>
        </w:rPr>
      </w:pPr>
      <w:r>
        <w:rPr>
          <w:rFonts w:ascii="Times New Roman" w:hAnsi="Times New Roman" w:cs="Times New Roman"/>
          <w:sz w:val="24"/>
          <w:szCs w:val="24"/>
        </w:rPr>
        <w:t xml:space="preserve">Conclusions from our analysis of these </w:t>
      </w:r>
      <w:r w:rsidR="009138D7">
        <w:rPr>
          <w:rFonts w:ascii="Times New Roman" w:hAnsi="Times New Roman" w:cs="Times New Roman"/>
          <w:sz w:val="24"/>
          <w:szCs w:val="24"/>
        </w:rPr>
        <w:t xml:space="preserve">12 </w:t>
      </w:r>
      <w:r>
        <w:rPr>
          <w:rFonts w:ascii="Times New Roman" w:hAnsi="Times New Roman" w:cs="Times New Roman"/>
          <w:sz w:val="24"/>
          <w:szCs w:val="24"/>
        </w:rPr>
        <w:t>scenarios that we think are likely to be generally applicable are as follows</w:t>
      </w:r>
      <w:r w:rsidR="008D797D">
        <w:rPr>
          <w:rFonts w:ascii="Times New Roman" w:hAnsi="Times New Roman" w:cs="Times New Roman"/>
          <w:sz w:val="24"/>
          <w:szCs w:val="24"/>
        </w:rPr>
        <w:t>:</w:t>
      </w:r>
    </w:p>
    <w:p w:rsidR="007A1F5B" w:rsidRPr="00084859" w:rsidRDefault="007A1F5B" w:rsidP="002B618D">
      <w:pPr>
        <w:pStyle w:val="ListParagraph"/>
        <w:numPr>
          <w:ilvl w:val="0"/>
          <w:numId w:val="24"/>
        </w:numPr>
        <w:spacing w:before="0"/>
        <w:ind w:left="1134" w:hanging="357"/>
        <w:contextualSpacing w:val="0"/>
        <w:rPr>
          <w:rFonts w:ascii="Times New Roman" w:hAnsi="Times New Roman" w:cs="Times New Roman"/>
          <w:sz w:val="24"/>
          <w:szCs w:val="24"/>
          <w:lang w:val="en-AU"/>
        </w:rPr>
      </w:pPr>
      <w:r w:rsidRPr="00084859">
        <w:rPr>
          <w:rFonts w:ascii="Times New Roman" w:hAnsi="Times New Roman" w:cs="Times New Roman"/>
          <w:sz w:val="24"/>
          <w:szCs w:val="24"/>
          <w:lang w:val="en-AU"/>
        </w:rPr>
        <w:t xml:space="preserve">In ranking terrorism events in terms of economic damage, the use of welfare as a metric rather than GDP is likely to lead to quite different conclusions.  </w:t>
      </w:r>
    </w:p>
    <w:p w:rsidR="007A1F5B" w:rsidRPr="0065165A" w:rsidRDefault="007A1F5B" w:rsidP="002B618D">
      <w:pPr>
        <w:pStyle w:val="ListParagraph"/>
        <w:numPr>
          <w:ilvl w:val="0"/>
          <w:numId w:val="24"/>
        </w:numPr>
        <w:spacing w:before="0"/>
        <w:ind w:left="1134" w:hanging="357"/>
        <w:contextualSpacing w:val="0"/>
        <w:rPr>
          <w:rFonts w:ascii="Times New Roman" w:hAnsi="Times New Roman" w:cs="Times New Roman"/>
          <w:sz w:val="24"/>
          <w:szCs w:val="24"/>
          <w:lang w:val="en-AU"/>
        </w:rPr>
      </w:pPr>
      <w:r w:rsidRPr="008D797D">
        <w:rPr>
          <w:rFonts w:ascii="Times New Roman" w:hAnsi="Times New Roman" w:cs="Times New Roman"/>
          <w:sz w:val="24"/>
          <w:szCs w:val="24"/>
          <w:lang w:val="en-AU"/>
        </w:rPr>
        <w:t xml:space="preserve">With </w:t>
      </w:r>
      <w:r w:rsidR="008D797D" w:rsidRPr="008D797D">
        <w:rPr>
          <w:rFonts w:ascii="Times New Roman" w:hAnsi="Times New Roman" w:cs="Times New Roman"/>
          <w:sz w:val="24"/>
          <w:szCs w:val="24"/>
          <w:lang w:val="en-AU"/>
        </w:rPr>
        <w:t xml:space="preserve">the value of </w:t>
      </w:r>
      <w:r w:rsidRPr="008D797D">
        <w:rPr>
          <w:rFonts w:ascii="Times New Roman" w:hAnsi="Times New Roman" w:cs="Times New Roman"/>
          <w:sz w:val="24"/>
          <w:szCs w:val="24"/>
          <w:lang w:val="en-AU"/>
        </w:rPr>
        <w:t xml:space="preserve">life </w:t>
      </w:r>
      <w:r w:rsidR="008D797D" w:rsidRPr="008D797D">
        <w:rPr>
          <w:rFonts w:ascii="Times New Roman" w:hAnsi="Times New Roman" w:cs="Times New Roman"/>
          <w:sz w:val="24"/>
          <w:szCs w:val="24"/>
          <w:lang w:val="en-AU"/>
        </w:rPr>
        <w:t>set at $9.6 million in accordance with the recommendation of the Chief Regulatory Economist at DHS</w:t>
      </w:r>
      <w:r w:rsidRPr="008D797D">
        <w:rPr>
          <w:rFonts w:ascii="Times New Roman" w:hAnsi="Times New Roman" w:cs="Times New Roman"/>
          <w:sz w:val="24"/>
          <w:szCs w:val="24"/>
          <w:lang w:val="en-AU"/>
        </w:rPr>
        <w:t>,</w:t>
      </w:r>
      <w:r w:rsidRPr="0065165A">
        <w:rPr>
          <w:rFonts w:ascii="Times New Roman" w:hAnsi="Times New Roman" w:cs="Times New Roman"/>
          <w:sz w:val="24"/>
          <w:szCs w:val="24"/>
          <w:lang w:val="en-AU"/>
        </w:rPr>
        <w:t xml:space="preserve"> scenarios with a significant loss of life are likely to generate much bigger welfare losses than those in which the main costs are property losses, </w:t>
      </w:r>
      <w:r>
        <w:rPr>
          <w:rFonts w:ascii="Times New Roman" w:hAnsi="Times New Roman" w:cs="Times New Roman"/>
          <w:sz w:val="24"/>
          <w:szCs w:val="24"/>
          <w:lang w:val="en-AU"/>
        </w:rPr>
        <w:t>visitor</w:t>
      </w:r>
      <w:r w:rsidRPr="0065165A">
        <w:rPr>
          <w:rFonts w:ascii="Times New Roman" w:hAnsi="Times New Roman" w:cs="Times New Roman"/>
          <w:sz w:val="24"/>
          <w:szCs w:val="24"/>
          <w:lang w:val="en-AU"/>
        </w:rPr>
        <w:t xml:space="preserve"> discouragement and clean</w:t>
      </w:r>
      <w:r>
        <w:rPr>
          <w:rFonts w:ascii="Times New Roman" w:hAnsi="Times New Roman" w:cs="Times New Roman"/>
          <w:sz w:val="24"/>
          <w:szCs w:val="24"/>
          <w:lang w:val="en-AU"/>
        </w:rPr>
        <w:t>-</w:t>
      </w:r>
      <w:r w:rsidRPr="0065165A">
        <w:rPr>
          <w:rFonts w:ascii="Times New Roman" w:hAnsi="Times New Roman" w:cs="Times New Roman"/>
          <w:sz w:val="24"/>
          <w:szCs w:val="24"/>
          <w:lang w:val="en-AU"/>
        </w:rPr>
        <w:t xml:space="preserve">up expenses.  </w:t>
      </w:r>
    </w:p>
    <w:p w:rsidR="007A1F5B" w:rsidRPr="0065165A" w:rsidRDefault="007A1F5B" w:rsidP="002B618D">
      <w:pPr>
        <w:pStyle w:val="ListParagraph"/>
        <w:numPr>
          <w:ilvl w:val="0"/>
          <w:numId w:val="24"/>
        </w:numPr>
        <w:spacing w:before="0"/>
        <w:ind w:left="1134" w:hanging="357"/>
        <w:contextualSpacing w:val="0"/>
        <w:rPr>
          <w:rFonts w:ascii="Times New Roman" w:hAnsi="Times New Roman" w:cs="Times New Roman"/>
          <w:sz w:val="24"/>
          <w:szCs w:val="24"/>
          <w:lang w:val="en-AU"/>
        </w:rPr>
      </w:pPr>
      <w:r w:rsidRPr="0065165A">
        <w:rPr>
          <w:rFonts w:ascii="Times New Roman" w:hAnsi="Times New Roman" w:cs="Times New Roman"/>
          <w:sz w:val="24"/>
          <w:szCs w:val="24"/>
          <w:lang w:val="en-AU"/>
        </w:rPr>
        <w:t xml:space="preserve">For scenarios with the same array of $ shocks and deaths, the target region is unimportant in determining outcomes for national variables.  </w:t>
      </w:r>
    </w:p>
    <w:p w:rsidR="007A1F5B" w:rsidRPr="0065165A" w:rsidRDefault="007A1F5B" w:rsidP="002B618D">
      <w:pPr>
        <w:pStyle w:val="ListParagraph"/>
        <w:numPr>
          <w:ilvl w:val="0"/>
          <w:numId w:val="24"/>
        </w:numPr>
        <w:spacing w:before="0"/>
        <w:ind w:left="1134" w:hanging="357"/>
        <w:contextualSpacing w:val="0"/>
        <w:rPr>
          <w:rFonts w:ascii="Times New Roman" w:hAnsi="Times New Roman" w:cs="Times New Roman"/>
          <w:sz w:val="24"/>
          <w:szCs w:val="24"/>
          <w:lang w:val="en-AU"/>
        </w:rPr>
      </w:pPr>
      <w:r w:rsidRPr="0065165A">
        <w:rPr>
          <w:rFonts w:ascii="Times New Roman" w:hAnsi="Times New Roman" w:cs="Times New Roman"/>
          <w:sz w:val="24"/>
          <w:szCs w:val="24"/>
          <w:lang w:val="en-AU"/>
        </w:rPr>
        <w:t xml:space="preserve">By contrast, short-run regional outcomes depend crucially on the target region.  </w:t>
      </w:r>
    </w:p>
    <w:p w:rsidR="007A1F5B" w:rsidRPr="0065165A" w:rsidRDefault="007A1F5B" w:rsidP="002B618D">
      <w:pPr>
        <w:pStyle w:val="ListParagraph"/>
        <w:numPr>
          <w:ilvl w:val="0"/>
          <w:numId w:val="24"/>
        </w:numPr>
        <w:spacing w:before="0"/>
        <w:ind w:left="1134" w:hanging="357"/>
        <w:contextualSpacing w:val="0"/>
        <w:rPr>
          <w:rFonts w:ascii="Times New Roman" w:hAnsi="Times New Roman" w:cs="Times New Roman"/>
          <w:sz w:val="24"/>
          <w:szCs w:val="24"/>
          <w:lang w:val="en-AU"/>
        </w:rPr>
      </w:pPr>
      <w:r w:rsidRPr="0065165A">
        <w:rPr>
          <w:rFonts w:ascii="Times New Roman" w:hAnsi="Times New Roman" w:cs="Times New Roman"/>
          <w:sz w:val="24"/>
          <w:szCs w:val="24"/>
          <w:lang w:val="en-AU"/>
        </w:rPr>
        <w:t>The only shock with significant long-run implications for GDP and national employment is loss of life.</w:t>
      </w:r>
    </w:p>
    <w:p w:rsidR="007A1F5B" w:rsidRPr="0065165A" w:rsidRDefault="007A1F5B" w:rsidP="002B618D">
      <w:pPr>
        <w:pStyle w:val="ListParagraph"/>
        <w:numPr>
          <w:ilvl w:val="0"/>
          <w:numId w:val="24"/>
        </w:numPr>
        <w:spacing w:before="0"/>
        <w:ind w:left="1134" w:hanging="357"/>
        <w:contextualSpacing w:val="0"/>
        <w:rPr>
          <w:rFonts w:ascii="Times New Roman" w:hAnsi="Times New Roman" w:cs="Times New Roman"/>
          <w:sz w:val="24"/>
          <w:szCs w:val="24"/>
          <w:lang w:val="en-AU"/>
        </w:rPr>
      </w:pPr>
      <w:r w:rsidRPr="0065165A">
        <w:rPr>
          <w:rFonts w:ascii="Times New Roman" w:hAnsi="Times New Roman" w:cs="Times New Roman"/>
          <w:sz w:val="24"/>
          <w:szCs w:val="24"/>
          <w:lang w:val="en-AU"/>
        </w:rPr>
        <w:t xml:space="preserve">The only shock with long-run implications at the regional level that are significantly different from those at the national level is </w:t>
      </w:r>
      <w:r w:rsidR="008D797D">
        <w:rPr>
          <w:rFonts w:ascii="Times New Roman" w:hAnsi="Times New Roman" w:cs="Times New Roman"/>
          <w:sz w:val="24"/>
          <w:szCs w:val="24"/>
          <w:lang w:val="en-AU"/>
        </w:rPr>
        <w:t xml:space="preserve">sustained </w:t>
      </w:r>
      <w:r w:rsidRPr="0065165A">
        <w:rPr>
          <w:rFonts w:ascii="Times New Roman" w:hAnsi="Times New Roman" w:cs="Times New Roman"/>
          <w:sz w:val="24"/>
          <w:szCs w:val="24"/>
          <w:lang w:val="en-AU"/>
        </w:rPr>
        <w:t>aversion</w:t>
      </w:r>
      <w:r w:rsidR="008D797D">
        <w:rPr>
          <w:rFonts w:ascii="Times New Roman" w:hAnsi="Times New Roman" w:cs="Times New Roman"/>
          <w:sz w:val="24"/>
          <w:szCs w:val="24"/>
          <w:lang w:val="en-AU"/>
        </w:rPr>
        <w:t xml:space="preserve"> to working in the target region</w:t>
      </w:r>
      <w:r w:rsidRPr="0065165A">
        <w:rPr>
          <w:rFonts w:ascii="Times New Roman" w:hAnsi="Times New Roman" w:cs="Times New Roman"/>
          <w:sz w:val="24"/>
          <w:szCs w:val="24"/>
          <w:lang w:val="en-AU"/>
        </w:rPr>
        <w:t>.</w:t>
      </w:r>
    </w:p>
    <w:p w:rsidR="007A1F5B" w:rsidRPr="0065165A" w:rsidRDefault="007A1F5B" w:rsidP="002B618D">
      <w:pPr>
        <w:pStyle w:val="ListParagraph"/>
        <w:numPr>
          <w:ilvl w:val="0"/>
          <w:numId w:val="24"/>
        </w:numPr>
        <w:spacing w:before="0"/>
        <w:ind w:left="1134" w:hanging="357"/>
        <w:contextualSpacing w:val="0"/>
        <w:rPr>
          <w:rFonts w:ascii="Times New Roman" w:hAnsi="Times New Roman" w:cs="Times New Roman"/>
          <w:sz w:val="24"/>
          <w:szCs w:val="24"/>
          <w:lang w:val="en-AU"/>
        </w:rPr>
      </w:pPr>
      <w:r w:rsidRPr="0065165A">
        <w:rPr>
          <w:rFonts w:ascii="Times New Roman" w:hAnsi="Times New Roman" w:cs="Times New Roman"/>
          <w:sz w:val="24"/>
          <w:szCs w:val="24"/>
          <w:lang w:val="en-AU"/>
        </w:rPr>
        <w:t xml:space="preserve">Long-run regional implications for employment can differ sharply from short-run implications.  </w:t>
      </w:r>
    </w:p>
    <w:p w:rsidR="007A1F5B" w:rsidRDefault="007A1F5B" w:rsidP="002B618D">
      <w:pPr>
        <w:pStyle w:val="ListParagraph"/>
        <w:numPr>
          <w:ilvl w:val="0"/>
          <w:numId w:val="24"/>
        </w:numPr>
        <w:spacing w:before="0"/>
        <w:ind w:left="1134" w:hanging="357"/>
        <w:contextualSpacing w:val="0"/>
        <w:rPr>
          <w:rFonts w:ascii="Times New Roman" w:hAnsi="Times New Roman" w:cs="Times New Roman"/>
          <w:sz w:val="24"/>
          <w:szCs w:val="24"/>
          <w:lang w:val="en-AU"/>
        </w:rPr>
      </w:pPr>
      <w:r w:rsidRPr="0065165A">
        <w:rPr>
          <w:rFonts w:ascii="Times New Roman" w:hAnsi="Times New Roman" w:cs="Times New Roman"/>
          <w:sz w:val="24"/>
          <w:szCs w:val="24"/>
          <w:lang w:val="en-AU"/>
        </w:rPr>
        <w:t xml:space="preserve">The state of the economy (recessed or non-recessed) can have a significant bearing on the short-run implications for GDP and employment of a given scenario at both the national and regional levels.  </w:t>
      </w:r>
    </w:p>
    <w:p w:rsidR="00084859" w:rsidRDefault="00084859" w:rsidP="002B618D">
      <w:pPr>
        <w:pStyle w:val="ListParagraph"/>
        <w:numPr>
          <w:ilvl w:val="0"/>
          <w:numId w:val="24"/>
        </w:numPr>
        <w:spacing w:before="0"/>
        <w:ind w:left="1134" w:hanging="357"/>
        <w:contextualSpacing w:val="0"/>
        <w:rPr>
          <w:rFonts w:ascii="Times New Roman" w:hAnsi="Times New Roman" w:cs="Times New Roman"/>
          <w:sz w:val="24"/>
          <w:szCs w:val="24"/>
          <w:lang w:val="en-AU"/>
        </w:rPr>
      </w:pPr>
      <w:r w:rsidRPr="0065165A">
        <w:rPr>
          <w:rFonts w:ascii="Times New Roman" w:hAnsi="Times New Roman" w:cs="Times New Roman"/>
          <w:sz w:val="24"/>
          <w:szCs w:val="24"/>
          <w:lang w:val="en-AU"/>
        </w:rPr>
        <w:t xml:space="preserve">By contrast, the state of the economy in the year of the incident has almost no bearing on the long-run implications for GDP and employment </w:t>
      </w:r>
      <w:r>
        <w:rPr>
          <w:rFonts w:ascii="Times New Roman" w:hAnsi="Times New Roman" w:cs="Times New Roman"/>
          <w:sz w:val="24"/>
          <w:szCs w:val="24"/>
          <w:lang w:val="en-AU"/>
        </w:rPr>
        <w:t>but it does have noticeable im</w:t>
      </w:r>
      <w:r w:rsidRPr="0065165A">
        <w:rPr>
          <w:rFonts w:ascii="Times New Roman" w:hAnsi="Times New Roman" w:cs="Times New Roman"/>
          <w:sz w:val="24"/>
          <w:szCs w:val="24"/>
          <w:lang w:val="en-AU"/>
        </w:rPr>
        <w:t>plications for welfare</w:t>
      </w:r>
      <w:r>
        <w:rPr>
          <w:rFonts w:ascii="Times New Roman" w:hAnsi="Times New Roman" w:cs="Times New Roman"/>
          <w:sz w:val="24"/>
          <w:szCs w:val="24"/>
          <w:lang w:val="en-AU"/>
        </w:rPr>
        <w:t>.</w:t>
      </w:r>
    </w:p>
    <w:p w:rsidR="00084859" w:rsidRPr="0065165A" w:rsidRDefault="00084859" w:rsidP="002B618D">
      <w:pPr>
        <w:pStyle w:val="ListParagraph"/>
        <w:numPr>
          <w:ilvl w:val="0"/>
          <w:numId w:val="24"/>
        </w:numPr>
        <w:spacing w:before="0"/>
        <w:ind w:left="1134" w:hanging="357"/>
        <w:contextualSpacing w:val="0"/>
        <w:rPr>
          <w:rFonts w:ascii="Times New Roman" w:hAnsi="Times New Roman" w:cs="Times New Roman"/>
          <w:sz w:val="24"/>
          <w:szCs w:val="24"/>
          <w:lang w:val="en-AU"/>
        </w:rPr>
      </w:pPr>
      <w:r>
        <w:rPr>
          <w:rFonts w:ascii="Times New Roman" w:hAnsi="Times New Roman" w:cs="Times New Roman"/>
          <w:sz w:val="24"/>
          <w:szCs w:val="24"/>
          <w:lang w:val="en-AU"/>
        </w:rPr>
        <w:t xml:space="preserve">Varying the discount rate </w:t>
      </w:r>
      <w:r w:rsidR="009138D7">
        <w:rPr>
          <w:rFonts w:ascii="Times New Roman" w:hAnsi="Times New Roman" w:cs="Times New Roman"/>
          <w:sz w:val="24"/>
          <w:szCs w:val="24"/>
          <w:lang w:val="en-AU"/>
        </w:rPr>
        <w:t xml:space="preserve">in the </w:t>
      </w:r>
      <w:r>
        <w:rPr>
          <w:rFonts w:ascii="Times New Roman" w:hAnsi="Times New Roman" w:cs="Times New Roman"/>
          <w:sz w:val="24"/>
          <w:szCs w:val="24"/>
          <w:lang w:val="en-AU"/>
        </w:rPr>
        <w:t xml:space="preserve">welfare </w:t>
      </w:r>
      <w:r w:rsidR="009138D7">
        <w:rPr>
          <w:rFonts w:ascii="Times New Roman" w:hAnsi="Times New Roman" w:cs="Times New Roman"/>
          <w:sz w:val="24"/>
          <w:szCs w:val="24"/>
          <w:lang w:val="en-AU"/>
        </w:rPr>
        <w:t xml:space="preserve">function </w:t>
      </w:r>
      <w:r>
        <w:rPr>
          <w:rFonts w:ascii="Times New Roman" w:hAnsi="Times New Roman" w:cs="Times New Roman"/>
          <w:sz w:val="24"/>
          <w:szCs w:val="24"/>
          <w:lang w:val="en-AU"/>
        </w:rPr>
        <w:t>within the range that is usually recommended for cost-benefit analyses is unlikely to have a major impact on the damage ranking of terrorism events</w:t>
      </w:r>
      <w:r w:rsidR="008D797D">
        <w:rPr>
          <w:rFonts w:ascii="Times New Roman" w:hAnsi="Times New Roman" w:cs="Times New Roman"/>
          <w:sz w:val="24"/>
          <w:szCs w:val="24"/>
          <w:lang w:val="en-AU"/>
        </w:rPr>
        <w:t>.</w:t>
      </w:r>
    </w:p>
    <w:p w:rsidR="00284DF8" w:rsidRPr="00284DF8" w:rsidRDefault="008D797D" w:rsidP="002B618D">
      <w:pPr>
        <w:pStyle w:val="ListParagraph"/>
        <w:numPr>
          <w:ilvl w:val="0"/>
          <w:numId w:val="20"/>
        </w:numPr>
        <w:ind w:left="709" w:hanging="567"/>
        <w:contextualSpacing w:val="0"/>
        <w:rPr>
          <w:rFonts w:ascii="Times New Roman" w:hAnsi="Times New Roman" w:cs="Times New Roman"/>
          <w:sz w:val="24"/>
          <w:szCs w:val="24"/>
        </w:rPr>
      </w:pPr>
      <w:r>
        <w:rPr>
          <w:rFonts w:ascii="Times New Roman" w:hAnsi="Times New Roman" w:cs="Times New Roman"/>
          <w:sz w:val="24"/>
          <w:szCs w:val="24"/>
          <w:lang w:val="en-AU"/>
        </w:rPr>
        <w:t>T</w:t>
      </w:r>
      <w:r w:rsidRPr="0065165A">
        <w:rPr>
          <w:rFonts w:ascii="Times New Roman" w:hAnsi="Times New Roman" w:cs="Times New Roman"/>
          <w:sz w:val="24"/>
          <w:szCs w:val="24"/>
          <w:lang w:val="en-AU"/>
        </w:rPr>
        <w:t xml:space="preserve">here are many ways in which GRAD-ECAT can be improved and </w:t>
      </w:r>
      <w:r w:rsidR="00C41AEE">
        <w:rPr>
          <w:rFonts w:ascii="Times New Roman" w:hAnsi="Times New Roman" w:cs="Times New Roman"/>
          <w:sz w:val="24"/>
          <w:szCs w:val="24"/>
          <w:lang w:val="en-AU"/>
        </w:rPr>
        <w:t>extended</w:t>
      </w:r>
      <w:r w:rsidRPr="0065165A">
        <w:rPr>
          <w:rFonts w:ascii="Times New Roman" w:hAnsi="Times New Roman" w:cs="Times New Roman"/>
          <w:sz w:val="24"/>
          <w:szCs w:val="24"/>
          <w:lang w:val="en-AU"/>
        </w:rPr>
        <w:t>.</w:t>
      </w:r>
      <w:r>
        <w:rPr>
          <w:rFonts w:ascii="Times New Roman" w:hAnsi="Times New Roman" w:cs="Times New Roman"/>
          <w:sz w:val="24"/>
          <w:szCs w:val="24"/>
          <w:lang w:val="en-AU"/>
        </w:rPr>
        <w:t xml:space="preserve">  </w:t>
      </w:r>
      <w:r w:rsidR="00284DF8">
        <w:rPr>
          <w:rFonts w:ascii="Times New Roman" w:hAnsi="Times New Roman" w:cs="Times New Roman"/>
          <w:sz w:val="24"/>
          <w:szCs w:val="24"/>
          <w:lang w:val="en-AU"/>
        </w:rPr>
        <w:t xml:space="preserve">These include: </w:t>
      </w:r>
    </w:p>
    <w:p w:rsidR="00C41AEE" w:rsidRDefault="00C41AEE" w:rsidP="00C41AEE">
      <w:pPr>
        <w:pStyle w:val="ListParagraph"/>
        <w:numPr>
          <w:ilvl w:val="0"/>
          <w:numId w:val="26"/>
        </w:numPr>
        <w:spacing w:before="0"/>
        <w:ind w:left="1134" w:hanging="357"/>
        <w:contextualSpacing w:val="0"/>
        <w:rPr>
          <w:rFonts w:ascii="Times New Roman" w:hAnsi="Times New Roman" w:cs="Times New Roman"/>
          <w:sz w:val="24"/>
          <w:szCs w:val="24"/>
          <w:lang w:val="en-AU"/>
        </w:rPr>
      </w:pPr>
      <w:r>
        <w:rPr>
          <w:rFonts w:ascii="Times New Roman" w:hAnsi="Times New Roman" w:cs="Times New Roman"/>
          <w:sz w:val="24"/>
          <w:szCs w:val="24"/>
          <w:lang w:val="en-AU"/>
        </w:rPr>
        <w:t>b</w:t>
      </w:r>
      <w:r w:rsidR="00284DF8">
        <w:rPr>
          <w:rFonts w:ascii="Times New Roman" w:hAnsi="Times New Roman" w:cs="Times New Roman"/>
          <w:sz w:val="24"/>
          <w:szCs w:val="24"/>
          <w:lang w:val="en-AU"/>
        </w:rPr>
        <w:t>etter estimation of the elasticities E</w:t>
      </w:r>
      <w:r w:rsidR="00284DF8">
        <w:rPr>
          <w:rFonts w:ascii="Times New Roman" w:hAnsi="Times New Roman" w:cs="Times New Roman"/>
          <w:sz w:val="24"/>
          <w:szCs w:val="24"/>
          <w:vertAlign w:val="subscript"/>
          <w:lang w:val="en-AU"/>
        </w:rPr>
        <w:t>A</w:t>
      </w:r>
      <w:r w:rsidR="00284DF8">
        <w:rPr>
          <w:rFonts w:ascii="Times New Roman" w:hAnsi="Times New Roman" w:cs="Times New Roman"/>
          <w:sz w:val="24"/>
          <w:szCs w:val="24"/>
          <w:lang w:val="en-AU"/>
        </w:rPr>
        <w:t>(s,d,v), especially for v equal</w:t>
      </w:r>
      <w:r>
        <w:rPr>
          <w:rFonts w:ascii="Times New Roman" w:hAnsi="Times New Roman" w:cs="Times New Roman"/>
          <w:sz w:val="24"/>
          <w:szCs w:val="24"/>
          <w:lang w:val="en-AU"/>
        </w:rPr>
        <w:t xml:space="preserve"> to a</w:t>
      </w:r>
      <w:r w:rsidR="00284DF8">
        <w:rPr>
          <w:rFonts w:ascii="Times New Roman" w:hAnsi="Times New Roman" w:cs="Times New Roman"/>
          <w:sz w:val="24"/>
          <w:szCs w:val="24"/>
          <w:lang w:val="en-AU"/>
        </w:rPr>
        <w:t xml:space="preserve"> regional variable</w:t>
      </w:r>
      <w:r>
        <w:rPr>
          <w:rFonts w:ascii="Times New Roman" w:hAnsi="Times New Roman" w:cs="Times New Roman"/>
          <w:sz w:val="24"/>
          <w:szCs w:val="24"/>
          <w:lang w:val="en-AU"/>
        </w:rPr>
        <w:t>,</w:t>
      </w:r>
      <w:r w:rsidR="00284DF8">
        <w:rPr>
          <w:rFonts w:ascii="Times New Roman" w:hAnsi="Times New Roman" w:cs="Times New Roman"/>
          <w:sz w:val="24"/>
          <w:szCs w:val="24"/>
          <w:lang w:val="en-AU"/>
        </w:rPr>
        <w:t xml:space="preserve"> by </w:t>
      </w:r>
      <w:r>
        <w:rPr>
          <w:rFonts w:ascii="Times New Roman" w:hAnsi="Times New Roman" w:cs="Times New Roman"/>
          <w:sz w:val="24"/>
          <w:szCs w:val="24"/>
          <w:lang w:val="en-AU"/>
        </w:rPr>
        <w:t xml:space="preserve">increasing the number of d-models and </w:t>
      </w:r>
      <w:r w:rsidR="00284DF8">
        <w:rPr>
          <w:rFonts w:ascii="Times New Roman" w:hAnsi="Times New Roman" w:cs="Times New Roman"/>
          <w:sz w:val="24"/>
          <w:szCs w:val="24"/>
          <w:lang w:val="en-AU"/>
        </w:rPr>
        <w:t>refin</w:t>
      </w:r>
      <w:r>
        <w:rPr>
          <w:rFonts w:ascii="Times New Roman" w:hAnsi="Times New Roman" w:cs="Times New Roman"/>
          <w:sz w:val="24"/>
          <w:szCs w:val="24"/>
          <w:lang w:val="en-AU"/>
        </w:rPr>
        <w:t>ing</w:t>
      </w:r>
      <w:r w:rsidR="00284DF8" w:rsidRPr="00084859">
        <w:rPr>
          <w:rFonts w:ascii="Times New Roman" w:hAnsi="Times New Roman" w:cs="Times New Roman"/>
          <w:sz w:val="24"/>
          <w:szCs w:val="24"/>
          <w:lang w:val="en-AU"/>
        </w:rPr>
        <w:t xml:space="preserve"> </w:t>
      </w:r>
      <w:r w:rsidR="00284DF8">
        <w:rPr>
          <w:rFonts w:ascii="Times New Roman" w:hAnsi="Times New Roman" w:cs="Times New Roman"/>
          <w:sz w:val="24"/>
          <w:szCs w:val="24"/>
          <w:lang w:val="en-AU"/>
        </w:rPr>
        <w:t>of the relevant variables</w:t>
      </w:r>
      <w:r>
        <w:rPr>
          <w:rFonts w:ascii="Times New Roman" w:hAnsi="Times New Roman" w:cs="Times New Roman"/>
          <w:sz w:val="24"/>
          <w:szCs w:val="24"/>
          <w:lang w:val="en-AU"/>
        </w:rPr>
        <w:t>,</w:t>
      </w:r>
      <w:r w:rsidR="00284DF8">
        <w:rPr>
          <w:rFonts w:ascii="Times New Roman" w:hAnsi="Times New Roman" w:cs="Times New Roman"/>
          <w:sz w:val="24"/>
          <w:szCs w:val="24"/>
          <w:lang w:val="en-AU"/>
        </w:rPr>
        <w:t xml:space="preserve"> RV(s,d,v</w:t>
      </w:r>
      <w:r>
        <w:rPr>
          <w:rFonts w:ascii="Times New Roman" w:hAnsi="Times New Roman" w:cs="Times New Roman"/>
          <w:sz w:val="24"/>
          <w:szCs w:val="24"/>
          <w:lang w:val="en-AU"/>
        </w:rPr>
        <w:t>).</w:t>
      </w:r>
    </w:p>
    <w:p w:rsidR="00C41AEE" w:rsidRDefault="00D25AD0" w:rsidP="00C41AEE">
      <w:pPr>
        <w:pStyle w:val="ListParagraph"/>
        <w:numPr>
          <w:ilvl w:val="0"/>
          <w:numId w:val="26"/>
        </w:numPr>
        <w:spacing w:before="0"/>
        <w:ind w:left="1134" w:hanging="357"/>
        <w:contextualSpacing w:val="0"/>
        <w:rPr>
          <w:rFonts w:ascii="Times New Roman" w:hAnsi="Times New Roman" w:cs="Times New Roman"/>
          <w:sz w:val="24"/>
          <w:szCs w:val="24"/>
          <w:lang w:val="en-AU"/>
        </w:rPr>
      </w:pPr>
      <w:r>
        <w:rPr>
          <w:rFonts w:ascii="Times New Roman" w:hAnsi="Times New Roman" w:cs="Times New Roman"/>
          <w:sz w:val="24"/>
          <w:szCs w:val="24"/>
          <w:lang w:val="en-AU"/>
        </w:rPr>
        <w:t>amplification</w:t>
      </w:r>
      <w:r w:rsidR="00C41AEE">
        <w:rPr>
          <w:rFonts w:ascii="Times New Roman" w:hAnsi="Times New Roman" w:cs="Times New Roman"/>
          <w:sz w:val="24"/>
          <w:szCs w:val="24"/>
          <w:lang w:val="en-AU"/>
        </w:rPr>
        <w:t xml:space="preserve"> of the estimating equation (S.1) to include non-linear terms.  </w:t>
      </w:r>
    </w:p>
    <w:p w:rsidR="00D25AD0" w:rsidRDefault="00D25AD0" w:rsidP="00C41AEE">
      <w:pPr>
        <w:pStyle w:val="ListParagraph"/>
        <w:numPr>
          <w:ilvl w:val="0"/>
          <w:numId w:val="26"/>
        </w:numPr>
        <w:spacing w:before="0"/>
        <w:ind w:left="1134" w:hanging="357"/>
        <w:contextualSpacing w:val="0"/>
        <w:rPr>
          <w:rFonts w:ascii="Times New Roman" w:hAnsi="Times New Roman" w:cs="Times New Roman"/>
          <w:sz w:val="24"/>
          <w:szCs w:val="24"/>
          <w:lang w:val="en-AU"/>
        </w:rPr>
      </w:pPr>
      <w:r>
        <w:rPr>
          <w:rFonts w:ascii="Times New Roman" w:hAnsi="Times New Roman" w:cs="Times New Roman"/>
          <w:sz w:val="24"/>
          <w:szCs w:val="24"/>
          <w:lang w:val="en-AU"/>
        </w:rPr>
        <w:t xml:space="preserve">broader coverage of implication variables.  For example, output by industry, employment by occupation and wage rates might be added to the list of v variables.  </w:t>
      </w:r>
    </w:p>
    <w:p w:rsidR="00F04D9E" w:rsidRDefault="00C41AEE" w:rsidP="00C41AEE">
      <w:pPr>
        <w:pStyle w:val="ListParagraph"/>
        <w:numPr>
          <w:ilvl w:val="0"/>
          <w:numId w:val="26"/>
        </w:numPr>
        <w:spacing w:before="0"/>
        <w:ind w:left="1134" w:hanging="357"/>
        <w:contextualSpacing w:val="0"/>
        <w:rPr>
          <w:rFonts w:ascii="Times New Roman" w:hAnsi="Times New Roman" w:cs="Times New Roman"/>
          <w:sz w:val="24"/>
          <w:szCs w:val="24"/>
          <w:lang w:val="en-AU"/>
        </w:rPr>
      </w:pPr>
      <w:r>
        <w:rPr>
          <w:rFonts w:ascii="Times New Roman" w:hAnsi="Times New Roman" w:cs="Times New Roman"/>
          <w:sz w:val="24"/>
          <w:szCs w:val="24"/>
          <w:lang w:val="en-AU"/>
        </w:rPr>
        <w:lastRenderedPageBreak/>
        <w:t>further work with the TRA groups to deepen our understanding of the precise nature of the damage factors</w:t>
      </w:r>
      <w:r w:rsidR="00F04D9E">
        <w:rPr>
          <w:rFonts w:ascii="Times New Roman" w:hAnsi="Times New Roman" w:cs="Times New Roman"/>
          <w:sz w:val="24"/>
          <w:szCs w:val="24"/>
          <w:lang w:val="en-AU"/>
        </w:rPr>
        <w:t xml:space="preserve"> from the TRA scenarios </w:t>
      </w:r>
      <w:r>
        <w:rPr>
          <w:rFonts w:ascii="Times New Roman" w:hAnsi="Times New Roman" w:cs="Times New Roman"/>
          <w:sz w:val="24"/>
          <w:szCs w:val="24"/>
          <w:lang w:val="en-AU"/>
        </w:rPr>
        <w:t xml:space="preserve">so that we can represent these factors </w:t>
      </w:r>
      <w:r w:rsidR="00F04D9E">
        <w:rPr>
          <w:rFonts w:ascii="Times New Roman" w:hAnsi="Times New Roman" w:cs="Times New Roman"/>
          <w:sz w:val="24"/>
          <w:szCs w:val="24"/>
          <w:lang w:val="en-AU"/>
        </w:rPr>
        <w:t>more accurately in the USAGE-TERM estimates of the E</w:t>
      </w:r>
      <w:r w:rsidR="00F04D9E">
        <w:rPr>
          <w:rFonts w:ascii="Times New Roman" w:hAnsi="Times New Roman" w:cs="Times New Roman"/>
          <w:sz w:val="24"/>
          <w:szCs w:val="24"/>
          <w:vertAlign w:val="subscript"/>
          <w:lang w:val="en-AU"/>
        </w:rPr>
        <w:t>A</w:t>
      </w:r>
      <w:r w:rsidR="00F04D9E">
        <w:rPr>
          <w:rFonts w:ascii="Times New Roman" w:hAnsi="Times New Roman" w:cs="Times New Roman"/>
          <w:sz w:val="24"/>
          <w:szCs w:val="24"/>
          <w:lang w:val="en-AU"/>
        </w:rPr>
        <w:t xml:space="preserve">(s,d,v)s.  We could also refine the industrial classification in USAGE-TERM with the aim of extending the range of </w:t>
      </w:r>
      <w:r w:rsidR="00B60A61">
        <w:rPr>
          <w:rFonts w:ascii="Times New Roman" w:hAnsi="Times New Roman" w:cs="Times New Roman"/>
          <w:sz w:val="24"/>
          <w:szCs w:val="24"/>
          <w:lang w:val="en-AU"/>
        </w:rPr>
        <w:t>driving</w:t>
      </w:r>
      <w:r w:rsidR="00F04D9E">
        <w:rPr>
          <w:rFonts w:ascii="Times New Roman" w:hAnsi="Times New Roman" w:cs="Times New Roman"/>
          <w:sz w:val="24"/>
          <w:szCs w:val="24"/>
          <w:lang w:val="en-AU"/>
        </w:rPr>
        <w:t xml:space="preserve"> variables, s, covered in GRAD-ECAT.</w:t>
      </w:r>
    </w:p>
    <w:p w:rsidR="00284DF8" w:rsidRPr="00084859" w:rsidRDefault="00D25AD0" w:rsidP="00C41AEE">
      <w:pPr>
        <w:pStyle w:val="ListParagraph"/>
        <w:numPr>
          <w:ilvl w:val="0"/>
          <w:numId w:val="26"/>
        </w:numPr>
        <w:spacing w:before="0"/>
        <w:ind w:left="1134" w:hanging="357"/>
        <w:contextualSpacing w:val="0"/>
        <w:rPr>
          <w:rFonts w:ascii="Times New Roman" w:hAnsi="Times New Roman" w:cs="Times New Roman"/>
          <w:sz w:val="24"/>
          <w:szCs w:val="24"/>
          <w:lang w:val="en-AU"/>
        </w:rPr>
      </w:pPr>
      <w:r>
        <w:rPr>
          <w:rFonts w:ascii="Times New Roman" w:hAnsi="Times New Roman" w:cs="Times New Roman"/>
          <w:sz w:val="24"/>
          <w:szCs w:val="24"/>
          <w:lang w:val="en-AU"/>
        </w:rPr>
        <w:t>consultation with spec</w:t>
      </w:r>
      <w:r w:rsidR="00767AEA">
        <w:rPr>
          <w:rFonts w:ascii="Times New Roman" w:hAnsi="Times New Roman" w:cs="Times New Roman"/>
          <w:sz w:val="24"/>
          <w:szCs w:val="24"/>
          <w:lang w:val="en-AU"/>
        </w:rPr>
        <w:t xml:space="preserve">ialists in welfare economics on the specification of the welfare function in GRAD-ECAT.  We judge that the welfare results are the key output from GRAD-ECAT.  Consequently, the credibility of GRAD-ECAT would be enhanced by expert input on issues such as the discount rate, the value of life, and the commodity composition of utility generating consumption (i.e. what should be included and excluded).   </w:t>
      </w:r>
      <w:r w:rsidR="00F04D9E">
        <w:rPr>
          <w:rFonts w:ascii="Times New Roman" w:hAnsi="Times New Roman" w:cs="Times New Roman"/>
          <w:sz w:val="24"/>
          <w:szCs w:val="24"/>
          <w:lang w:val="en-AU"/>
        </w:rPr>
        <w:t xml:space="preserve">  </w:t>
      </w:r>
    </w:p>
    <w:p w:rsidR="00767AEA" w:rsidRPr="00767AEA" w:rsidRDefault="00767AEA" w:rsidP="002B618D">
      <w:pPr>
        <w:pStyle w:val="ListParagraph"/>
        <w:numPr>
          <w:ilvl w:val="0"/>
          <w:numId w:val="20"/>
        </w:numPr>
        <w:ind w:left="709" w:hanging="567"/>
        <w:contextualSpacing w:val="0"/>
        <w:rPr>
          <w:rFonts w:ascii="Times New Roman" w:hAnsi="Times New Roman" w:cs="Times New Roman"/>
          <w:sz w:val="24"/>
          <w:szCs w:val="24"/>
        </w:rPr>
      </w:pPr>
      <w:r>
        <w:rPr>
          <w:rFonts w:ascii="Times New Roman" w:hAnsi="Times New Roman" w:cs="Times New Roman"/>
          <w:sz w:val="24"/>
          <w:szCs w:val="24"/>
          <w:lang w:val="en-AU"/>
        </w:rPr>
        <w:t xml:space="preserve">All of the models and results generated in this project have been stored systematically in a single zip file.  Careful archiving is important so that </w:t>
      </w:r>
      <w:r w:rsidRPr="00CE409B">
        <w:rPr>
          <w:rFonts w:ascii="Times New Roman" w:hAnsi="Times New Roman" w:cs="Times New Roman"/>
          <w:sz w:val="24"/>
          <w:szCs w:val="24"/>
        </w:rPr>
        <w:t xml:space="preserve">the elasticities </w:t>
      </w:r>
      <w:r>
        <w:rPr>
          <w:rFonts w:ascii="Times New Roman" w:hAnsi="Times New Roman" w:cs="Times New Roman"/>
          <w:sz w:val="24"/>
          <w:szCs w:val="24"/>
        </w:rPr>
        <w:t xml:space="preserve">supplied to the TRA groups </w:t>
      </w:r>
      <w:r w:rsidRPr="00CE409B">
        <w:rPr>
          <w:rFonts w:ascii="Times New Roman" w:hAnsi="Times New Roman" w:cs="Times New Roman"/>
          <w:sz w:val="24"/>
          <w:szCs w:val="24"/>
        </w:rPr>
        <w:t>can be reproduced and audited</w:t>
      </w:r>
      <w:r>
        <w:rPr>
          <w:rFonts w:ascii="Times New Roman" w:hAnsi="Times New Roman" w:cs="Times New Roman"/>
          <w:sz w:val="24"/>
          <w:szCs w:val="24"/>
        </w:rPr>
        <w:t>.</w:t>
      </w:r>
      <w:r w:rsidRPr="00CE409B">
        <w:rPr>
          <w:rFonts w:ascii="Times New Roman" w:hAnsi="Times New Roman" w:cs="Times New Roman"/>
          <w:sz w:val="24"/>
          <w:szCs w:val="24"/>
        </w:rPr>
        <w:t xml:space="preserve"> </w:t>
      </w:r>
      <w:r>
        <w:rPr>
          <w:rFonts w:ascii="Times New Roman" w:hAnsi="Times New Roman" w:cs="Times New Roman"/>
          <w:sz w:val="24"/>
          <w:szCs w:val="24"/>
        </w:rPr>
        <w:t xml:space="preserve"> Equally important, </w:t>
      </w:r>
      <w:r w:rsidR="00ED689C">
        <w:rPr>
          <w:rFonts w:ascii="Times New Roman" w:hAnsi="Times New Roman" w:cs="Times New Roman"/>
          <w:sz w:val="24"/>
          <w:szCs w:val="24"/>
        </w:rPr>
        <w:t>the</w:t>
      </w:r>
      <w:r>
        <w:rPr>
          <w:rFonts w:ascii="Times New Roman" w:hAnsi="Times New Roman" w:cs="Times New Roman"/>
          <w:sz w:val="24"/>
          <w:szCs w:val="24"/>
        </w:rPr>
        <w:t xml:space="preserve"> archiving means that the large volume of work that has been undertaken for this project can be an immediate </w:t>
      </w:r>
      <w:r w:rsidRPr="00CE409B">
        <w:rPr>
          <w:rFonts w:ascii="Times New Roman" w:hAnsi="Times New Roman" w:cs="Times New Roman"/>
          <w:sz w:val="24"/>
          <w:szCs w:val="24"/>
        </w:rPr>
        <w:t>springboard for further development of GRAD-ECAT as a tool for analysis of terrorism events</w:t>
      </w:r>
      <w:r w:rsidR="00ED689C">
        <w:rPr>
          <w:rFonts w:ascii="Times New Roman" w:hAnsi="Times New Roman" w:cs="Times New Roman"/>
          <w:sz w:val="24"/>
          <w:szCs w:val="24"/>
          <w:lang w:val="en-AU"/>
        </w:rPr>
        <w:t>.</w:t>
      </w:r>
      <w:r>
        <w:rPr>
          <w:rFonts w:ascii="Times New Roman" w:hAnsi="Times New Roman" w:cs="Times New Roman"/>
          <w:sz w:val="24"/>
          <w:szCs w:val="24"/>
          <w:lang w:val="en-AU"/>
        </w:rPr>
        <w:t xml:space="preserve"> </w:t>
      </w:r>
    </w:p>
    <w:p w:rsidR="00C95346" w:rsidRDefault="00C95346">
      <w:pPr>
        <w:spacing w:before="0" w:after="200" w:line="276" w:lineRule="auto"/>
        <w:rPr>
          <w:rFonts w:ascii="Times New Roman" w:hAnsi="Times New Roman" w:cs="Times New Roman"/>
          <w:sz w:val="24"/>
          <w:szCs w:val="24"/>
        </w:rPr>
      </w:pPr>
      <w:r>
        <w:rPr>
          <w:rFonts w:ascii="Times New Roman" w:hAnsi="Times New Roman" w:cs="Times New Roman"/>
          <w:sz w:val="24"/>
          <w:szCs w:val="24"/>
        </w:rPr>
        <w:br w:type="page"/>
      </w:r>
    </w:p>
    <w:p w:rsidR="000418E3" w:rsidRPr="00171966" w:rsidRDefault="000418E3" w:rsidP="000418E3">
      <w:pPr>
        <w:rPr>
          <w:rFonts w:ascii="Times New Roman" w:hAnsi="Times New Roman" w:cs="Times New Roman"/>
          <w:b/>
          <w:sz w:val="24"/>
          <w:szCs w:val="24"/>
        </w:rPr>
      </w:pPr>
      <w:r w:rsidRPr="00171966">
        <w:rPr>
          <w:rFonts w:ascii="Times New Roman" w:hAnsi="Times New Roman" w:cs="Times New Roman"/>
          <w:b/>
          <w:sz w:val="24"/>
          <w:szCs w:val="24"/>
        </w:rPr>
        <w:lastRenderedPageBreak/>
        <w:t>1.</w:t>
      </w:r>
      <w:r>
        <w:rPr>
          <w:rFonts w:ascii="Times New Roman" w:hAnsi="Times New Roman" w:cs="Times New Roman"/>
          <w:b/>
          <w:sz w:val="24"/>
          <w:szCs w:val="24"/>
        </w:rPr>
        <w:t xml:space="preserve">  </w:t>
      </w:r>
      <w:r w:rsidRPr="00171966">
        <w:rPr>
          <w:rFonts w:ascii="Times New Roman" w:hAnsi="Times New Roman" w:cs="Times New Roman"/>
          <w:b/>
          <w:sz w:val="24"/>
          <w:szCs w:val="24"/>
        </w:rPr>
        <w:t>Introduction</w:t>
      </w:r>
    </w:p>
    <w:p w:rsidR="000418E3" w:rsidRPr="00A247B6" w:rsidRDefault="000418E3" w:rsidP="000418E3">
      <w:pPr>
        <w:rPr>
          <w:rFonts w:ascii="Times New Roman" w:hAnsi="Times New Roman" w:cs="Times New Roman"/>
          <w:b/>
          <w:i/>
          <w:sz w:val="24"/>
          <w:szCs w:val="24"/>
        </w:rPr>
      </w:pPr>
      <w:r>
        <w:rPr>
          <w:rFonts w:ascii="Times New Roman" w:hAnsi="Times New Roman" w:cs="Times New Roman"/>
          <w:b/>
          <w:i/>
          <w:sz w:val="24"/>
          <w:szCs w:val="24"/>
        </w:rPr>
        <w:t>1.1.  Converting scenarios for driving factors into outcomes for economic implication variables</w:t>
      </w:r>
    </w:p>
    <w:p w:rsidR="000418E3" w:rsidRPr="008017BB" w:rsidRDefault="000418E3" w:rsidP="000418E3">
      <w:pPr>
        <w:rPr>
          <w:rFonts w:ascii="Times New Roman" w:hAnsi="Times New Roman" w:cs="Times New Roman"/>
          <w:sz w:val="24"/>
          <w:szCs w:val="24"/>
        </w:rPr>
      </w:pPr>
      <w:r w:rsidRPr="008017BB">
        <w:rPr>
          <w:rFonts w:ascii="Times New Roman" w:hAnsi="Times New Roman" w:cs="Times New Roman"/>
          <w:sz w:val="24"/>
          <w:szCs w:val="24"/>
        </w:rPr>
        <w:t xml:space="preserve">The Terrorism Risk Assessment (TRA) groups in </w:t>
      </w:r>
      <w:r>
        <w:rPr>
          <w:rFonts w:ascii="Times New Roman" w:hAnsi="Times New Roman" w:cs="Times New Roman"/>
          <w:sz w:val="24"/>
          <w:szCs w:val="24"/>
        </w:rPr>
        <w:t>the Department of Homeland Security (DHS)</w:t>
      </w:r>
      <w:r w:rsidRPr="008017BB">
        <w:rPr>
          <w:rFonts w:ascii="Times New Roman" w:hAnsi="Times New Roman" w:cs="Times New Roman"/>
          <w:sz w:val="24"/>
          <w:szCs w:val="24"/>
        </w:rPr>
        <w:t xml:space="preserve"> </w:t>
      </w:r>
      <w:r>
        <w:rPr>
          <w:rFonts w:ascii="Times New Roman" w:hAnsi="Times New Roman" w:cs="Times New Roman"/>
          <w:sz w:val="24"/>
          <w:szCs w:val="24"/>
        </w:rPr>
        <w:t xml:space="preserve">consider </w:t>
      </w:r>
      <w:r w:rsidRPr="008017BB">
        <w:rPr>
          <w:rFonts w:ascii="Times New Roman" w:hAnsi="Times New Roman" w:cs="Times New Roman"/>
          <w:sz w:val="24"/>
          <w:szCs w:val="24"/>
        </w:rPr>
        <w:t xml:space="preserve">the effects of hypothetical terrorism scenarios.  These </w:t>
      </w:r>
      <w:r>
        <w:rPr>
          <w:rFonts w:ascii="Times New Roman" w:hAnsi="Times New Roman" w:cs="Times New Roman"/>
          <w:sz w:val="24"/>
          <w:szCs w:val="24"/>
        </w:rPr>
        <w:t>scenarios have</w:t>
      </w:r>
      <w:r w:rsidRPr="008017BB">
        <w:rPr>
          <w:rFonts w:ascii="Times New Roman" w:hAnsi="Times New Roman" w:cs="Times New Roman"/>
          <w:sz w:val="24"/>
          <w:szCs w:val="24"/>
        </w:rPr>
        <w:t xml:space="preserve"> many dimensions including: perpetrator; target (e.g. airport); location; agent (e.g. nuclear device, particular type of chemical, disease, etc); indoor or outdoor; time of day; and delivery method (e.g. infected imported food, car bomb, contaminated water).  Further dimensions are added in what economists call sensitivity analysis.  For example, for a given scenario, a range of outcomes might be generated by considering different prevailing weather conditions.  The split between the specification of a scenario and what are considered sensitivity factors depends on what the perpetrators can control.  It is easy to see how variations in the scenario and sensitivity factors can lead to </w:t>
      </w:r>
      <w:r>
        <w:rPr>
          <w:rFonts w:ascii="Times New Roman" w:hAnsi="Times New Roman" w:cs="Times New Roman"/>
          <w:sz w:val="24"/>
          <w:szCs w:val="24"/>
        </w:rPr>
        <w:t>millions</w:t>
      </w:r>
      <w:r w:rsidRPr="008017BB">
        <w:rPr>
          <w:rFonts w:ascii="Times New Roman" w:hAnsi="Times New Roman" w:cs="Times New Roman"/>
          <w:sz w:val="24"/>
          <w:szCs w:val="24"/>
        </w:rPr>
        <w:t xml:space="preserve"> of hypothetical events.  </w:t>
      </w:r>
    </w:p>
    <w:p w:rsidR="000418E3" w:rsidRDefault="000418E3" w:rsidP="000418E3">
      <w:pPr>
        <w:rPr>
          <w:rFonts w:ascii="Times New Roman" w:hAnsi="Times New Roman" w:cs="Times New Roman"/>
          <w:sz w:val="24"/>
          <w:szCs w:val="24"/>
        </w:rPr>
      </w:pPr>
      <w:r w:rsidRPr="008017BB">
        <w:rPr>
          <w:rFonts w:ascii="Times New Roman" w:hAnsi="Times New Roman" w:cs="Times New Roman"/>
          <w:sz w:val="24"/>
          <w:szCs w:val="24"/>
        </w:rPr>
        <w:t>For each of these events, the models built by the TRA groups provide economic</w:t>
      </w:r>
      <w:r w:rsidR="002562E9">
        <w:rPr>
          <w:rFonts w:ascii="Times New Roman" w:hAnsi="Times New Roman" w:cs="Times New Roman"/>
          <w:sz w:val="24"/>
          <w:szCs w:val="24"/>
        </w:rPr>
        <w:t xml:space="preserve">ally relevant </w:t>
      </w:r>
      <w:r w:rsidRPr="008017BB">
        <w:rPr>
          <w:rFonts w:ascii="Times New Roman" w:hAnsi="Times New Roman" w:cs="Times New Roman"/>
          <w:sz w:val="24"/>
          <w:szCs w:val="24"/>
        </w:rPr>
        <w:t>information that can be termed direct effects</w:t>
      </w:r>
      <w:r>
        <w:rPr>
          <w:rFonts w:ascii="Times New Roman" w:hAnsi="Times New Roman" w:cs="Times New Roman"/>
          <w:sz w:val="24"/>
          <w:szCs w:val="24"/>
        </w:rPr>
        <w:t xml:space="preserve"> or driving factors</w:t>
      </w:r>
      <w:r w:rsidRPr="008017BB">
        <w:rPr>
          <w:rFonts w:ascii="Times New Roman" w:hAnsi="Times New Roman" w:cs="Times New Roman"/>
          <w:sz w:val="24"/>
          <w:szCs w:val="24"/>
        </w:rPr>
        <w:t xml:space="preserve">.  This information includes: </w:t>
      </w:r>
    </w:p>
    <w:p w:rsidR="000418E3" w:rsidRPr="006505F4" w:rsidRDefault="000418E3" w:rsidP="000418E3">
      <w:pPr>
        <w:rPr>
          <w:rFonts w:ascii="Times New Roman" w:hAnsi="Times New Roman" w:cs="Times New Roman"/>
          <w:i/>
          <w:sz w:val="24"/>
          <w:szCs w:val="24"/>
        </w:rPr>
      </w:pPr>
      <w:r>
        <w:rPr>
          <w:rFonts w:ascii="Times New Roman" w:hAnsi="Times New Roman" w:cs="Times New Roman"/>
          <w:i/>
          <w:sz w:val="24"/>
          <w:szCs w:val="24"/>
        </w:rPr>
        <w:t>Driving factors:</w:t>
      </w:r>
    </w:p>
    <w:p w:rsidR="000418E3" w:rsidRDefault="000418E3" w:rsidP="000418E3">
      <w:pPr>
        <w:pStyle w:val="ListParagraph"/>
        <w:numPr>
          <w:ilvl w:val="0"/>
          <w:numId w:val="9"/>
        </w:numPr>
        <w:rPr>
          <w:rFonts w:ascii="Times New Roman" w:hAnsi="Times New Roman" w:cs="Times New Roman"/>
          <w:sz w:val="24"/>
          <w:szCs w:val="24"/>
        </w:rPr>
      </w:pPr>
      <w:r w:rsidRPr="00E674EE">
        <w:rPr>
          <w:rFonts w:ascii="Times New Roman" w:hAnsi="Times New Roman" w:cs="Times New Roman"/>
          <w:sz w:val="24"/>
          <w:szCs w:val="24"/>
        </w:rPr>
        <w:t>capital destruction</w:t>
      </w:r>
      <w:r>
        <w:rPr>
          <w:rFonts w:ascii="Times New Roman" w:hAnsi="Times New Roman" w:cs="Times New Roman"/>
          <w:sz w:val="24"/>
          <w:szCs w:val="24"/>
        </w:rPr>
        <w:t>;</w:t>
      </w:r>
    </w:p>
    <w:p w:rsidR="000418E3" w:rsidRDefault="000418E3" w:rsidP="000418E3">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capital idling</w:t>
      </w:r>
      <w:r w:rsidR="00BC59E5">
        <w:rPr>
          <w:rStyle w:val="FootnoteReference"/>
          <w:rFonts w:ascii="Times New Roman" w:hAnsi="Times New Roman" w:cs="Times New Roman"/>
          <w:sz w:val="24"/>
          <w:szCs w:val="24"/>
        </w:rPr>
        <w:footnoteReference w:id="2"/>
      </w:r>
      <w:r>
        <w:rPr>
          <w:rFonts w:ascii="Times New Roman" w:hAnsi="Times New Roman" w:cs="Times New Roman"/>
          <w:sz w:val="24"/>
          <w:szCs w:val="24"/>
        </w:rPr>
        <w:t>;</w:t>
      </w:r>
    </w:p>
    <w:p w:rsidR="000418E3" w:rsidRDefault="00B6529C" w:rsidP="000418E3">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clean-up</w:t>
      </w:r>
      <w:r w:rsidR="000418E3">
        <w:rPr>
          <w:rFonts w:ascii="Times New Roman" w:hAnsi="Times New Roman" w:cs="Times New Roman"/>
          <w:sz w:val="24"/>
          <w:szCs w:val="24"/>
        </w:rPr>
        <w:t xml:space="preserve"> expenditures;</w:t>
      </w:r>
    </w:p>
    <w:p w:rsidR="000418E3" w:rsidRDefault="000418E3" w:rsidP="000418E3">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health expenditures;</w:t>
      </w:r>
    </w:p>
    <w:p w:rsidR="000418E3" w:rsidRDefault="000418E3" w:rsidP="000418E3">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temporary accommodation and relocation expenses in target city;</w:t>
      </w:r>
    </w:p>
    <w:p w:rsidR="000418E3" w:rsidRDefault="000418E3" w:rsidP="000418E3">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temporary accommodation and relocation expenses outside </w:t>
      </w:r>
      <w:r w:rsidR="00615065">
        <w:rPr>
          <w:rFonts w:ascii="Times New Roman" w:hAnsi="Times New Roman" w:cs="Times New Roman"/>
          <w:sz w:val="24"/>
          <w:szCs w:val="24"/>
        </w:rPr>
        <w:t xml:space="preserve">target </w:t>
      </w:r>
      <w:r>
        <w:rPr>
          <w:rFonts w:ascii="Times New Roman" w:hAnsi="Times New Roman" w:cs="Times New Roman"/>
          <w:sz w:val="24"/>
          <w:szCs w:val="24"/>
        </w:rPr>
        <w:t>city;</w:t>
      </w:r>
    </w:p>
    <w:p w:rsidR="000418E3" w:rsidRDefault="000418E3" w:rsidP="000418E3">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foreign tourism discouragement in target city;</w:t>
      </w:r>
    </w:p>
    <w:p w:rsidR="000418E3" w:rsidRDefault="000418E3" w:rsidP="000418E3">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foreign tourism discouragement </w:t>
      </w:r>
      <w:r w:rsidR="00615065">
        <w:rPr>
          <w:rFonts w:ascii="Times New Roman" w:hAnsi="Times New Roman" w:cs="Times New Roman"/>
          <w:sz w:val="24"/>
          <w:szCs w:val="24"/>
        </w:rPr>
        <w:t>outside target city</w:t>
      </w:r>
      <w:r>
        <w:rPr>
          <w:rFonts w:ascii="Times New Roman" w:hAnsi="Times New Roman" w:cs="Times New Roman"/>
          <w:sz w:val="24"/>
          <w:szCs w:val="24"/>
        </w:rPr>
        <w:t>;</w:t>
      </w:r>
    </w:p>
    <w:p w:rsidR="000418E3" w:rsidRDefault="000418E3" w:rsidP="000418E3">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domestic tourism discouragement in target city;</w:t>
      </w:r>
    </w:p>
    <w:p w:rsidR="000418E3" w:rsidRDefault="000418E3" w:rsidP="000418E3">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domestic tourism discouragement </w:t>
      </w:r>
      <w:r w:rsidR="00615065">
        <w:rPr>
          <w:rFonts w:ascii="Times New Roman" w:hAnsi="Times New Roman" w:cs="Times New Roman"/>
          <w:sz w:val="24"/>
          <w:szCs w:val="24"/>
        </w:rPr>
        <w:t>outside target city</w:t>
      </w:r>
      <w:r>
        <w:rPr>
          <w:rFonts w:ascii="Times New Roman" w:hAnsi="Times New Roman" w:cs="Times New Roman"/>
          <w:sz w:val="24"/>
          <w:szCs w:val="24"/>
        </w:rPr>
        <w:t>;</w:t>
      </w:r>
    </w:p>
    <w:p w:rsidR="000418E3" w:rsidRDefault="000418E3" w:rsidP="000418E3">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interruption of food production in target state;</w:t>
      </w:r>
    </w:p>
    <w:p w:rsidR="000418E3" w:rsidRDefault="000418E3" w:rsidP="000418E3">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interruption of food production </w:t>
      </w:r>
      <w:r w:rsidR="00615065">
        <w:rPr>
          <w:rFonts w:ascii="Times New Roman" w:hAnsi="Times New Roman" w:cs="Times New Roman"/>
          <w:sz w:val="24"/>
          <w:szCs w:val="24"/>
        </w:rPr>
        <w:t>outside target state</w:t>
      </w:r>
      <w:r>
        <w:rPr>
          <w:rFonts w:ascii="Times New Roman" w:hAnsi="Times New Roman" w:cs="Times New Roman"/>
          <w:sz w:val="24"/>
          <w:szCs w:val="24"/>
        </w:rPr>
        <w:t>;</w:t>
      </w:r>
    </w:p>
    <w:p w:rsidR="000418E3" w:rsidRDefault="000418E3" w:rsidP="000418E3">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reduction in national labor supply associated with deaths and injuries;</w:t>
      </w:r>
    </w:p>
    <w:p w:rsidR="000418E3" w:rsidRPr="005C4088" w:rsidRDefault="000418E3" w:rsidP="000418E3">
      <w:pPr>
        <w:pStyle w:val="ListParagraph"/>
        <w:numPr>
          <w:ilvl w:val="0"/>
          <w:numId w:val="9"/>
        </w:numPr>
        <w:rPr>
          <w:rFonts w:ascii="Times New Roman" w:hAnsi="Times New Roman" w:cs="Times New Roman"/>
          <w:sz w:val="24"/>
          <w:szCs w:val="24"/>
        </w:rPr>
      </w:pPr>
      <w:r w:rsidRPr="005C4088">
        <w:rPr>
          <w:rFonts w:ascii="Times New Roman" w:hAnsi="Times New Roman" w:cs="Times New Roman"/>
          <w:sz w:val="24"/>
          <w:szCs w:val="24"/>
        </w:rPr>
        <w:t>aversion to working in the target region</w:t>
      </w:r>
      <w:r>
        <w:rPr>
          <w:rFonts w:ascii="Times New Roman" w:hAnsi="Times New Roman" w:cs="Times New Roman"/>
          <w:sz w:val="24"/>
          <w:szCs w:val="24"/>
        </w:rPr>
        <w:t xml:space="preserve"> (interpreted in this project as the </w:t>
      </w:r>
      <w:r w:rsidR="001E7F73">
        <w:rPr>
          <w:rFonts w:ascii="Times New Roman" w:hAnsi="Times New Roman" w:cs="Times New Roman"/>
          <w:sz w:val="24"/>
          <w:szCs w:val="24"/>
        </w:rPr>
        <w:t>congressional</w:t>
      </w:r>
      <w:r w:rsidR="00276D72">
        <w:rPr>
          <w:rFonts w:ascii="Times New Roman" w:hAnsi="Times New Roman" w:cs="Times New Roman"/>
          <w:sz w:val="24"/>
          <w:szCs w:val="24"/>
        </w:rPr>
        <w:t xml:space="preserve"> </w:t>
      </w:r>
      <w:r>
        <w:rPr>
          <w:rFonts w:ascii="Times New Roman" w:hAnsi="Times New Roman" w:cs="Times New Roman"/>
          <w:sz w:val="24"/>
          <w:szCs w:val="24"/>
        </w:rPr>
        <w:t>district in which the event takes place).</w:t>
      </w:r>
    </w:p>
    <w:p w:rsidR="000418E3" w:rsidRPr="006505F4" w:rsidRDefault="000418E3" w:rsidP="000418E3">
      <w:pPr>
        <w:rPr>
          <w:rFonts w:ascii="Times New Roman" w:hAnsi="Times New Roman" w:cs="Times New Roman"/>
          <w:sz w:val="24"/>
          <w:szCs w:val="24"/>
        </w:rPr>
      </w:pPr>
      <w:r w:rsidRPr="006505F4">
        <w:rPr>
          <w:rFonts w:ascii="Times New Roman" w:hAnsi="Times New Roman" w:cs="Times New Roman"/>
          <w:sz w:val="24"/>
          <w:szCs w:val="24"/>
        </w:rPr>
        <w:t xml:space="preserve">The TRA groups require a tool for rapidly calculating the economic implications of a large number of hypothetical terrorism events defined by these driving factors.  This report describes the creation of such a tool.  </w:t>
      </w:r>
    </w:p>
    <w:p w:rsidR="000418E3" w:rsidRDefault="000418E3" w:rsidP="000418E3">
      <w:pPr>
        <w:rPr>
          <w:rFonts w:ascii="Times New Roman" w:hAnsi="Times New Roman" w:cs="Times New Roman"/>
          <w:sz w:val="24"/>
          <w:szCs w:val="24"/>
        </w:rPr>
      </w:pPr>
      <w:r>
        <w:rPr>
          <w:rFonts w:ascii="Times New Roman" w:hAnsi="Times New Roman" w:cs="Times New Roman"/>
          <w:sz w:val="24"/>
          <w:szCs w:val="24"/>
        </w:rPr>
        <w:t xml:space="preserve">We interpret economic implications as being </w:t>
      </w:r>
      <w:r w:rsidRPr="006505F4">
        <w:rPr>
          <w:rFonts w:ascii="Times New Roman" w:hAnsi="Times New Roman" w:cs="Times New Roman"/>
          <w:sz w:val="24"/>
          <w:szCs w:val="24"/>
        </w:rPr>
        <w:t xml:space="preserve">effects on </w:t>
      </w:r>
      <w:r w:rsidR="00F67BB2" w:rsidRPr="006739B8">
        <w:rPr>
          <w:rFonts w:ascii="Times New Roman" w:hAnsi="Times New Roman" w:cs="Times New Roman"/>
          <w:sz w:val="24"/>
          <w:szCs w:val="24"/>
        </w:rPr>
        <w:t>ten</w:t>
      </w:r>
      <w:r w:rsidRPr="006739B8">
        <w:rPr>
          <w:rFonts w:ascii="Times New Roman" w:hAnsi="Times New Roman" w:cs="Times New Roman"/>
          <w:sz w:val="24"/>
          <w:szCs w:val="24"/>
        </w:rPr>
        <w:t xml:space="preserve"> </w:t>
      </w:r>
      <w:r w:rsidRPr="006505F4">
        <w:rPr>
          <w:rFonts w:ascii="Times New Roman" w:hAnsi="Times New Roman" w:cs="Times New Roman"/>
          <w:sz w:val="24"/>
          <w:szCs w:val="24"/>
        </w:rPr>
        <w:t xml:space="preserve">variables: </w:t>
      </w:r>
    </w:p>
    <w:p w:rsidR="000418E3" w:rsidRPr="006505F4" w:rsidRDefault="000418E3" w:rsidP="000418E3">
      <w:pPr>
        <w:rPr>
          <w:rFonts w:ascii="Times New Roman" w:hAnsi="Times New Roman" w:cs="Times New Roman"/>
          <w:i/>
          <w:sz w:val="24"/>
          <w:szCs w:val="24"/>
        </w:rPr>
      </w:pPr>
      <w:r>
        <w:rPr>
          <w:rFonts w:ascii="Times New Roman" w:hAnsi="Times New Roman" w:cs="Times New Roman"/>
          <w:i/>
          <w:sz w:val="24"/>
          <w:szCs w:val="24"/>
        </w:rPr>
        <w:t>Economic implication variables</w:t>
      </w:r>
    </w:p>
    <w:p w:rsidR="000418E3" w:rsidRPr="006505F4" w:rsidRDefault="000418E3" w:rsidP="000418E3">
      <w:pPr>
        <w:pStyle w:val="ListParagraph"/>
        <w:numPr>
          <w:ilvl w:val="0"/>
          <w:numId w:val="5"/>
        </w:numPr>
        <w:rPr>
          <w:rFonts w:ascii="Times New Roman" w:hAnsi="Times New Roman" w:cs="Times New Roman"/>
          <w:sz w:val="24"/>
          <w:szCs w:val="24"/>
        </w:rPr>
      </w:pPr>
      <w:r w:rsidRPr="006505F4">
        <w:rPr>
          <w:rFonts w:ascii="Times New Roman" w:hAnsi="Times New Roman" w:cs="Times New Roman"/>
          <w:sz w:val="24"/>
          <w:szCs w:val="24"/>
        </w:rPr>
        <w:t>national GDP in the event year (year 1)</w:t>
      </w:r>
    </w:p>
    <w:p w:rsidR="000418E3" w:rsidRPr="006505F4" w:rsidRDefault="000418E3" w:rsidP="000418E3">
      <w:pPr>
        <w:pStyle w:val="ListParagraph"/>
        <w:numPr>
          <w:ilvl w:val="0"/>
          <w:numId w:val="5"/>
        </w:numPr>
        <w:rPr>
          <w:rFonts w:ascii="Times New Roman" w:hAnsi="Times New Roman" w:cs="Times New Roman"/>
          <w:sz w:val="24"/>
          <w:szCs w:val="24"/>
        </w:rPr>
      </w:pPr>
      <w:r w:rsidRPr="006505F4">
        <w:rPr>
          <w:rFonts w:ascii="Times New Roman" w:hAnsi="Times New Roman" w:cs="Times New Roman"/>
          <w:sz w:val="24"/>
          <w:szCs w:val="24"/>
        </w:rPr>
        <w:t xml:space="preserve">national employment in the event year </w:t>
      </w:r>
    </w:p>
    <w:p w:rsidR="000418E3" w:rsidRPr="006505F4" w:rsidRDefault="000418E3" w:rsidP="000418E3">
      <w:pPr>
        <w:pStyle w:val="ListParagraph"/>
        <w:numPr>
          <w:ilvl w:val="0"/>
          <w:numId w:val="5"/>
        </w:numPr>
        <w:rPr>
          <w:rFonts w:ascii="Times New Roman" w:hAnsi="Times New Roman" w:cs="Times New Roman"/>
          <w:sz w:val="24"/>
          <w:szCs w:val="24"/>
        </w:rPr>
      </w:pPr>
      <w:r w:rsidRPr="006505F4">
        <w:rPr>
          <w:rFonts w:ascii="Times New Roman" w:hAnsi="Times New Roman" w:cs="Times New Roman"/>
          <w:sz w:val="24"/>
          <w:szCs w:val="24"/>
        </w:rPr>
        <w:t xml:space="preserve">GRP (gross regional product) in the target region in the event year </w:t>
      </w:r>
    </w:p>
    <w:p w:rsidR="000418E3" w:rsidRPr="006505F4" w:rsidRDefault="000418E3" w:rsidP="000418E3">
      <w:pPr>
        <w:pStyle w:val="ListParagraph"/>
        <w:numPr>
          <w:ilvl w:val="0"/>
          <w:numId w:val="5"/>
        </w:numPr>
        <w:rPr>
          <w:rFonts w:ascii="Times New Roman" w:hAnsi="Times New Roman" w:cs="Times New Roman"/>
          <w:sz w:val="24"/>
          <w:szCs w:val="24"/>
        </w:rPr>
      </w:pPr>
      <w:r w:rsidRPr="006505F4">
        <w:rPr>
          <w:rFonts w:ascii="Times New Roman" w:hAnsi="Times New Roman" w:cs="Times New Roman"/>
          <w:sz w:val="24"/>
          <w:szCs w:val="24"/>
        </w:rPr>
        <w:t>employment in the target region in the event year</w:t>
      </w:r>
    </w:p>
    <w:p w:rsidR="000418E3" w:rsidRPr="006505F4" w:rsidRDefault="000418E3" w:rsidP="000418E3">
      <w:pPr>
        <w:pStyle w:val="ListParagraph"/>
        <w:numPr>
          <w:ilvl w:val="0"/>
          <w:numId w:val="5"/>
        </w:numPr>
        <w:rPr>
          <w:rFonts w:ascii="Times New Roman" w:hAnsi="Times New Roman" w:cs="Times New Roman"/>
          <w:sz w:val="24"/>
          <w:szCs w:val="24"/>
        </w:rPr>
      </w:pPr>
      <w:r w:rsidRPr="006505F4">
        <w:rPr>
          <w:rFonts w:ascii="Times New Roman" w:hAnsi="Times New Roman" w:cs="Times New Roman"/>
          <w:sz w:val="24"/>
          <w:szCs w:val="24"/>
        </w:rPr>
        <w:t>national GDP in the long run (year 20)</w:t>
      </w:r>
    </w:p>
    <w:p w:rsidR="000418E3" w:rsidRDefault="000418E3" w:rsidP="000418E3">
      <w:pPr>
        <w:pStyle w:val="ListParagraph"/>
        <w:numPr>
          <w:ilvl w:val="0"/>
          <w:numId w:val="5"/>
        </w:numPr>
        <w:rPr>
          <w:rFonts w:ascii="Times New Roman" w:hAnsi="Times New Roman" w:cs="Times New Roman"/>
          <w:sz w:val="24"/>
          <w:szCs w:val="24"/>
        </w:rPr>
      </w:pPr>
      <w:r w:rsidRPr="006505F4">
        <w:rPr>
          <w:rFonts w:ascii="Times New Roman" w:hAnsi="Times New Roman" w:cs="Times New Roman"/>
          <w:sz w:val="24"/>
          <w:szCs w:val="24"/>
        </w:rPr>
        <w:t xml:space="preserve">national employment in the long run </w:t>
      </w:r>
    </w:p>
    <w:p w:rsidR="00615065" w:rsidRPr="006505F4" w:rsidRDefault="00615065" w:rsidP="00615065">
      <w:pPr>
        <w:pStyle w:val="ListParagraph"/>
        <w:numPr>
          <w:ilvl w:val="0"/>
          <w:numId w:val="5"/>
        </w:numPr>
        <w:rPr>
          <w:rFonts w:ascii="Times New Roman" w:hAnsi="Times New Roman" w:cs="Times New Roman"/>
          <w:sz w:val="24"/>
          <w:szCs w:val="24"/>
        </w:rPr>
      </w:pPr>
      <w:r w:rsidRPr="006505F4">
        <w:rPr>
          <w:rFonts w:ascii="Times New Roman" w:hAnsi="Times New Roman" w:cs="Times New Roman"/>
          <w:sz w:val="24"/>
          <w:szCs w:val="24"/>
        </w:rPr>
        <w:t>GRP (gross regional product) in the target region in the long run</w:t>
      </w:r>
    </w:p>
    <w:p w:rsidR="00615065" w:rsidRPr="006505F4" w:rsidRDefault="00615065" w:rsidP="00615065">
      <w:pPr>
        <w:pStyle w:val="ListParagraph"/>
        <w:numPr>
          <w:ilvl w:val="0"/>
          <w:numId w:val="5"/>
        </w:numPr>
        <w:rPr>
          <w:rFonts w:ascii="Times New Roman" w:hAnsi="Times New Roman" w:cs="Times New Roman"/>
          <w:sz w:val="24"/>
          <w:szCs w:val="24"/>
        </w:rPr>
      </w:pPr>
      <w:r w:rsidRPr="006505F4">
        <w:rPr>
          <w:rFonts w:ascii="Times New Roman" w:hAnsi="Times New Roman" w:cs="Times New Roman"/>
          <w:sz w:val="24"/>
          <w:szCs w:val="24"/>
        </w:rPr>
        <w:t>employment in the target region in the long run</w:t>
      </w:r>
    </w:p>
    <w:p w:rsidR="00921C23" w:rsidRDefault="00921C23" w:rsidP="00921C23">
      <w:pPr>
        <w:pStyle w:val="ListParagraph"/>
        <w:numPr>
          <w:ilvl w:val="0"/>
          <w:numId w:val="5"/>
        </w:numPr>
        <w:rPr>
          <w:rFonts w:ascii="Times New Roman" w:hAnsi="Times New Roman" w:cs="Times New Roman"/>
          <w:sz w:val="24"/>
          <w:szCs w:val="24"/>
        </w:rPr>
      </w:pPr>
      <w:r w:rsidRPr="006505F4">
        <w:rPr>
          <w:rFonts w:ascii="Times New Roman" w:hAnsi="Times New Roman" w:cs="Times New Roman"/>
          <w:sz w:val="24"/>
          <w:szCs w:val="24"/>
        </w:rPr>
        <w:lastRenderedPageBreak/>
        <w:t>present value of loss in economic welfare</w:t>
      </w:r>
      <w:r>
        <w:rPr>
          <w:rFonts w:ascii="Times New Roman" w:hAnsi="Times New Roman" w:cs="Times New Roman"/>
          <w:sz w:val="24"/>
          <w:szCs w:val="24"/>
        </w:rPr>
        <w:t xml:space="preserve"> with a high discount rate (5%)</w:t>
      </w:r>
    </w:p>
    <w:p w:rsidR="00921C23" w:rsidRPr="00F67BB2" w:rsidRDefault="00921C23" w:rsidP="00921C23">
      <w:pPr>
        <w:pStyle w:val="ListParagraph"/>
        <w:numPr>
          <w:ilvl w:val="0"/>
          <w:numId w:val="5"/>
        </w:numPr>
        <w:rPr>
          <w:rFonts w:ascii="Times New Roman" w:hAnsi="Times New Roman" w:cs="Times New Roman"/>
          <w:sz w:val="24"/>
          <w:szCs w:val="24"/>
        </w:rPr>
      </w:pPr>
      <w:r w:rsidRPr="00F67BB2">
        <w:rPr>
          <w:rFonts w:ascii="Times New Roman" w:hAnsi="Times New Roman" w:cs="Times New Roman"/>
          <w:sz w:val="24"/>
          <w:szCs w:val="24"/>
        </w:rPr>
        <w:t>present value of loss in economic welfare with a low discount rate (2%)</w:t>
      </w:r>
    </w:p>
    <w:p w:rsidR="000418E3" w:rsidRDefault="000418E3"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 xml:space="preserve">Thus, we see our task as being to provide an easily computed link between the 14 driving factors and these </w:t>
      </w:r>
      <w:r w:rsidR="00F67BB2">
        <w:rPr>
          <w:rFonts w:ascii="Times New Roman" w:hAnsi="Times New Roman" w:cs="Times New Roman"/>
          <w:sz w:val="24"/>
          <w:szCs w:val="24"/>
        </w:rPr>
        <w:t>10</w:t>
      </w:r>
      <w:r>
        <w:rPr>
          <w:rFonts w:ascii="Times New Roman" w:hAnsi="Times New Roman" w:cs="Times New Roman"/>
          <w:sz w:val="24"/>
          <w:szCs w:val="24"/>
        </w:rPr>
        <w:t xml:space="preserve"> economic implication variables: </w:t>
      </w:r>
    </w:p>
    <w:p w:rsidR="000418E3" w:rsidRPr="000D6CF4" w:rsidRDefault="000D6CF4" w:rsidP="000418E3">
      <w:pPr>
        <w:pStyle w:val="ListParagraph"/>
        <w:ind w:left="0"/>
        <w:contextualSpacing w:val="0"/>
        <w:rPr>
          <w:rFonts w:ascii="Times New Roman" w:hAnsi="Times New Roman" w:cs="Times New Roman"/>
          <w:sz w:val="24"/>
          <w:szCs w:val="24"/>
        </w:rPr>
      </w:pPr>
      <w:r w:rsidRPr="000D6CF4">
        <w:rPr>
          <w:noProof/>
          <w:lang w:val="en-AU" w:eastAsia="en-AU"/>
        </w:rPr>
        <w:drawing>
          <wp:inline distT="0" distB="0" distL="0" distR="0" wp14:anchorId="7CEE9001" wp14:editId="67176E65">
            <wp:extent cx="5731510" cy="567215"/>
            <wp:effectExtent l="0" t="0" r="254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567215"/>
                    </a:xfrm>
                    <a:prstGeom prst="rect">
                      <a:avLst/>
                    </a:prstGeom>
                    <a:noFill/>
                    <a:ln>
                      <a:noFill/>
                    </a:ln>
                  </pic:spPr>
                </pic:pic>
              </a:graphicData>
            </a:graphic>
          </wp:inline>
        </w:drawing>
      </w:r>
    </w:p>
    <w:p w:rsidR="000418E3" w:rsidRDefault="000418E3" w:rsidP="000418E3">
      <w:pPr>
        <w:pStyle w:val="ListParagraph"/>
        <w:spacing w:before="240"/>
        <w:ind w:left="0"/>
        <w:contextualSpacing w:val="0"/>
        <w:rPr>
          <w:rFonts w:ascii="Times New Roman" w:hAnsi="Times New Roman" w:cs="Times New Roman"/>
          <w:sz w:val="24"/>
          <w:szCs w:val="24"/>
        </w:rPr>
      </w:pPr>
      <w:r>
        <w:rPr>
          <w:rFonts w:ascii="Times New Roman" w:hAnsi="Times New Roman" w:cs="Times New Roman"/>
          <w:sz w:val="24"/>
          <w:szCs w:val="24"/>
        </w:rPr>
        <w:t xml:space="preserve">Our approach relies on the estimation of elasticities of the </w:t>
      </w:r>
      <w:r w:rsidR="00F67BB2">
        <w:rPr>
          <w:rFonts w:ascii="Times New Roman" w:hAnsi="Times New Roman" w:cs="Times New Roman"/>
          <w:sz w:val="24"/>
          <w:szCs w:val="24"/>
        </w:rPr>
        <w:t xml:space="preserve">10 </w:t>
      </w:r>
      <w:r>
        <w:rPr>
          <w:rFonts w:ascii="Times New Roman" w:hAnsi="Times New Roman" w:cs="Times New Roman"/>
          <w:sz w:val="24"/>
          <w:szCs w:val="24"/>
        </w:rPr>
        <w:t>implication variables with respect to the 14 driving factors.  The elasticities are estimated from a detailed regional computable general equilibrium (CGE)</w:t>
      </w:r>
      <w:r w:rsidR="001E7F73">
        <w:rPr>
          <w:rFonts w:ascii="Times New Roman" w:hAnsi="Times New Roman" w:cs="Times New Roman"/>
          <w:sz w:val="24"/>
          <w:szCs w:val="24"/>
        </w:rPr>
        <w:t xml:space="preserve"> </w:t>
      </w:r>
      <w:r>
        <w:rPr>
          <w:rFonts w:ascii="Times New Roman" w:hAnsi="Times New Roman" w:cs="Times New Roman"/>
          <w:sz w:val="24"/>
          <w:szCs w:val="24"/>
        </w:rPr>
        <w:t xml:space="preserve">model of the U.S.  Once the elasticities are in place, the effects on each of the </w:t>
      </w:r>
      <w:r w:rsidR="00F67BB2">
        <w:rPr>
          <w:rFonts w:ascii="Times New Roman" w:hAnsi="Times New Roman" w:cs="Times New Roman"/>
          <w:sz w:val="24"/>
          <w:szCs w:val="24"/>
        </w:rPr>
        <w:t>10</w:t>
      </w:r>
      <w:r>
        <w:rPr>
          <w:rFonts w:ascii="Times New Roman" w:hAnsi="Times New Roman" w:cs="Times New Roman"/>
          <w:sz w:val="24"/>
          <w:szCs w:val="24"/>
        </w:rPr>
        <w:t xml:space="preserve"> implication variables of any given scenario can be computed effortlessly as a weighted sum of the values of the 14 driving factors for that scenario.  </w:t>
      </w:r>
    </w:p>
    <w:p w:rsidR="000418E3" w:rsidRDefault="000418E3"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 xml:space="preserve">In the past, the TRA groups have relied on input-output (I-O) modeling to provide the link between driving factors and economic implication variables.  In section 2 we compare I-O and CGE.  In brief, CGE is superior in terms of economic theory and coverage of variables.  However, CGE computation is difficult and generally requires participation of specialist CGE modelers.  This raises difficulties in a situation in which rapid calculations are required in a secure environment.  In section 3 we describe how our elasticities approach overcomes both the computational and security </w:t>
      </w:r>
      <w:r w:rsidR="007E1789">
        <w:rPr>
          <w:rFonts w:ascii="Times New Roman" w:hAnsi="Times New Roman" w:cs="Times New Roman"/>
          <w:sz w:val="24"/>
          <w:szCs w:val="24"/>
        </w:rPr>
        <w:t>challenges</w:t>
      </w:r>
      <w:r>
        <w:rPr>
          <w:rFonts w:ascii="Times New Roman" w:hAnsi="Times New Roman" w:cs="Times New Roman"/>
          <w:sz w:val="24"/>
          <w:szCs w:val="24"/>
        </w:rPr>
        <w:t xml:space="preserve">.  The particular CGE model on which we base the elasticities is USAGE-TERM.  This model is described in section 4.  Section 5 sets out the measure of welfare loss that can be computed with our elasticities for each terrorism incident.  </w:t>
      </w:r>
      <w:r w:rsidR="00F125DB">
        <w:rPr>
          <w:rFonts w:ascii="Times New Roman" w:hAnsi="Times New Roman" w:cs="Times New Roman"/>
          <w:sz w:val="24"/>
          <w:szCs w:val="24"/>
        </w:rPr>
        <w:t xml:space="preserve">Welfare is the most important implication variable.  As explained in section 5, we allow for analysis of the sensitivity of welfare with respect to the discount rate and the value of life.  </w:t>
      </w:r>
      <w:r>
        <w:rPr>
          <w:rFonts w:ascii="Times New Roman" w:hAnsi="Times New Roman" w:cs="Times New Roman"/>
          <w:sz w:val="24"/>
          <w:szCs w:val="24"/>
        </w:rPr>
        <w:t xml:space="preserve">Section 6 </w:t>
      </w:r>
      <w:r w:rsidR="001E7F73">
        <w:rPr>
          <w:rFonts w:ascii="Times New Roman" w:hAnsi="Times New Roman" w:cs="Times New Roman"/>
          <w:sz w:val="24"/>
          <w:szCs w:val="24"/>
        </w:rPr>
        <w:t>describes</w:t>
      </w:r>
      <w:r>
        <w:rPr>
          <w:rFonts w:ascii="Times New Roman" w:hAnsi="Times New Roman" w:cs="Times New Roman"/>
          <w:sz w:val="24"/>
          <w:szCs w:val="24"/>
        </w:rPr>
        <w:t xml:space="preserve"> the estimation of the elasticities</w:t>
      </w:r>
      <w:r w:rsidR="007E1789">
        <w:rPr>
          <w:rFonts w:ascii="Times New Roman" w:hAnsi="Times New Roman" w:cs="Times New Roman"/>
          <w:sz w:val="24"/>
          <w:szCs w:val="24"/>
        </w:rPr>
        <w:t xml:space="preserve"> and appendix 1contains f</w:t>
      </w:r>
      <w:r w:rsidR="001E7F73">
        <w:rPr>
          <w:rFonts w:ascii="Times New Roman" w:hAnsi="Times New Roman" w:cs="Times New Roman"/>
          <w:sz w:val="24"/>
          <w:szCs w:val="24"/>
        </w:rPr>
        <w:t xml:space="preserve">ull technical details.  Illustrative </w:t>
      </w:r>
      <w:r>
        <w:rPr>
          <w:rFonts w:ascii="Times New Roman" w:hAnsi="Times New Roman" w:cs="Times New Roman"/>
          <w:sz w:val="24"/>
          <w:szCs w:val="24"/>
        </w:rPr>
        <w:t>application</w:t>
      </w:r>
      <w:r w:rsidR="001E7F73">
        <w:rPr>
          <w:rFonts w:ascii="Times New Roman" w:hAnsi="Times New Roman" w:cs="Times New Roman"/>
          <w:sz w:val="24"/>
          <w:szCs w:val="24"/>
        </w:rPr>
        <w:t>s</w:t>
      </w:r>
      <w:r>
        <w:rPr>
          <w:rFonts w:ascii="Times New Roman" w:hAnsi="Times New Roman" w:cs="Times New Roman"/>
          <w:sz w:val="24"/>
          <w:szCs w:val="24"/>
        </w:rPr>
        <w:t xml:space="preserve"> of the elasticities </w:t>
      </w:r>
      <w:r w:rsidR="001E7F73">
        <w:rPr>
          <w:rFonts w:ascii="Times New Roman" w:hAnsi="Times New Roman" w:cs="Times New Roman"/>
          <w:sz w:val="24"/>
          <w:szCs w:val="24"/>
        </w:rPr>
        <w:t>are</w:t>
      </w:r>
      <w:r>
        <w:rPr>
          <w:rFonts w:ascii="Times New Roman" w:hAnsi="Times New Roman" w:cs="Times New Roman"/>
          <w:sz w:val="24"/>
          <w:szCs w:val="24"/>
        </w:rPr>
        <w:t xml:space="preserve"> given in section 7.  Concluding remarks focusing on directions for future research are in section 8.  </w:t>
      </w:r>
      <w:r w:rsidR="001E7F73">
        <w:rPr>
          <w:rFonts w:ascii="Times New Roman" w:hAnsi="Times New Roman" w:cs="Times New Roman"/>
          <w:sz w:val="24"/>
          <w:szCs w:val="24"/>
        </w:rPr>
        <w:t xml:space="preserve">Appendix 2 describes archiving of materials necessary for replicating the elasticities and other results in the report.  </w:t>
      </w:r>
      <w:r>
        <w:rPr>
          <w:rFonts w:ascii="Times New Roman" w:hAnsi="Times New Roman" w:cs="Times New Roman"/>
          <w:sz w:val="24"/>
          <w:szCs w:val="24"/>
        </w:rPr>
        <w:t xml:space="preserve"> </w:t>
      </w:r>
    </w:p>
    <w:p w:rsidR="000418E3" w:rsidRPr="00A247B6" w:rsidRDefault="000418E3" w:rsidP="000418E3">
      <w:pPr>
        <w:rPr>
          <w:rFonts w:ascii="Times New Roman" w:hAnsi="Times New Roman" w:cs="Times New Roman"/>
          <w:b/>
          <w:i/>
          <w:sz w:val="24"/>
          <w:szCs w:val="24"/>
        </w:rPr>
      </w:pPr>
      <w:r>
        <w:rPr>
          <w:rFonts w:ascii="Times New Roman" w:hAnsi="Times New Roman" w:cs="Times New Roman"/>
          <w:b/>
          <w:i/>
          <w:sz w:val="24"/>
          <w:szCs w:val="24"/>
        </w:rPr>
        <w:t xml:space="preserve">1.2.  From </w:t>
      </w:r>
      <w:r w:rsidR="001E7F73">
        <w:rPr>
          <w:rFonts w:ascii="Times New Roman" w:hAnsi="Times New Roman" w:cs="Times New Roman"/>
          <w:b/>
          <w:i/>
          <w:sz w:val="24"/>
          <w:szCs w:val="24"/>
        </w:rPr>
        <w:t>ECAT</w:t>
      </w:r>
      <w:r>
        <w:rPr>
          <w:rFonts w:ascii="Times New Roman" w:hAnsi="Times New Roman" w:cs="Times New Roman"/>
          <w:b/>
          <w:i/>
          <w:sz w:val="24"/>
          <w:szCs w:val="24"/>
        </w:rPr>
        <w:t xml:space="preserve"> to GRAD-ECAT</w:t>
      </w:r>
    </w:p>
    <w:p w:rsidR="000418E3" w:rsidRDefault="000418E3"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Ours is not the first attempt to use a CGE model to provide a rapid</w:t>
      </w:r>
      <w:r w:rsidR="001A5ECB">
        <w:rPr>
          <w:rFonts w:ascii="Times New Roman" w:hAnsi="Times New Roman" w:cs="Times New Roman"/>
          <w:sz w:val="24"/>
          <w:szCs w:val="24"/>
        </w:rPr>
        <w:t>-</w:t>
      </w:r>
      <w:r>
        <w:rPr>
          <w:rFonts w:ascii="Times New Roman" w:hAnsi="Times New Roman" w:cs="Times New Roman"/>
          <w:sz w:val="24"/>
          <w:szCs w:val="24"/>
        </w:rPr>
        <w:t xml:space="preserve">computation link between driving factors arising from disruptive events and economic implication variables.  Parallel with our work, </w:t>
      </w:r>
      <w:r w:rsidR="00F125DB">
        <w:rPr>
          <w:rFonts w:ascii="Times New Roman" w:hAnsi="Times New Roman" w:cs="Times New Roman"/>
          <w:sz w:val="24"/>
          <w:szCs w:val="24"/>
        </w:rPr>
        <w:t xml:space="preserve">Rose </w:t>
      </w:r>
      <w:r w:rsidR="00F125DB">
        <w:rPr>
          <w:rFonts w:ascii="Times New Roman" w:hAnsi="Times New Roman" w:cs="Times New Roman"/>
          <w:i/>
          <w:sz w:val="24"/>
          <w:szCs w:val="24"/>
        </w:rPr>
        <w:t>et al.</w:t>
      </w:r>
      <w:r w:rsidR="00F125DB">
        <w:rPr>
          <w:rFonts w:ascii="Times New Roman" w:hAnsi="Times New Roman" w:cs="Times New Roman"/>
          <w:sz w:val="24"/>
          <w:szCs w:val="24"/>
        </w:rPr>
        <w:t xml:space="preserve"> (2017) and </w:t>
      </w:r>
      <w:r>
        <w:rPr>
          <w:rFonts w:ascii="Times New Roman" w:hAnsi="Times New Roman" w:cs="Times New Roman"/>
          <w:sz w:val="24"/>
          <w:szCs w:val="24"/>
        </w:rPr>
        <w:t xml:space="preserve">Chen </w:t>
      </w:r>
      <w:r>
        <w:rPr>
          <w:rFonts w:ascii="Times New Roman" w:hAnsi="Times New Roman" w:cs="Times New Roman"/>
          <w:i/>
          <w:sz w:val="24"/>
          <w:szCs w:val="24"/>
        </w:rPr>
        <w:t>et al.</w:t>
      </w:r>
      <w:r>
        <w:rPr>
          <w:rFonts w:ascii="Times New Roman" w:hAnsi="Times New Roman" w:cs="Times New Roman"/>
          <w:sz w:val="24"/>
          <w:szCs w:val="24"/>
        </w:rPr>
        <w:t xml:space="preserve"> (2016) have created </w:t>
      </w:r>
      <w:r w:rsidR="001E7F73">
        <w:rPr>
          <w:rFonts w:ascii="Times New Roman" w:hAnsi="Times New Roman" w:cs="Times New Roman"/>
          <w:sz w:val="24"/>
          <w:szCs w:val="24"/>
        </w:rPr>
        <w:t>ECAT</w:t>
      </w:r>
      <w:r>
        <w:rPr>
          <w:rFonts w:ascii="Times New Roman" w:hAnsi="Times New Roman" w:cs="Times New Roman"/>
          <w:sz w:val="24"/>
          <w:szCs w:val="24"/>
        </w:rPr>
        <w:t xml:space="preserve">s (Economic Consequence Analysis Tools).  Their approach is to build a separate </w:t>
      </w:r>
      <w:r w:rsidR="001E7F73">
        <w:rPr>
          <w:rFonts w:ascii="Times New Roman" w:hAnsi="Times New Roman" w:cs="Times New Roman"/>
          <w:sz w:val="24"/>
          <w:szCs w:val="24"/>
        </w:rPr>
        <w:t>ECAT</w:t>
      </w:r>
      <w:r>
        <w:rPr>
          <w:rFonts w:ascii="Times New Roman" w:hAnsi="Times New Roman" w:cs="Times New Roman"/>
          <w:sz w:val="24"/>
          <w:szCs w:val="24"/>
        </w:rPr>
        <w:t xml:space="preserve"> for different types of events, an </w:t>
      </w:r>
      <w:r w:rsidR="001E7F73">
        <w:rPr>
          <w:rFonts w:ascii="Times New Roman" w:hAnsi="Times New Roman" w:cs="Times New Roman"/>
          <w:sz w:val="24"/>
          <w:szCs w:val="24"/>
        </w:rPr>
        <w:t>ECAT</w:t>
      </w:r>
      <w:r>
        <w:rPr>
          <w:rFonts w:ascii="Times New Roman" w:hAnsi="Times New Roman" w:cs="Times New Roman"/>
          <w:sz w:val="24"/>
          <w:szCs w:val="24"/>
        </w:rPr>
        <w:t xml:space="preserve"> for aviation system disruptions, an </w:t>
      </w:r>
      <w:r w:rsidR="001E7F73">
        <w:rPr>
          <w:rFonts w:ascii="Times New Roman" w:hAnsi="Times New Roman" w:cs="Times New Roman"/>
          <w:sz w:val="24"/>
          <w:szCs w:val="24"/>
        </w:rPr>
        <w:t>ECAT</w:t>
      </w:r>
      <w:r>
        <w:rPr>
          <w:rFonts w:ascii="Times New Roman" w:hAnsi="Times New Roman" w:cs="Times New Roman"/>
          <w:sz w:val="24"/>
          <w:szCs w:val="24"/>
        </w:rPr>
        <w:t xml:space="preserve"> for earthquakes, etc.  They start by specifying a scalar, M, that indicates the severity of an event.  For example, in the aviation </w:t>
      </w:r>
      <w:r w:rsidR="001E7F73">
        <w:rPr>
          <w:rFonts w:ascii="Times New Roman" w:hAnsi="Times New Roman" w:cs="Times New Roman"/>
          <w:sz w:val="24"/>
          <w:szCs w:val="24"/>
        </w:rPr>
        <w:t>ECAT</w:t>
      </w:r>
      <w:r>
        <w:rPr>
          <w:rFonts w:ascii="Times New Roman" w:hAnsi="Times New Roman" w:cs="Times New Roman"/>
          <w:sz w:val="24"/>
          <w:szCs w:val="24"/>
        </w:rPr>
        <w:t xml:space="preserve">, M is the number of national shutdown days (if half the system is shut down for 2 days, then M = 1).  </w:t>
      </w:r>
      <w:r w:rsidR="001E7F73">
        <w:rPr>
          <w:rFonts w:ascii="Times New Roman" w:hAnsi="Times New Roman" w:cs="Times New Roman"/>
          <w:sz w:val="24"/>
          <w:szCs w:val="24"/>
        </w:rPr>
        <w:t>Rose</w:t>
      </w:r>
      <w:r>
        <w:rPr>
          <w:rFonts w:ascii="Times New Roman" w:hAnsi="Times New Roman" w:cs="Times New Roman"/>
          <w:sz w:val="24"/>
          <w:szCs w:val="24"/>
        </w:rPr>
        <w:t xml:space="preserve"> </w:t>
      </w:r>
      <w:r>
        <w:rPr>
          <w:rFonts w:ascii="Times New Roman" w:hAnsi="Times New Roman" w:cs="Times New Roman"/>
          <w:i/>
          <w:sz w:val="24"/>
          <w:szCs w:val="24"/>
        </w:rPr>
        <w:t>et al.</w:t>
      </w:r>
      <w:r>
        <w:rPr>
          <w:rFonts w:ascii="Times New Roman" w:hAnsi="Times New Roman" w:cs="Times New Roman"/>
          <w:sz w:val="24"/>
          <w:szCs w:val="24"/>
        </w:rPr>
        <w:t xml:space="preserve"> make a judgment as to the maximum value of M that is likely to be of practical interest, e.g. M</w:t>
      </w:r>
      <w:r>
        <w:rPr>
          <w:rFonts w:ascii="Times New Roman" w:hAnsi="Times New Roman" w:cs="Times New Roman"/>
          <w:sz w:val="24"/>
          <w:szCs w:val="24"/>
          <w:vertAlign w:val="subscript"/>
        </w:rPr>
        <w:t>max</w:t>
      </w:r>
      <w:r>
        <w:rPr>
          <w:rFonts w:ascii="Times New Roman" w:hAnsi="Times New Roman" w:cs="Times New Roman"/>
          <w:sz w:val="24"/>
          <w:szCs w:val="24"/>
        </w:rPr>
        <w:t xml:space="preserve"> = 7.  They also specify a lower bound, e.g. M</w:t>
      </w:r>
      <w:r>
        <w:rPr>
          <w:rFonts w:ascii="Times New Roman" w:hAnsi="Times New Roman" w:cs="Times New Roman"/>
          <w:sz w:val="24"/>
          <w:szCs w:val="24"/>
          <w:vertAlign w:val="subscript"/>
        </w:rPr>
        <w:t>min</w:t>
      </w:r>
      <w:r>
        <w:rPr>
          <w:rFonts w:ascii="Times New Roman" w:hAnsi="Times New Roman" w:cs="Times New Roman"/>
          <w:sz w:val="24"/>
          <w:szCs w:val="24"/>
        </w:rPr>
        <w:t xml:space="preserve"> = 1.  Then they make judgments about the values of driving factors at the maximum and minimum values of M.  In the aviation case, there are 13 driving factors, property damage and output loss in 12 industries.  Values of driving factors for intermediate values of M are specified according to: </w:t>
      </w:r>
    </w:p>
    <w:p w:rsidR="000418E3" w:rsidRPr="008017BB" w:rsidRDefault="000418E3" w:rsidP="000418E3">
      <w:pPr>
        <w:pStyle w:val="ListParagraph"/>
        <w:tabs>
          <w:tab w:val="left" w:pos="567"/>
          <w:tab w:val="right" w:pos="8789"/>
        </w:tabs>
        <w:ind w:left="0"/>
        <w:contextualSpacing w:val="0"/>
        <w:rPr>
          <w:rFonts w:ascii="Times New Roman" w:hAnsi="Times New Roman" w:cs="Times New Roman"/>
          <w:sz w:val="24"/>
          <w:szCs w:val="24"/>
        </w:rPr>
      </w:pPr>
      <w:r w:rsidRPr="008017BB">
        <w:rPr>
          <w:rFonts w:ascii="Times New Roman" w:hAnsi="Times New Roman" w:cs="Times New Roman"/>
          <w:sz w:val="24"/>
          <w:szCs w:val="24"/>
        </w:rPr>
        <w:tab/>
      </w:r>
      <w:r w:rsidRPr="00B90261">
        <w:rPr>
          <w:rFonts w:ascii="Times New Roman" w:hAnsi="Times New Roman" w:cs="Times New Roman"/>
          <w:position w:val="-14"/>
          <w:sz w:val="24"/>
          <w:szCs w:val="24"/>
        </w:rPr>
        <w:object w:dxaOrig="1640" w:dyaOrig="380">
          <v:shape id="_x0000_i1027" type="#_x0000_t75" style="width:82.5pt;height:18.75pt" o:ole="">
            <v:imagedata r:id="rId15" o:title=""/>
          </v:shape>
          <o:OLEObject Type="Embed" ProgID="Equation.DSMT4" ShapeID="_x0000_i1027" DrawAspect="Content" ObjectID="_1553159835" r:id="rId16"/>
        </w:object>
      </w:r>
      <w:r w:rsidRPr="008017BB">
        <w:rPr>
          <w:rFonts w:ascii="Times New Roman" w:hAnsi="Times New Roman" w:cs="Times New Roman"/>
          <w:sz w:val="24"/>
          <w:szCs w:val="24"/>
        </w:rPr>
        <w:tab/>
        <w:t>(</w:t>
      </w:r>
      <w:r w:rsidR="00F7638B">
        <w:rPr>
          <w:rFonts w:ascii="Times New Roman" w:hAnsi="Times New Roman" w:cs="Times New Roman"/>
          <w:sz w:val="24"/>
          <w:szCs w:val="24"/>
        </w:rPr>
        <w:t>1.</w:t>
      </w:r>
      <w:r w:rsidRPr="008017BB">
        <w:rPr>
          <w:rFonts w:ascii="Times New Roman" w:hAnsi="Times New Roman" w:cs="Times New Roman"/>
          <w:sz w:val="24"/>
          <w:szCs w:val="24"/>
        </w:rPr>
        <w:t>1)</w:t>
      </w:r>
    </w:p>
    <w:p w:rsidR="000418E3" w:rsidRDefault="000418E3" w:rsidP="000418E3">
      <w:pPr>
        <w:pStyle w:val="ListParagraph"/>
        <w:spacing w:before="240"/>
        <w:ind w:left="0"/>
        <w:contextualSpacing w:val="0"/>
        <w:rPr>
          <w:rFonts w:ascii="Times New Roman" w:hAnsi="Times New Roman" w:cs="Times New Roman"/>
          <w:sz w:val="24"/>
          <w:szCs w:val="24"/>
        </w:rPr>
      </w:pPr>
      <w:r>
        <w:rPr>
          <w:rFonts w:ascii="Times New Roman" w:hAnsi="Times New Roman" w:cs="Times New Roman"/>
          <w:sz w:val="24"/>
          <w:szCs w:val="24"/>
        </w:rPr>
        <w:t>where</w:t>
      </w:r>
    </w:p>
    <w:p w:rsidR="000418E3" w:rsidRDefault="000418E3" w:rsidP="000418E3">
      <w:pPr>
        <w:pStyle w:val="ListParagraph"/>
        <w:spacing w:before="0"/>
        <w:ind w:left="360"/>
        <w:contextualSpacing w:val="0"/>
        <w:rPr>
          <w:rFonts w:ascii="Times New Roman" w:hAnsi="Times New Roman" w:cs="Times New Roman"/>
          <w:sz w:val="24"/>
          <w:szCs w:val="24"/>
        </w:rPr>
      </w:pPr>
      <w:r>
        <w:rPr>
          <w:rFonts w:ascii="Times New Roman" w:hAnsi="Times New Roman" w:cs="Times New Roman"/>
          <w:sz w:val="24"/>
          <w:szCs w:val="24"/>
        </w:rPr>
        <w:t>M</w:t>
      </w:r>
      <w:r>
        <w:rPr>
          <w:rFonts w:ascii="Times New Roman" w:hAnsi="Times New Roman" w:cs="Times New Roman"/>
          <w:sz w:val="24"/>
          <w:szCs w:val="24"/>
          <w:vertAlign w:val="subscript"/>
        </w:rPr>
        <w:t>i</w:t>
      </w:r>
      <w:r>
        <w:rPr>
          <w:rFonts w:ascii="Times New Roman" w:hAnsi="Times New Roman" w:cs="Times New Roman"/>
          <w:sz w:val="24"/>
          <w:szCs w:val="24"/>
        </w:rPr>
        <w:t xml:space="preserve"> is an intermediate value of M, e.g. M=3; </w:t>
      </w:r>
    </w:p>
    <w:p w:rsidR="000418E3" w:rsidRDefault="000418E3" w:rsidP="000418E3">
      <w:pPr>
        <w:pStyle w:val="ListParagraph"/>
        <w:spacing w:before="0"/>
        <w:ind w:left="360"/>
        <w:contextualSpacing w:val="0"/>
        <w:rPr>
          <w:rFonts w:ascii="Times New Roman" w:hAnsi="Times New Roman" w:cs="Times New Roman"/>
          <w:sz w:val="24"/>
          <w:szCs w:val="24"/>
        </w:rPr>
      </w:pPr>
      <w:r>
        <w:rPr>
          <w:rFonts w:ascii="Times New Roman" w:hAnsi="Times New Roman" w:cs="Times New Roman"/>
          <w:sz w:val="24"/>
          <w:szCs w:val="24"/>
        </w:rPr>
        <w:lastRenderedPageBreak/>
        <w:t>Y</w:t>
      </w:r>
      <w:r>
        <w:rPr>
          <w:rFonts w:ascii="Times New Roman" w:hAnsi="Times New Roman" w:cs="Times New Roman"/>
          <w:sz w:val="24"/>
          <w:szCs w:val="24"/>
          <w:vertAlign w:val="subscript"/>
        </w:rPr>
        <w:t>ij</w:t>
      </w:r>
      <w:r>
        <w:rPr>
          <w:rFonts w:ascii="Times New Roman" w:hAnsi="Times New Roman" w:cs="Times New Roman"/>
          <w:sz w:val="24"/>
          <w:szCs w:val="24"/>
        </w:rPr>
        <w:t xml:space="preserve"> is the value of the jth driving factor associated with the value M</w:t>
      </w:r>
      <w:r>
        <w:rPr>
          <w:rFonts w:ascii="Times New Roman" w:hAnsi="Times New Roman" w:cs="Times New Roman"/>
          <w:sz w:val="24"/>
          <w:szCs w:val="24"/>
          <w:vertAlign w:val="subscript"/>
        </w:rPr>
        <w:t>i</w:t>
      </w:r>
      <w:r>
        <w:rPr>
          <w:rFonts w:ascii="Times New Roman" w:hAnsi="Times New Roman" w:cs="Times New Roman"/>
          <w:sz w:val="24"/>
          <w:szCs w:val="24"/>
        </w:rPr>
        <w:t xml:space="preserve"> for the severity indicator; and</w:t>
      </w:r>
    </w:p>
    <w:p w:rsidR="000418E3" w:rsidRDefault="000418E3" w:rsidP="000418E3">
      <w:pPr>
        <w:pStyle w:val="ListParagraph"/>
        <w:spacing w:before="0"/>
        <w:ind w:left="360"/>
        <w:contextualSpacing w:val="0"/>
        <w:rPr>
          <w:rFonts w:ascii="Times New Roman" w:hAnsi="Times New Roman" w:cs="Times New Roman"/>
          <w:sz w:val="24"/>
          <w:szCs w:val="24"/>
        </w:rPr>
      </w:pPr>
      <w:r>
        <w:rPr>
          <w:rFonts w:ascii="Times New Roman" w:hAnsi="Times New Roman" w:cs="Times New Roman"/>
          <w:sz w:val="24"/>
          <w:szCs w:val="24"/>
        </w:rPr>
        <w:sym w:font="Symbol" w:char="F061"/>
      </w:r>
      <w:r>
        <w:rPr>
          <w:rFonts w:ascii="Times New Roman" w:hAnsi="Times New Roman" w:cs="Times New Roman"/>
          <w:sz w:val="24"/>
          <w:szCs w:val="24"/>
          <w:vertAlign w:val="subscript"/>
        </w:rPr>
        <w:t>j</w:t>
      </w:r>
      <w:r>
        <w:rPr>
          <w:rFonts w:ascii="Times New Roman" w:hAnsi="Times New Roman" w:cs="Times New Roman"/>
          <w:sz w:val="24"/>
          <w:szCs w:val="24"/>
        </w:rPr>
        <w:t xml:space="preserve"> and </w:t>
      </w:r>
      <w:r>
        <w:rPr>
          <w:rFonts w:ascii="Times New Roman" w:hAnsi="Times New Roman" w:cs="Times New Roman"/>
          <w:sz w:val="24"/>
          <w:szCs w:val="24"/>
        </w:rPr>
        <w:sym w:font="Symbol" w:char="F062"/>
      </w:r>
      <w:r>
        <w:rPr>
          <w:rFonts w:ascii="Times New Roman" w:hAnsi="Times New Roman" w:cs="Times New Roman"/>
          <w:sz w:val="24"/>
          <w:szCs w:val="24"/>
          <w:vertAlign w:val="subscript"/>
        </w:rPr>
        <w:t>j</w:t>
      </w:r>
      <w:r>
        <w:rPr>
          <w:rFonts w:ascii="Times New Roman" w:hAnsi="Times New Roman" w:cs="Times New Roman"/>
          <w:sz w:val="24"/>
          <w:szCs w:val="24"/>
        </w:rPr>
        <w:t xml:space="preserve"> are parameters deduced by passing a straight line through the (M,Y</w:t>
      </w:r>
      <w:r>
        <w:rPr>
          <w:rFonts w:ascii="Times New Roman" w:hAnsi="Times New Roman" w:cs="Times New Roman"/>
          <w:sz w:val="24"/>
          <w:szCs w:val="24"/>
          <w:vertAlign w:val="subscript"/>
        </w:rPr>
        <w:t>j</w:t>
      </w:r>
      <w:r>
        <w:rPr>
          <w:rFonts w:ascii="Times New Roman" w:hAnsi="Times New Roman" w:cs="Times New Roman"/>
          <w:sz w:val="24"/>
          <w:szCs w:val="24"/>
        </w:rPr>
        <w:t>) points for the maximum and minimum values of M.</w:t>
      </w:r>
    </w:p>
    <w:p w:rsidR="000418E3" w:rsidRDefault="000418E3" w:rsidP="00893618">
      <w:pPr>
        <w:pStyle w:val="ListParagraph"/>
        <w:spacing w:before="0"/>
        <w:ind w:left="0"/>
        <w:contextualSpacing w:val="0"/>
        <w:rPr>
          <w:rFonts w:ascii="Times New Roman" w:hAnsi="Times New Roman" w:cs="Times New Roman"/>
          <w:sz w:val="24"/>
          <w:szCs w:val="24"/>
        </w:rPr>
      </w:pPr>
      <w:r>
        <w:rPr>
          <w:rFonts w:ascii="Times New Roman" w:hAnsi="Times New Roman" w:cs="Times New Roman"/>
          <w:sz w:val="24"/>
          <w:szCs w:val="24"/>
        </w:rPr>
        <w:t xml:space="preserve">The next step in the construction of an </w:t>
      </w:r>
      <w:r w:rsidR="001E7F73">
        <w:rPr>
          <w:rFonts w:ascii="Times New Roman" w:hAnsi="Times New Roman" w:cs="Times New Roman"/>
          <w:sz w:val="24"/>
          <w:szCs w:val="24"/>
        </w:rPr>
        <w:t>ECAT</w:t>
      </w:r>
      <w:r>
        <w:rPr>
          <w:rFonts w:ascii="Times New Roman" w:hAnsi="Times New Roman" w:cs="Times New Roman"/>
          <w:sz w:val="24"/>
          <w:szCs w:val="24"/>
        </w:rPr>
        <w:t xml:space="preserve"> is the choice of 100 values for M in the range [M</w:t>
      </w:r>
      <w:r>
        <w:rPr>
          <w:rFonts w:ascii="Times New Roman" w:hAnsi="Times New Roman" w:cs="Times New Roman"/>
          <w:sz w:val="24"/>
          <w:szCs w:val="24"/>
          <w:vertAlign w:val="subscript"/>
        </w:rPr>
        <w:t>min</w:t>
      </w:r>
      <w:r>
        <w:rPr>
          <w:rFonts w:ascii="Times New Roman" w:hAnsi="Times New Roman" w:cs="Times New Roman"/>
          <w:sz w:val="24"/>
          <w:szCs w:val="24"/>
        </w:rPr>
        <w:t>,M</w:t>
      </w:r>
      <w:r>
        <w:rPr>
          <w:rFonts w:ascii="Times New Roman" w:hAnsi="Times New Roman" w:cs="Times New Roman"/>
          <w:sz w:val="24"/>
          <w:szCs w:val="24"/>
          <w:vertAlign w:val="subscript"/>
        </w:rPr>
        <w:t>max</w:t>
      </w:r>
      <w:r>
        <w:rPr>
          <w:rFonts w:ascii="Times New Roman" w:hAnsi="Times New Roman" w:cs="Times New Roman"/>
          <w:sz w:val="24"/>
          <w:szCs w:val="24"/>
        </w:rPr>
        <w:t xml:space="preserve">].  For each choice, the corresponding vector of driving factors </w:t>
      </w:r>
      <w:r w:rsidR="001A5ECB">
        <w:rPr>
          <w:rFonts w:ascii="Times New Roman" w:hAnsi="Times New Roman" w:cs="Times New Roman"/>
          <w:sz w:val="24"/>
          <w:szCs w:val="24"/>
        </w:rPr>
        <w:t>is</w:t>
      </w:r>
      <w:r>
        <w:rPr>
          <w:rFonts w:ascii="Times New Roman" w:hAnsi="Times New Roman" w:cs="Times New Roman"/>
          <w:sz w:val="24"/>
          <w:szCs w:val="24"/>
        </w:rPr>
        <w:t xml:space="preserve"> evaluated from (</w:t>
      </w:r>
      <w:r w:rsidR="00F7638B">
        <w:rPr>
          <w:rFonts w:ascii="Times New Roman" w:hAnsi="Times New Roman" w:cs="Times New Roman"/>
          <w:sz w:val="24"/>
          <w:szCs w:val="24"/>
        </w:rPr>
        <w:t>1.</w:t>
      </w:r>
      <w:r>
        <w:rPr>
          <w:rFonts w:ascii="Times New Roman" w:hAnsi="Times New Roman" w:cs="Times New Roman"/>
          <w:sz w:val="24"/>
          <w:szCs w:val="24"/>
        </w:rPr>
        <w:t xml:space="preserve">1).  </w:t>
      </w:r>
      <w:r w:rsidR="00005CEA">
        <w:rPr>
          <w:rFonts w:ascii="Times New Roman" w:hAnsi="Times New Roman" w:cs="Times New Roman"/>
          <w:sz w:val="24"/>
          <w:szCs w:val="24"/>
        </w:rPr>
        <w:t xml:space="preserve">Together with each M choice, </w:t>
      </w:r>
      <w:r w:rsidR="001E7F73">
        <w:rPr>
          <w:rFonts w:ascii="Times New Roman" w:hAnsi="Times New Roman" w:cs="Times New Roman"/>
          <w:sz w:val="24"/>
          <w:szCs w:val="24"/>
        </w:rPr>
        <w:t>Rose</w:t>
      </w:r>
      <w:r w:rsidR="00005CEA">
        <w:rPr>
          <w:rFonts w:ascii="Times New Roman" w:hAnsi="Times New Roman" w:cs="Times New Roman"/>
          <w:sz w:val="24"/>
          <w:szCs w:val="24"/>
        </w:rPr>
        <w:t xml:space="preserve"> </w:t>
      </w:r>
      <w:r w:rsidR="00005CEA">
        <w:rPr>
          <w:rFonts w:ascii="Times New Roman" w:hAnsi="Times New Roman" w:cs="Times New Roman"/>
          <w:i/>
          <w:sz w:val="24"/>
          <w:szCs w:val="24"/>
        </w:rPr>
        <w:t>et al.</w:t>
      </w:r>
      <w:r w:rsidR="00005CEA">
        <w:rPr>
          <w:rFonts w:ascii="Times New Roman" w:hAnsi="Times New Roman" w:cs="Times New Roman"/>
          <w:sz w:val="24"/>
          <w:szCs w:val="24"/>
        </w:rPr>
        <w:t xml:space="preserve"> make random choices </w:t>
      </w:r>
      <w:r w:rsidR="001A5ECB">
        <w:rPr>
          <w:rFonts w:ascii="Times New Roman" w:hAnsi="Times New Roman" w:cs="Times New Roman"/>
          <w:sz w:val="24"/>
          <w:szCs w:val="24"/>
        </w:rPr>
        <w:t>from</w:t>
      </w:r>
      <w:r w:rsidR="00005CEA">
        <w:rPr>
          <w:rFonts w:ascii="Times New Roman" w:hAnsi="Times New Roman" w:cs="Times New Roman"/>
          <w:sz w:val="24"/>
          <w:szCs w:val="24"/>
        </w:rPr>
        <w:t xml:space="preserve"> a limited number of pos</w:t>
      </w:r>
      <w:r w:rsidR="001A5ECB">
        <w:rPr>
          <w:rFonts w:ascii="Times New Roman" w:hAnsi="Times New Roman" w:cs="Times New Roman"/>
          <w:sz w:val="24"/>
          <w:szCs w:val="24"/>
        </w:rPr>
        <w:t>sibilities for dummy variables that introduce</w:t>
      </w:r>
      <w:r w:rsidR="00005CEA">
        <w:rPr>
          <w:rFonts w:ascii="Times New Roman" w:hAnsi="Times New Roman" w:cs="Times New Roman"/>
          <w:sz w:val="24"/>
          <w:szCs w:val="24"/>
        </w:rPr>
        <w:t xml:space="preserve"> </w:t>
      </w:r>
      <w:r w:rsidR="001A5ECB">
        <w:rPr>
          <w:rFonts w:ascii="Times New Roman" w:hAnsi="Times New Roman" w:cs="Times New Roman"/>
          <w:sz w:val="24"/>
          <w:szCs w:val="24"/>
        </w:rPr>
        <w:t xml:space="preserve">intensity levels for </w:t>
      </w:r>
      <w:r w:rsidR="00005CEA">
        <w:rPr>
          <w:rFonts w:ascii="Times New Roman" w:hAnsi="Times New Roman" w:cs="Times New Roman"/>
          <w:sz w:val="24"/>
          <w:szCs w:val="24"/>
        </w:rPr>
        <w:t xml:space="preserve">resilience and behavioral responses.  </w:t>
      </w:r>
      <w:r w:rsidR="001A5ECB">
        <w:rPr>
          <w:rFonts w:ascii="Times New Roman" w:hAnsi="Times New Roman" w:cs="Times New Roman"/>
          <w:sz w:val="24"/>
          <w:szCs w:val="24"/>
        </w:rPr>
        <w:t>In</w:t>
      </w:r>
      <w:r w:rsidR="00005CEA">
        <w:rPr>
          <w:rFonts w:ascii="Times New Roman" w:hAnsi="Times New Roman" w:cs="Times New Roman"/>
          <w:sz w:val="24"/>
          <w:szCs w:val="24"/>
        </w:rPr>
        <w:t xml:space="preserve"> the aviation </w:t>
      </w:r>
      <w:r w:rsidR="001E7F73">
        <w:rPr>
          <w:rFonts w:ascii="Times New Roman" w:hAnsi="Times New Roman" w:cs="Times New Roman"/>
          <w:sz w:val="24"/>
          <w:szCs w:val="24"/>
        </w:rPr>
        <w:t>ECAT</w:t>
      </w:r>
      <w:r w:rsidR="00005CEA">
        <w:rPr>
          <w:rFonts w:ascii="Times New Roman" w:hAnsi="Times New Roman" w:cs="Times New Roman"/>
          <w:sz w:val="24"/>
          <w:szCs w:val="24"/>
        </w:rPr>
        <w:t xml:space="preserve">, </w:t>
      </w:r>
      <w:r w:rsidR="001A5ECB">
        <w:rPr>
          <w:rFonts w:ascii="Times New Roman" w:hAnsi="Times New Roman" w:cs="Times New Roman"/>
          <w:sz w:val="24"/>
          <w:szCs w:val="24"/>
        </w:rPr>
        <w:t xml:space="preserve">for example, </w:t>
      </w:r>
      <w:r w:rsidR="00005CEA">
        <w:rPr>
          <w:rFonts w:ascii="Times New Roman" w:hAnsi="Times New Roman" w:cs="Times New Roman"/>
          <w:sz w:val="24"/>
          <w:szCs w:val="24"/>
        </w:rPr>
        <w:t xml:space="preserve">resilience refers to the extent </w:t>
      </w:r>
      <w:r w:rsidR="001A5ECB">
        <w:rPr>
          <w:rFonts w:ascii="Times New Roman" w:hAnsi="Times New Roman" w:cs="Times New Roman"/>
          <w:sz w:val="24"/>
          <w:szCs w:val="24"/>
        </w:rPr>
        <w:t xml:space="preserve">(controlled by the resilience dummy) </w:t>
      </w:r>
      <w:r w:rsidR="00005CEA">
        <w:rPr>
          <w:rFonts w:ascii="Times New Roman" w:hAnsi="Times New Roman" w:cs="Times New Roman"/>
          <w:sz w:val="24"/>
          <w:szCs w:val="24"/>
        </w:rPr>
        <w:t xml:space="preserve">to which saved expenditure from reduced airline travel is switched to spending on alternative travel modes and general consumption.  </w:t>
      </w:r>
      <w:r w:rsidR="00893618">
        <w:rPr>
          <w:rFonts w:ascii="Times New Roman" w:hAnsi="Times New Roman" w:cs="Times New Roman"/>
          <w:sz w:val="24"/>
          <w:szCs w:val="24"/>
        </w:rPr>
        <w:t xml:space="preserve">With Y and the related vectors of resilience and behavioral expenses treated as shocks, </w:t>
      </w:r>
      <w:r>
        <w:rPr>
          <w:rFonts w:ascii="Times New Roman" w:hAnsi="Times New Roman" w:cs="Times New Roman"/>
          <w:sz w:val="24"/>
          <w:szCs w:val="24"/>
        </w:rPr>
        <w:t xml:space="preserve">a CGE solution is obtained showing the effects on GDP and aggregate employment.  Finally, the </w:t>
      </w:r>
      <w:r w:rsidR="001E7F73">
        <w:rPr>
          <w:rFonts w:ascii="Times New Roman" w:hAnsi="Times New Roman" w:cs="Times New Roman"/>
          <w:sz w:val="24"/>
          <w:szCs w:val="24"/>
        </w:rPr>
        <w:t>ECAT</w:t>
      </w:r>
      <w:r>
        <w:rPr>
          <w:rFonts w:ascii="Times New Roman" w:hAnsi="Times New Roman" w:cs="Times New Roman"/>
          <w:sz w:val="24"/>
          <w:szCs w:val="24"/>
        </w:rPr>
        <w:t xml:space="preserve"> is specified as:</w:t>
      </w:r>
    </w:p>
    <w:p w:rsidR="000418E3" w:rsidRPr="008017BB" w:rsidRDefault="000418E3" w:rsidP="000418E3">
      <w:pPr>
        <w:pStyle w:val="ListParagraph"/>
        <w:tabs>
          <w:tab w:val="left" w:pos="567"/>
          <w:tab w:val="right" w:pos="8789"/>
        </w:tabs>
        <w:ind w:left="0"/>
        <w:contextualSpacing w:val="0"/>
        <w:rPr>
          <w:rFonts w:ascii="Times New Roman" w:hAnsi="Times New Roman" w:cs="Times New Roman"/>
          <w:sz w:val="24"/>
          <w:szCs w:val="24"/>
        </w:rPr>
      </w:pPr>
      <w:r w:rsidRPr="008017BB">
        <w:rPr>
          <w:rFonts w:ascii="Times New Roman" w:hAnsi="Times New Roman" w:cs="Times New Roman"/>
          <w:sz w:val="24"/>
          <w:szCs w:val="24"/>
        </w:rPr>
        <w:tab/>
      </w:r>
      <w:r w:rsidR="00893618" w:rsidRPr="00893618">
        <w:rPr>
          <w:rFonts w:ascii="Times New Roman" w:hAnsi="Times New Roman" w:cs="Times New Roman"/>
          <w:position w:val="-14"/>
          <w:sz w:val="24"/>
          <w:szCs w:val="24"/>
        </w:rPr>
        <w:object w:dxaOrig="2960" w:dyaOrig="380">
          <v:shape id="_x0000_i1028" type="#_x0000_t75" style="width:147.75pt;height:18.75pt" o:ole="">
            <v:imagedata r:id="rId17" o:title=""/>
          </v:shape>
          <o:OLEObject Type="Embed" ProgID="Equation.DSMT4" ShapeID="_x0000_i1028" DrawAspect="Content" ObjectID="_1553159836" r:id="rId18"/>
        </w:object>
      </w:r>
      <w:r w:rsidRPr="008017BB">
        <w:rPr>
          <w:rFonts w:ascii="Times New Roman" w:hAnsi="Times New Roman" w:cs="Times New Roman"/>
          <w:sz w:val="24"/>
          <w:szCs w:val="24"/>
        </w:rPr>
        <w:tab/>
        <w:t>(</w:t>
      </w:r>
      <w:r w:rsidR="00F7638B">
        <w:rPr>
          <w:rFonts w:ascii="Times New Roman" w:hAnsi="Times New Roman" w:cs="Times New Roman"/>
          <w:sz w:val="24"/>
          <w:szCs w:val="24"/>
        </w:rPr>
        <w:t>1.</w:t>
      </w:r>
      <w:r>
        <w:rPr>
          <w:rFonts w:ascii="Times New Roman" w:hAnsi="Times New Roman" w:cs="Times New Roman"/>
          <w:sz w:val="24"/>
          <w:szCs w:val="24"/>
        </w:rPr>
        <w:t>2</w:t>
      </w:r>
      <w:r w:rsidRPr="008017BB">
        <w:rPr>
          <w:rFonts w:ascii="Times New Roman" w:hAnsi="Times New Roman" w:cs="Times New Roman"/>
          <w:sz w:val="24"/>
          <w:szCs w:val="24"/>
        </w:rPr>
        <w:t>)</w:t>
      </w:r>
    </w:p>
    <w:p w:rsidR="000418E3" w:rsidRDefault="000418E3" w:rsidP="000418E3">
      <w:pPr>
        <w:pStyle w:val="ListParagraph"/>
        <w:spacing w:before="0"/>
        <w:ind w:left="0"/>
        <w:contextualSpacing w:val="0"/>
        <w:rPr>
          <w:rFonts w:ascii="Times New Roman" w:hAnsi="Times New Roman" w:cs="Times New Roman"/>
          <w:sz w:val="24"/>
          <w:szCs w:val="24"/>
        </w:rPr>
      </w:pPr>
      <w:r>
        <w:rPr>
          <w:rFonts w:ascii="Times New Roman" w:hAnsi="Times New Roman" w:cs="Times New Roman"/>
          <w:sz w:val="24"/>
          <w:szCs w:val="24"/>
        </w:rPr>
        <w:t xml:space="preserve">and </w:t>
      </w:r>
    </w:p>
    <w:p w:rsidR="000418E3" w:rsidRPr="008017BB" w:rsidRDefault="000418E3" w:rsidP="000418E3">
      <w:pPr>
        <w:pStyle w:val="ListParagraph"/>
        <w:tabs>
          <w:tab w:val="left" w:pos="567"/>
          <w:tab w:val="right" w:pos="8789"/>
        </w:tabs>
        <w:ind w:left="0"/>
        <w:contextualSpacing w:val="0"/>
        <w:rPr>
          <w:rFonts w:ascii="Times New Roman" w:hAnsi="Times New Roman" w:cs="Times New Roman"/>
          <w:sz w:val="24"/>
          <w:szCs w:val="24"/>
        </w:rPr>
      </w:pPr>
      <w:r w:rsidRPr="008017BB">
        <w:rPr>
          <w:rFonts w:ascii="Times New Roman" w:hAnsi="Times New Roman" w:cs="Times New Roman"/>
          <w:sz w:val="24"/>
          <w:szCs w:val="24"/>
        </w:rPr>
        <w:tab/>
      </w:r>
      <w:r w:rsidR="00893618" w:rsidRPr="00893618">
        <w:rPr>
          <w:rFonts w:ascii="Times New Roman" w:hAnsi="Times New Roman" w:cs="Times New Roman"/>
          <w:position w:val="-14"/>
          <w:sz w:val="24"/>
          <w:szCs w:val="24"/>
        </w:rPr>
        <w:object w:dxaOrig="3040" w:dyaOrig="380">
          <v:shape id="_x0000_i1029" type="#_x0000_t75" style="width:152.25pt;height:18.75pt" o:ole="">
            <v:imagedata r:id="rId19" o:title=""/>
          </v:shape>
          <o:OLEObject Type="Embed" ProgID="Equation.DSMT4" ShapeID="_x0000_i1029" DrawAspect="Content" ObjectID="_1553159837" r:id="rId20"/>
        </w:object>
      </w:r>
      <w:r w:rsidRPr="008017BB">
        <w:rPr>
          <w:rFonts w:ascii="Times New Roman" w:hAnsi="Times New Roman" w:cs="Times New Roman"/>
          <w:sz w:val="24"/>
          <w:szCs w:val="24"/>
        </w:rPr>
        <w:tab/>
        <w:t>(</w:t>
      </w:r>
      <w:r w:rsidR="00F7638B">
        <w:rPr>
          <w:rFonts w:ascii="Times New Roman" w:hAnsi="Times New Roman" w:cs="Times New Roman"/>
          <w:sz w:val="24"/>
          <w:szCs w:val="24"/>
        </w:rPr>
        <w:t>1.</w:t>
      </w:r>
      <w:r>
        <w:rPr>
          <w:rFonts w:ascii="Times New Roman" w:hAnsi="Times New Roman" w:cs="Times New Roman"/>
          <w:sz w:val="24"/>
          <w:szCs w:val="24"/>
        </w:rPr>
        <w:t>3</w:t>
      </w:r>
      <w:r w:rsidRPr="008017BB">
        <w:rPr>
          <w:rFonts w:ascii="Times New Roman" w:hAnsi="Times New Roman" w:cs="Times New Roman"/>
          <w:sz w:val="24"/>
          <w:szCs w:val="24"/>
        </w:rPr>
        <w:t>)</w:t>
      </w:r>
    </w:p>
    <w:p w:rsidR="000418E3" w:rsidRDefault="000418E3" w:rsidP="000418E3">
      <w:pPr>
        <w:pStyle w:val="ListParagraph"/>
        <w:spacing w:before="240"/>
        <w:ind w:left="0"/>
        <w:contextualSpacing w:val="0"/>
        <w:rPr>
          <w:rFonts w:ascii="Times New Roman" w:hAnsi="Times New Roman" w:cs="Times New Roman"/>
          <w:sz w:val="24"/>
          <w:szCs w:val="24"/>
        </w:rPr>
      </w:pPr>
      <w:r>
        <w:rPr>
          <w:rFonts w:ascii="Times New Roman" w:hAnsi="Times New Roman" w:cs="Times New Roman"/>
          <w:sz w:val="24"/>
          <w:szCs w:val="24"/>
        </w:rPr>
        <w:t>where</w:t>
      </w:r>
    </w:p>
    <w:p w:rsidR="000418E3" w:rsidRPr="009E73E9" w:rsidRDefault="000418E3" w:rsidP="009E73E9">
      <w:pPr>
        <w:pStyle w:val="ListParagraph"/>
        <w:spacing w:before="0"/>
        <w:ind w:left="360"/>
        <w:contextualSpacing w:val="0"/>
        <w:rPr>
          <w:rFonts w:ascii="Times New Roman" w:hAnsi="Times New Roman" w:cs="Times New Roman"/>
          <w:sz w:val="24"/>
          <w:szCs w:val="24"/>
        </w:rPr>
      </w:pPr>
      <w:r>
        <w:rPr>
          <w:rFonts w:ascii="Times New Roman" w:hAnsi="Times New Roman" w:cs="Times New Roman"/>
          <w:sz w:val="24"/>
          <w:szCs w:val="24"/>
        </w:rPr>
        <w:t>gdp</w:t>
      </w:r>
      <w:r>
        <w:rPr>
          <w:rFonts w:ascii="Times New Roman" w:hAnsi="Times New Roman" w:cs="Times New Roman"/>
          <w:sz w:val="24"/>
          <w:szCs w:val="24"/>
          <w:vertAlign w:val="subscript"/>
        </w:rPr>
        <w:t>h</w:t>
      </w:r>
      <w:r>
        <w:rPr>
          <w:rFonts w:ascii="Times New Roman" w:hAnsi="Times New Roman" w:cs="Times New Roman"/>
          <w:sz w:val="24"/>
          <w:szCs w:val="24"/>
        </w:rPr>
        <w:t xml:space="preserve"> and </w:t>
      </w:r>
      <w:r w:rsidRPr="0011135F">
        <w:rPr>
          <w:rFonts w:ascii="Times New Roman" w:hAnsi="Times New Roman" w:cs="Times New Roman"/>
          <w:sz w:val="24"/>
          <w:szCs w:val="24"/>
        </w:rPr>
        <w:t>emp</w:t>
      </w:r>
      <w:r>
        <w:rPr>
          <w:rFonts w:ascii="Times New Roman" w:hAnsi="Times New Roman" w:cs="Times New Roman"/>
          <w:sz w:val="24"/>
          <w:szCs w:val="24"/>
          <w:vertAlign w:val="subscript"/>
        </w:rPr>
        <w:t>h</w:t>
      </w:r>
      <w:r>
        <w:rPr>
          <w:rFonts w:ascii="Times New Roman" w:hAnsi="Times New Roman" w:cs="Times New Roman"/>
          <w:sz w:val="24"/>
          <w:szCs w:val="24"/>
        </w:rPr>
        <w:t xml:space="preserve"> </w:t>
      </w:r>
      <w:r w:rsidRPr="0011135F">
        <w:rPr>
          <w:rFonts w:ascii="Times New Roman" w:hAnsi="Times New Roman" w:cs="Times New Roman"/>
          <w:sz w:val="24"/>
          <w:szCs w:val="24"/>
        </w:rPr>
        <w:t>a</w:t>
      </w:r>
      <w:r>
        <w:rPr>
          <w:rFonts w:ascii="Times New Roman" w:hAnsi="Times New Roman" w:cs="Times New Roman"/>
          <w:sz w:val="24"/>
          <w:szCs w:val="24"/>
        </w:rPr>
        <w:t>re the GDP and employment effects of an event of severity M</w:t>
      </w:r>
      <w:r>
        <w:rPr>
          <w:rFonts w:ascii="Times New Roman" w:hAnsi="Times New Roman" w:cs="Times New Roman"/>
          <w:sz w:val="24"/>
          <w:szCs w:val="24"/>
          <w:vertAlign w:val="subscript"/>
        </w:rPr>
        <w:t>h</w:t>
      </w:r>
      <w:r w:rsidR="00893618">
        <w:rPr>
          <w:rFonts w:ascii="Times New Roman" w:hAnsi="Times New Roman" w:cs="Times New Roman"/>
          <w:sz w:val="24"/>
          <w:szCs w:val="24"/>
        </w:rPr>
        <w:t xml:space="preserve"> </w:t>
      </w:r>
      <w:r w:rsidR="004E0550">
        <w:rPr>
          <w:rFonts w:ascii="Times New Roman" w:hAnsi="Times New Roman" w:cs="Times New Roman"/>
          <w:sz w:val="24"/>
          <w:szCs w:val="24"/>
        </w:rPr>
        <w:t>with</w:t>
      </w:r>
      <w:r w:rsidR="00893618">
        <w:rPr>
          <w:rFonts w:ascii="Times New Roman" w:hAnsi="Times New Roman" w:cs="Times New Roman"/>
          <w:sz w:val="24"/>
          <w:szCs w:val="24"/>
        </w:rPr>
        <w:t xml:space="preserve"> </w:t>
      </w:r>
      <w:r w:rsidR="004E0550">
        <w:rPr>
          <w:rFonts w:ascii="Times New Roman" w:hAnsi="Times New Roman" w:cs="Times New Roman"/>
          <w:sz w:val="24"/>
          <w:szCs w:val="24"/>
        </w:rPr>
        <w:t xml:space="preserve">the </w:t>
      </w:r>
      <w:r w:rsidR="001F5F39">
        <w:rPr>
          <w:rFonts w:ascii="Times New Roman" w:hAnsi="Times New Roman" w:cs="Times New Roman"/>
          <w:sz w:val="24"/>
          <w:szCs w:val="24"/>
        </w:rPr>
        <w:t xml:space="preserve">resilience and behavioral </w:t>
      </w:r>
      <w:r w:rsidR="004E0550">
        <w:rPr>
          <w:rFonts w:ascii="Times New Roman" w:hAnsi="Times New Roman" w:cs="Times New Roman"/>
          <w:sz w:val="24"/>
          <w:szCs w:val="24"/>
        </w:rPr>
        <w:t xml:space="preserve">response expenditure vectors scaled by </w:t>
      </w:r>
      <w:r w:rsidR="00893618">
        <w:rPr>
          <w:rFonts w:ascii="Times New Roman" w:hAnsi="Times New Roman" w:cs="Times New Roman"/>
          <w:sz w:val="24"/>
          <w:szCs w:val="24"/>
        </w:rPr>
        <w:t>dummies D</w:t>
      </w:r>
      <w:r w:rsidR="00893618">
        <w:rPr>
          <w:rFonts w:ascii="Times New Roman" w:hAnsi="Times New Roman" w:cs="Times New Roman"/>
          <w:sz w:val="24"/>
          <w:szCs w:val="24"/>
          <w:vertAlign w:val="subscript"/>
        </w:rPr>
        <w:t>res,h</w:t>
      </w:r>
      <w:r>
        <w:rPr>
          <w:rFonts w:ascii="Times New Roman" w:hAnsi="Times New Roman" w:cs="Times New Roman"/>
          <w:sz w:val="24"/>
          <w:szCs w:val="24"/>
        </w:rPr>
        <w:t xml:space="preserve"> and </w:t>
      </w:r>
      <w:r w:rsidR="00893618">
        <w:rPr>
          <w:rFonts w:ascii="Times New Roman" w:hAnsi="Times New Roman" w:cs="Times New Roman"/>
          <w:sz w:val="24"/>
          <w:szCs w:val="24"/>
        </w:rPr>
        <w:t>D</w:t>
      </w:r>
      <w:r w:rsidR="00893618">
        <w:rPr>
          <w:rFonts w:ascii="Times New Roman" w:hAnsi="Times New Roman" w:cs="Times New Roman"/>
          <w:sz w:val="24"/>
          <w:szCs w:val="24"/>
          <w:vertAlign w:val="subscript"/>
        </w:rPr>
        <w:t>behav,h</w:t>
      </w:r>
      <w:r w:rsidR="004E0550">
        <w:rPr>
          <w:rFonts w:ascii="Times New Roman" w:hAnsi="Times New Roman" w:cs="Times New Roman"/>
          <w:sz w:val="24"/>
          <w:szCs w:val="24"/>
        </w:rPr>
        <w:t xml:space="preserve">; </w:t>
      </w:r>
      <w:r w:rsidR="009E73E9">
        <w:rPr>
          <w:rFonts w:ascii="Times New Roman" w:hAnsi="Times New Roman" w:cs="Times New Roman"/>
          <w:sz w:val="24"/>
          <w:szCs w:val="24"/>
        </w:rPr>
        <w:t>and</w:t>
      </w:r>
      <w:r w:rsidRPr="009E73E9">
        <w:rPr>
          <w:rFonts w:ascii="Times New Roman" w:hAnsi="Times New Roman" w:cs="Times New Roman"/>
          <w:sz w:val="24"/>
          <w:szCs w:val="24"/>
        </w:rPr>
        <w:t xml:space="preserve"> </w:t>
      </w:r>
    </w:p>
    <w:p w:rsidR="000418E3" w:rsidRDefault="009E73E9" w:rsidP="000418E3">
      <w:pPr>
        <w:pStyle w:val="ListParagraph"/>
        <w:spacing w:before="0"/>
        <w:ind w:left="360"/>
        <w:contextualSpacing w:val="0"/>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sz w:val="24"/>
          <w:szCs w:val="24"/>
          <w:vertAlign w:val="subscript"/>
        </w:rPr>
        <w:t>gdp</w:t>
      </w:r>
      <w:r>
        <w:rPr>
          <w:rFonts w:ascii="Times New Roman" w:hAnsi="Times New Roman" w:cs="Times New Roman"/>
          <w:sz w:val="24"/>
          <w:szCs w:val="24"/>
        </w:rPr>
        <w:t xml:space="preserve"> and F</w:t>
      </w:r>
      <w:r>
        <w:rPr>
          <w:rFonts w:ascii="Times New Roman" w:hAnsi="Times New Roman" w:cs="Times New Roman"/>
          <w:sz w:val="24"/>
          <w:szCs w:val="24"/>
          <w:vertAlign w:val="subscript"/>
        </w:rPr>
        <w:t>emp</w:t>
      </w:r>
      <w:r w:rsidR="000418E3">
        <w:rPr>
          <w:rFonts w:ascii="Times New Roman" w:hAnsi="Times New Roman" w:cs="Times New Roman"/>
          <w:sz w:val="24"/>
          <w:szCs w:val="24"/>
        </w:rPr>
        <w:t xml:space="preserve"> are </w:t>
      </w:r>
      <w:r>
        <w:rPr>
          <w:rFonts w:ascii="Times New Roman" w:hAnsi="Times New Roman" w:cs="Times New Roman"/>
          <w:sz w:val="24"/>
          <w:szCs w:val="24"/>
        </w:rPr>
        <w:t xml:space="preserve">functions whose </w:t>
      </w:r>
      <w:r w:rsidR="000418E3">
        <w:rPr>
          <w:rFonts w:ascii="Times New Roman" w:hAnsi="Times New Roman" w:cs="Times New Roman"/>
          <w:sz w:val="24"/>
          <w:szCs w:val="24"/>
        </w:rPr>
        <w:t xml:space="preserve">coefficients </w:t>
      </w:r>
      <w:r>
        <w:rPr>
          <w:rFonts w:ascii="Times New Roman" w:hAnsi="Times New Roman" w:cs="Times New Roman"/>
          <w:sz w:val="24"/>
          <w:szCs w:val="24"/>
        </w:rPr>
        <w:t xml:space="preserve">are </w:t>
      </w:r>
      <w:r w:rsidR="000418E3">
        <w:rPr>
          <w:rFonts w:ascii="Times New Roman" w:hAnsi="Times New Roman" w:cs="Times New Roman"/>
          <w:sz w:val="24"/>
          <w:szCs w:val="24"/>
        </w:rPr>
        <w:t xml:space="preserve">determined by regressing the 100 GDP and employment results from the CGE solutions against the values for M </w:t>
      </w:r>
      <w:r>
        <w:rPr>
          <w:rFonts w:ascii="Times New Roman" w:hAnsi="Times New Roman" w:cs="Times New Roman"/>
          <w:sz w:val="24"/>
          <w:szCs w:val="24"/>
        </w:rPr>
        <w:t xml:space="preserve">and the dummies.  </w:t>
      </w:r>
      <w:r w:rsidR="000418E3">
        <w:rPr>
          <w:rFonts w:ascii="Times New Roman" w:hAnsi="Times New Roman" w:cs="Times New Roman"/>
          <w:sz w:val="24"/>
          <w:szCs w:val="24"/>
        </w:rPr>
        <w:t xml:space="preserve">  </w:t>
      </w:r>
    </w:p>
    <w:p w:rsidR="000418E3" w:rsidRDefault="009E73E9" w:rsidP="000418E3">
      <w:pPr>
        <w:pStyle w:val="ListParagraph"/>
        <w:spacing w:before="0"/>
        <w:ind w:left="0"/>
        <w:contextualSpacing w:val="0"/>
        <w:rPr>
          <w:rFonts w:ascii="Times New Roman" w:hAnsi="Times New Roman" w:cs="Times New Roman"/>
          <w:sz w:val="24"/>
          <w:szCs w:val="24"/>
        </w:rPr>
      </w:pPr>
      <w:r>
        <w:rPr>
          <w:rFonts w:ascii="Times New Roman" w:hAnsi="Times New Roman" w:cs="Times New Roman"/>
          <w:sz w:val="24"/>
          <w:szCs w:val="24"/>
        </w:rPr>
        <w:t>By applying (</w:t>
      </w:r>
      <w:r w:rsidR="00F7638B">
        <w:rPr>
          <w:rFonts w:ascii="Times New Roman" w:hAnsi="Times New Roman" w:cs="Times New Roman"/>
          <w:sz w:val="24"/>
          <w:szCs w:val="24"/>
        </w:rPr>
        <w:t>1.</w:t>
      </w:r>
      <w:r>
        <w:rPr>
          <w:rFonts w:ascii="Times New Roman" w:hAnsi="Times New Roman" w:cs="Times New Roman"/>
          <w:sz w:val="24"/>
          <w:szCs w:val="24"/>
        </w:rPr>
        <w:t>2) and (</w:t>
      </w:r>
      <w:r w:rsidR="00F7638B">
        <w:rPr>
          <w:rFonts w:ascii="Times New Roman" w:hAnsi="Times New Roman" w:cs="Times New Roman"/>
          <w:sz w:val="24"/>
          <w:szCs w:val="24"/>
        </w:rPr>
        <w:t>1.</w:t>
      </w:r>
      <w:r>
        <w:rPr>
          <w:rFonts w:ascii="Times New Roman" w:hAnsi="Times New Roman" w:cs="Times New Roman"/>
          <w:sz w:val="24"/>
          <w:szCs w:val="24"/>
        </w:rPr>
        <w:t>3), t</w:t>
      </w:r>
      <w:r w:rsidR="000418E3">
        <w:rPr>
          <w:rFonts w:ascii="Times New Roman" w:hAnsi="Times New Roman" w:cs="Times New Roman"/>
          <w:sz w:val="24"/>
          <w:szCs w:val="24"/>
        </w:rPr>
        <w:t xml:space="preserve">he GDP and employment effects of an event of the appropriate type (e.g. an aviation disruption) can be computed effortlessly </w:t>
      </w:r>
      <w:r>
        <w:rPr>
          <w:rFonts w:ascii="Times New Roman" w:hAnsi="Times New Roman" w:cs="Times New Roman"/>
          <w:sz w:val="24"/>
          <w:szCs w:val="24"/>
        </w:rPr>
        <w:t xml:space="preserve">after specifying </w:t>
      </w:r>
      <w:r w:rsidR="000418E3">
        <w:rPr>
          <w:rFonts w:ascii="Times New Roman" w:hAnsi="Times New Roman" w:cs="Times New Roman"/>
          <w:sz w:val="24"/>
          <w:szCs w:val="24"/>
        </w:rPr>
        <w:t>the severity of the event (the M value)</w:t>
      </w:r>
      <w:r w:rsidR="00555384">
        <w:rPr>
          <w:rFonts w:ascii="Times New Roman" w:hAnsi="Times New Roman" w:cs="Times New Roman"/>
          <w:sz w:val="24"/>
          <w:szCs w:val="24"/>
        </w:rPr>
        <w:t xml:space="preserve"> and the strength of the resilience and behavioral responses (the D</w:t>
      </w:r>
      <w:r w:rsidR="00555384">
        <w:rPr>
          <w:rFonts w:ascii="Times New Roman" w:hAnsi="Times New Roman" w:cs="Times New Roman"/>
          <w:sz w:val="24"/>
          <w:szCs w:val="24"/>
          <w:vertAlign w:val="subscript"/>
        </w:rPr>
        <w:t>res</w:t>
      </w:r>
      <w:r w:rsidR="00555384">
        <w:rPr>
          <w:rFonts w:ascii="Times New Roman" w:hAnsi="Times New Roman" w:cs="Times New Roman"/>
          <w:sz w:val="24"/>
          <w:szCs w:val="24"/>
        </w:rPr>
        <w:t xml:space="preserve"> and D</w:t>
      </w:r>
      <w:r w:rsidR="00555384">
        <w:rPr>
          <w:rFonts w:ascii="Times New Roman" w:hAnsi="Times New Roman" w:cs="Times New Roman"/>
          <w:sz w:val="24"/>
          <w:szCs w:val="24"/>
          <w:vertAlign w:val="subscript"/>
        </w:rPr>
        <w:t>behav</w:t>
      </w:r>
      <w:r w:rsidR="00555384">
        <w:rPr>
          <w:rFonts w:ascii="Times New Roman" w:hAnsi="Times New Roman" w:cs="Times New Roman"/>
          <w:sz w:val="24"/>
          <w:szCs w:val="24"/>
        </w:rPr>
        <w:t xml:space="preserve"> values)</w:t>
      </w:r>
      <w:r w:rsidR="000418E3">
        <w:rPr>
          <w:rFonts w:ascii="Times New Roman" w:hAnsi="Times New Roman" w:cs="Times New Roman"/>
          <w:sz w:val="24"/>
          <w:szCs w:val="24"/>
        </w:rPr>
        <w:t xml:space="preserve">.  </w:t>
      </w:r>
    </w:p>
    <w:p w:rsidR="000418E3" w:rsidRDefault="000418E3"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 xml:space="preserve">The tool that we describe in this report differs from </w:t>
      </w:r>
      <w:r w:rsidR="001E7F73">
        <w:rPr>
          <w:rFonts w:ascii="Times New Roman" w:hAnsi="Times New Roman" w:cs="Times New Roman"/>
          <w:sz w:val="24"/>
          <w:szCs w:val="24"/>
        </w:rPr>
        <w:t>ECAT</w:t>
      </w:r>
      <w:r>
        <w:rPr>
          <w:rFonts w:ascii="Times New Roman" w:hAnsi="Times New Roman" w:cs="Times New Roman"/>
          <w:sz w:val="24"/>
          <w:szCs w:val="24"/>
        </w:rPr>
        <w:t xml:space="preserve"> in </w:t>
      </w:r>
      <w:r w:rsidR="006F5395">
        <w:rPr>
          <w:rFonts w:ascii="Times New Roman" w:hAnsi="Times New Roman" w:cs="Times New Roman"/>
          <w:sz w:val="24"/>
          <w:szCs w:val="24"/>
        </w:rPr>
        <w:t>3</w:t>
      </w:r>
      <w:r>
        <w:rPr>
          <w:rFonts w:ascii="Times New Roman" w:hAnsi="Times New Roman" w:cs="Times New Roman"/>
          <w:sz w:val="24"/>
          <w:szCs w:val="24"/>
        </w:rPr>
        <w:t xml:space="preserve"> ways.  </w:t>
      </w:r>
    </w:p>
    <w:p w:rsidR="000418E3" w:rsidRDefault="000418E3"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 xml:space="preserve">First, our approach is more general.  It can be applied to any type of disaster that causes property damage, requires </w:t>
      </w:r>
      <w:r w:rsidR="00B6529C">
        <w:rPr>
          <w:rFonts w:ascii="Times New Roman" w:hAnsi="Times New Roman" w:cs="Times New Roman"/>
          <w:sz w:val="24"/>
          <w:szCs w:val="24"/>
        </w:rPr>
        <w:t>clean-up</w:t>
      </w:r>
      <w:r>
        <w:rPr>
          <w:rFonts w:ascii="Times New Roman" w:hAnsi="Times New Roman" w:cs="Times New Roman"/>
          <w:sz w:val="24"/>
          <w:szCs w:val="24"/>
        </w:rPr>
        <w:t xml:space="preserve"> expenditures, requires health expenditures, etc.  We don’t try to encapsulate these driving factors in a scalar measure</w:t>
      </w:r>
      <w:r w:rsidR="00555384">
        <w:rPr>
          <w:rFonts w:ascii="Times New Roman" w:hAnsi="Times New Roman" w:cs="Times New Roman"/>
          <w:sz w:val="24"/>
          <w:szCs w:val="24"/>
        </w:rPr>
        <w:t xml:space="preserve"> and a limited number of resilience and behavioral dummies.</w:t>
      </w:r>
      <w:r>
        <w:rPr>
          <w:rFonts w:ascii="Times New Roman" w:hAnsi="Times New Roman" w:cs="Times New Roman"/>
          <w:sz w:val="24"/>
          <w:szCs w:val="24"/>
        </w:rPr>
        <w:t xml:space="preserve">  Instead, the driving factors </w:t>
      </w:r>
      <w:r w:rsidR="00555384">
        <w:rPr>
          <w:rFonts w:ascii="Times New Roman" w:hAnsi="Times New Roman" w:cs="Times New Roman"/>
          <w:sz w:val="24"/>
          <w:szCs w:val="24"/>
        </w:rPr>
        <w:t xml:space="preserve">and responses </w:t>
      </w:r>
      <w:r>
        <w:rPr>
          <w:rFonts w:ascii="Times New Roman" w:hAnsi="Times New Roman" w:cs="Times New Roman"/>
          <w:sz w:val="24"/>
          <w:szCs w:val="24"/>
        </w:rPr>
        <w:t xml:space="preserve">can be in any configuration.  This difference reflects the requirements of the TRA groups who </w:t>
      </w:r>
      <w:r w:rsidR="00555384">
        <w:rPr>
          <w:rFonts w:ascii="Times New Roman" w:hAnsi="Times New Roman" w:cs="Times New Roman"/>
          <w:sz w:val="24"/>
          <w:szCs w:val="24"/>
        </w:rPr>
        <w:t>need</w:t>
      </w:r>
      <w:r>
        <w:rPr>
          <w:rFonts w:ascii="Times New Roman" w:hAnsi="Times New Roman" w:cs="Times New Roman"/>
          <w:sz w:val="24"/>
          <w:szCs w:val="24"/>
        </w:rPr>
        <w:t xml:space="preserve"> a tool which can handle flexibly </w:t>
      </w:r>
      <w:r w:rsidR="00555384">
        <w:rPr>
          <w:rFonts w:ascii="Times New Roman" w:hAnsi="Times New Roman" w:cs="Times New Roman"/>
          <w:sz w:val="24"/>
          <w:szCs w:val="24"/>
        </w:rPr>
        <w:t xml:space="preserve">any </w:t>
      </w:r>
      <w:r>
        <w:rPr>
          <w:rFonts w:ascii="Times New Roman" w:hAnsi="Times New Roman" w:cs="Times New Roman"/>
          <w:sz w:val="24"/>
          <w:szCs w:val="24"/>
        </w:rPr>
        <w:t xml:space="preserve">specified vector of </w:t>
      </w:r>
      <w:r w:rsidR="00555384">
        <w:rPr>
          <w:rFonts w:ascii="Times New Roman" w:hAnsi="Times New Roman" w:cs="Times New Roman"/>
          <w:sz w:val="24"/>
          <w:szCs w:val="24"/>
        </w:rPr>
        <w:t>shocks</w:t>
      </w:r>
      <w:r>
        <w:rPr>
          <w:rFonts w:ascii="Times New Roman" w:hAnsi="Times New Roman" w:cs="Times New Roman"/>
          <w:sz w:val="24"/>
          <w:szCs w:val="24"/>
        </w:rPr>
        <w:t xml:space="preserve">.  </w:t>
      </w:r>
    </w:p>
    <w:p w:rsidR="000418E3" w:rsidRDefault="006F5395"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Second</w:t>
      </w:r>
      <w:r w:rsidR="000418E3">
        <w:rPr>
          <w:rFonts w:ascii="Times New Roman" w:hAnsi="Times New Roman" w:cs="Times New Roman"/>
          <w:sz w:val="24"/>
          <w:szCs w:val="24"/>
        </w:rPr>
        <w:t xml:space="preserve">, we use a multi-regional CGE model.  The </w:t>
      </w:r>
      <w:r w:rsidR="001E7F73">
        <w:rPr>
          <w:rFonts w:ascii="Times New Roman" w:hAnsi="Times New Roman" w:cs="Times New Roman"/>
          <w:sz w:val="24"/>
          <w:szCs w:val="24"/>
        </w:rPr>
        <w:t>ECAT</w:t>
      </w:r>
      <w:r w:rsidR="000418E3">
        <w:rPr>
          <w:rFonts w:ascii="Times New Roman" w:hAnsi="Times New Roman" w:cs="Times New Roman"/>
          <w:sz w:val="24"/>
          <w:szCs w:val="24"/>
        </w:rPr>
        <w:t xml:space="preserve">s have been created with national models (without regions).  Reflecting the requirements of the TRA groups, the tool we have created can generate effects for national and regional variables of terrorism incidents specified by the congressional district in which they were perpetrated.  </w:t>
      </w:r>
    </w:p>
    <w:p w:rsidR="000418E3" w:rsidRDefault="006F5395"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Third</w:t>
      </w:r>
      <w:r w:rsidR="000418E3">
        <w:rPr>
          <w:rFonts w:ascii="Times New Roman" w:hAnsi="Times New Roman" w:cs="Times New Roman"/>
          <w:sz w:val="24"/>
          <w:szCs w:val="24"/>
        </w:rPr>
        <w:t xml:space="preserve">, we use a dynamic CGE model whereas the model underlying the </w:t>
      </w:r>
      <w:r w:rsidR="001E7F73">
        <w:rPr>
          <w:rFonts w:ascii="Times New Roman" w:hAnsi="Times New Roman" w:cs="Times New Roman"/>
          <w:sz w:val="24"/>
          <w:szCs w:val="24"/>
        </w:rPr>
        <w:t>ECAT</w:t>
      </w:r>
      <w:r w:rsidR="00CA1421">
        <w:rPr>
          <w:rFonts w:ascii="Times New Roman" w:hAnsi="Times New Roman" w:cs="Times New Roman"/>
          <w:sz w:val="24"/>
          <w:szCs w:val="24"/>
        </w:rPr>
        <w:t>s</w:t>
      </w:r>
      <w:r w:rsidR="000418E3">
        <w:rPr>
          <w:rFonts w:ascii="Times New Roman" w:hAnsi="Times New Roman" w:cs="Times New Roman"/>
          <w:sz w:val="24"/>
          <w:szCs w:val="24"/>
        </w:rPr>
        <w:t xml:space="preserve"> is single period.  By using a dynamic model we create a tool that shows effects in the short run (the year of the incident) and long run (notionally year 20).  On a related matter, users of our tool can rank incidents according to their effects on economic welfare.  To assess economic welfare we need a time-path of outcomes generated by a dynamic model.  Calculation of GDP and employment effects for a single year, as in </w:t>
      </w:r>
      <w:r w:rsidR="001E7F73">
        <w:rPr>
          <w:rFonts w:ascii="Times New Roman" w:hAnsi="Times New Roman" w:cs="Times New Roman"/>
          <w:sz w:val="24"/>
          <w:szCs w:val="24"/>
        </w:rPr>
        <w:t>ECAT</w:t>
      </w:r>
      <w:r w:rsidR="000418E3">
        <w:rPr>
          <w:rFonts w:ascii="Times New Roman" w:hAnsi="Times New Roman" w:cs="Times New Roman"/>
          <w:sz w:val="24"/>
          <w:szCs w:val="24"/>
        </w:rPr>
        <w:t xml:space="preserve">, is not an adequate basis for a welfare calculation.      </w:t>
      </w:r>
    </w:p>
    <w:p w:rsidR="000418E3" w:rsidRDefault="000418E3"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lastRenderedPageBreak/>
        <w:t xml:space="preserve">In view of the </w:t>
      </w:r>
      <w:r w:rsidR="00CA1421">
        <w:rPr>
          <w:rFonts w:ascii="Times New Roman" w:hAnsi="Times New Roman" w:cs="Times New Roman"/>
          <w:sz w:val="24"/>
          <w:szCs w:val="24"/>
        </w:rPr>
        <w:t xml:space="preserve">pioneering status of ECAT and the </w:t>
      </w:r>
      <w:r>
        <w:rPr>
          <w:rFonts w:ascii="Times New Roman" w:hAnsi="Times New Roman" w:cs="Times New Roman"/>
          <w:sz w:val="24"/>
          <w:szCs w:val="24"/>
        </w:rPr>
        <w:t xml:space="preserve">similarities and differences between our approach and </w:t>
      </w:r>
      <w:r w:rsidR="001E7F73">
        <w:rPr>
          <w:rFonts w:ascii="Times New Roman" w:hAnsi="Times New Roman" w:cs="Times New Roman"/>
          <w:sz w:val="24"/>
          <w:szCs w:val="24"/>
        </w:rPr>
        <w:t>ECAT</w:t>
      </w:r>
      <w:r w:rsidR="00CA1421">
        <w:rPr>
          <w:rFonts w:ascii="Times New Roman" w:hAnsi="Times New Roman" w:cs="Times New Roman"/>
          <w:sz w:val="24"/>
          <w:szCs w:val="24"/>
        </w:rPr>
        <w:t>,</w:t>
      </w:r>
      <w:r>
        <w:rPr>
          <w:rFonts w:ascii="Times New Roman" w:hAnsi="Times New Roman" w:cs="Times New Roman"/>
          <w:sz w:val="24"/>
          <w:szCs w:val="24"/>
        </w:rPr>
        <w:t xml:space="preserve"> we title the tool created here GRAD-ECAT (Generalized, Regional And Dynamic Economic Consequence Analysis Tool).</w:t>
      </w:r>
    </w:p>
    <w:p w:rsidR="000418E3" w:rsidRPr="0056162E" w:rsidRDefault="000418E3" w:rsidP="000418E3">
      <w:pPr>
        <w:pStyle w:val="ListParagraph"/>
        <w:spacing w:before="240"/>
        <w:ind w:left="0"/>
        <w:contextualSpacing w:val="0"/>
        <w:rPr>
          <w:rFonts w:ascii="Times New Roman" w:hAnsi="Times New Roman" w:cs="Times New Roman"/>
          <w:b/>
          <w:sz w:val="24"/>
          <w:szCs w:val="24"/>
        </w:rPr>
      </w:pPr>
      <w:r>
        <w:rPr>
          <w:rFonts w:ascii="Times New Roman" w:hAnsi="Times New Roman" w:cs="Times New Roman"/>
          <w:b/>
          <w:sz w:val="24"/>
          <w:szCs w:val="24"/>
        </w:rPr>
        <w:t xml:space="preserve">2.  </w:t>
      </w:r>
      <w:r w:rsidRPr="0056162E">
        <w:rPr>
          <w:rFonts w:ascii="Times New Roman" w:hAnsi="Times New Roman" w:cs="Times New Roman"/>
          <w:b/>
          <w:sz w:val="24"/>
          <w:szCs w:val="24"/>
        </w:rPr>
        <w:t xml:space="preserve">Computable General Equilibrium (CGE) modeling as an alternative to </w:t>
      </w:r>
      <w:r>
        <w:rPr>
          <w:rFonts w:ascii="Times New Roman" w:hAnsi="Times New Roman" w:cs="Times New Roman"/>
          <w:b/>
          <w:sz w:val="24"/>
          <w:szCs w:val="24"/>
        </w:rPr>
        <w:t xml:space="preserve">current TRA practice based </w:t>
      </w:r>
      <w:r w:rsidR="00F9481B">
        <w:rPr>
          <w:rFonts w:ascii="Times New Roman" w:hAnsi="Times New Roman" w:cs="Times New Roman"/>
          <w:b/>
          <w:sz w:val="24"/>
          <w:szCs w:val="24"/>
        </w:rPr>
        <w:t xml:space="preserve">on </w:t>
      </w:r>
      <w:r w:rsidRPr="0056162E">
        <w:rPr>
          <w:rFonts w:ascii="Times New Roman" w:hAnsi="Times New Roman" w:cs="Times New Roman"/>
          <w:b/>
          <w:sz w:val="24"/>
          <w:szCs w:val="24"/>
        </w:rPr>
        <w:t>input-output (I-O) modeling</w:t>
      </w:r>
      <w:r>
        <w:rPr>
          <w:rFonts w:ascii="Times New Roman" w:hAnsi="Times New Roman" w:cs="Times New Roman"/>
          <w:b/>
          <w:sz w:val="24"/>
          <w:szCs w:val="24"/>
        </w:rPr>
        <w:t xml:space="preserve"> </w:t>
      </w:r>
    </w:p>
    <w:p w:rsidR="000418E3" w:rsidRPr="008017BB" w:rsidRDefault="000418E3"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Current</w:t>
      </w:r>
      <w:r w:rsidRPr="008017BB">
        <w:rPr>
          <w:rFonts w:ascii="Times New Roman" w:hAnsi="Times New Roman" w:cs="Times New Roman"/>
          <w:sz w:val="24"/>
          <w:szCs w:val="24"/>
        </w:rPr>
        <w:t xml:space="preserve"> practice by the TRA groups is to </w:t>
      </w:r>
      <w:r>
        <w:rPr>
          <w:rFonts w:ascii="Times New Roman" w:hAnsi="Times New Roman" w:cs="Times New Roman"/>
          <w:sz w:val="24"/>
          <w:szCs w:val="24"/>
        </w:rPr>
        <w:t xml:space="preserve">link driving factors with economic implications via an I-O model.  The TRA groups </w:t>
      </w:r>
      <w:r w:rsidRPr="008017BB">
        <w:rPr>
          <w:rFonts w:ascii="Times New Roman" w:hAnsi="Times New Roman" w:cs="Times New Roman"/>
          <w:sz w:val="24"/>
          <w:szCs w:val="24"/>
        </w:rPr>
        <w:t>feed a subset of th</w:t>
      </w:r>
      <w:r>
        <w:rPr>
          <w:rFonts w:ascii="Times New Roman" w:hAnsi="Times New Roman" w:cs="Times New Roman"/>
          <w:sz w:val="24"/>
          <w:szCs w:val="24"/>
        </w:rPr>
        <w:t xml:space="preserve">e driving factors, those concerned with expenditure, </w:t>
      </w:r>
      <w:r w:rsidRPr="008017BB">
        <w:rPr>
          <w:rFonts w:ascii="Times New Roman" w:hAnsi="Times New Roman" w:cs="Times New Roman"/>
          <w:sz w:val="24"/>
          <w:szCs w:val="24"/>
        </w:rPr>
        <w:t xml:space="preserve">into an </w:t>
      </w:r>
      <w:r>
        <w:rPr>
          <w:rFonts w:ascii="Times New Roman" w:hAnsi="Times New Roman" w:cs="Times New Roman"/>
          <w:sz w:val="24"/>
          <w:szCs w:val="24"/>
        </w:rPr>
        <w:t>I-O</w:t>
      </w:r>
      <w:r w:rsidRPr="008017BB">
        <w:rPr>
          <w:rFonts w:ascii="Times New Roman" w:hAnsi="Times New Roman" w:cs="Times New Roman"/>
          <w:sz w:val="24"/>
          <w:szCs w:val="24"/>
        </w:rPr>
        <w:t xml:space="preserve"> model</w:t>
      </w:r>
      <w:r>
        <w:rPr>
          <w:rFonts w:ascii="Times New Roman" w:hAnsi="Times New Roman" w:cs="Times New Roman"/>
          <w:sz w:val="24"/>
          <w:szCs w:val="24"/>
        </w:rPr>
        <w:t xml:space="preserve"> and compute outcomes for a limited subset of implication variables, national GDP and employment in year 1.  Expenditures are the main focus because I-O</w:t>
      </w:r>
      <w:r w:rsidRPr="008017BB">
        <w:rPr>
          <w:rFonts w:ascii="Times New Roman" w:hAnsi="Times New Roman" w:cs="Times New Roman"/>
          <w:sz w:val="24"/>
          <w:szCs w:val="24"/>
        </w:rPr>
        <w:t xml:space="preserve"> model</w:t>
      </w:r>
      <w:r>
        <w:rPr>
          <w:rFonts w:ascii="Times New Roman" w:hAnsi="Times New Roman" w:cs="Times New Roman"/>
          <w:sz w:val="24"/>
          <w:szCs w:val="24"/>
        </w:rPr>
        <w:t>s</w:t>
      </w:r>
      <w:r w:rsidRPr="008017BB">
        <w:rPr>
          <w:rFonts w:ascii="Times New Roman" w:hAnsi="Times New Roman" w:cs="Times New Roman"/>
          <w:sz w:val="24"/>
          <w:szCs w:val="24"/>
        </w:rPr>
        <w:t xml:space="preserve"> </w:t>
      </w:r>
      <w:r>
        <w:rPr>
          <w:rFonts w:ascii="Times New Roman" w:hAnsi="Times New Roman" w:cs="Times New Roman"/>
          <w:sz w:val="24"/>
          <w:szCs w:val="24"/>
        </w:rPr>
        <w:t xml:space="preserve">are essentially about working out the effects of expenditure changes, e.g. the effects of public expenditure on </w:t>
      </w:r>
      <w:r w:rsidR="00B6529C">
        <w:rPr>
          <w:rFonts w:ascii="Times New Roman" w:hAnsi="Times New Roman" w:cs="Times New Roman"/>
          <w:sz w:val="24"/>
          <w:szCs w:val="24"/>
        </w:rPr>
        <w:t>clean-up</w:t>
      </w:r>
      <w:r>
        <w:rPr>
          <w:rFonts w:ascii="Times New Roman" w:hAnsi="Times New Roman" w:cs="Times New Roman"/>
          <w:sz w:val="24"/>
          <w:szCs w:val="24"/>
        </w:rPr>
        <w:t xml:space="preserve">.  The results from the I-O model </w:t>
      </w:r>
      <w:r w:rsidRPr="008017BB">
        <w:rPr>
          <w:rFonts w:ascii="Times New Roman" w:hAnsi="Times New Roman" w:cs="Times New Roman"/>
          <w:sz w:val="24"/>
          <w:szCs w:val="24"/>
        </w:rPr>
        <w:t>then become part of C(</w:t>
      </w:r>
      <w:r>
        <w:rPr>
          <w:rFonts w:ascii="Times New Roman" w:hAnsi="Times New Roman" w:cs="Times New Roman"/>
          <w:sz w:val="24"/>
          <w:szCs w:val="24"/>
        </w:rPr>
        <w:t>j</w:t>
      </w:r>
      <w:r w:rsidRPr="008017BB">
        <w:rPr>
          <w:rFonts w:ascii="Times New Roman" w:hAnsi="Times New Roman" w:cs="Times New Roman"/>
          <w:sz w:val="24"/>
          <w:szCs w:val="24"/>
        </w:rPr>
        <w:t>) in the equation:</w:t>
      </w:r>
    </w:p>
    <w:p w:rsidR="000418E3" w:rsidRPr="008017BB" w:rsidRDefault="000418E3" w:rsidP="000418E3">
      <w:pPr>
        <w:pStyle w:val="ListParagraph"/>
        <w:tabs>
          <w:tab w:val="left" w:pos="567"/>
          <w:tab w:val="right" w:pos="8789"/>
        </w:tabs>
        <w:ind w:left="0"/>
        <w:contextualSpacing w:val="0"/>
        <w:rPr>
          <w:rFonts w:ascii="Times New Roman" w:hAnsi="Times New Roman" w:cs="Times New Roman"/>
          <w:sz w:val="24"/>
          <w:szCs w:val="24"/>
        </w:rPr>
      </w:pPr>
      <w:r w:rsidRPr="008017BB">
        <w:rPr>
          <w:rFonts w:ascii="Times New Roman" w:hAnsi="Times New Roman" w:cs="Times New Roman"/>
          <w:sz w:val="24"/>
          <w:szCs w:val="24"/>
        </w:rPr>
        <w:tab/>
      </w:r>
      <w:r w:rsidRPr="008017BB">
        <w:rPr>
          <w:rFonts w:ascii="Times New Roman" w:hAnsi="Times New Roman" w:cs="Times New Roman"/>
          <w:position w:val="-10"/>
          <w:sz w:val="24"/>
          <w:szCs w:val="24"/>
        </w:rPr>
        <w:object w:dxaOrig="2060" w:dyaOrig="320">
          <v:shape id="_x0000_i1030" type="#_x0000_t75" style="width:102.75pt;height:15.75pt" o:ole="">
            <v:imagedata r:id="rId21" o:title=""/>
          </v:shape>
          <o:OLEObject Type="Embed" ProgID="Equation.DSMT4" ShapeID="_x0000_i1030" DrawAspect="Content" ObjectID="_1553159838" r:id="rId22"/>
        </w:object>
      </w:r>
      <w:r w:rsidRPr="008017BB">
        <w:rPr>
          <w:rFonts w:ascii="Times New Roman" w:hAnsi="Times New Roman" w:cs="Times New Roman"/>
          <w:sz w:val="24"/>
          <w:szCs w:val="24"/>
        </w:rPr>
        <w:tab/>
        <w:t>(</w:t>
      </w:r>
      <w:r w:rsidR="00F7638B">
        <w:rPr>
          <w:rFonts w:ascii="Times New Roman" w:hAnsi="Times New Roman" w:cs="Times New Roman"/>
          <w:sz w:val="24"/>
          <w:szCs w:val="24"/>
        </w:rPr>
        <w:t>2.1</w:t>
      </w:r>
      <w:r w:rsidRPr="008017BB">
        <w:rPr>
          <w:rFonts w:ascii="Times New Roman" w:hAnsi="Times New Roman" w:cs="Times New Roman"/>
          <w:sz w:val="24"/>
          <w:szCs w:val="24"/>
        </w:rPr>
        <w:t>)</w:t>
      </w:r>
    </w:p>
    <w:p w:rsidR="000418E3" w:rsidRPr="008017BB" w:rsidRDefault="000418E3" w:rsidP="000418E3">
      <w:pPr>
        <w:pStyle w:val="ListParagraph"/>
        <w:tabs>
          <w:tab w:val="left" w:pos="567"/>
          <w:tab w:val="right" w:pos="8789"/>
        </w:tabs>
        <w:ind w:left="0"/>
        <w:contextualSpacing w:val="0"/>
        <w:rPr>
          <w:rFonts w:ascii="Times New Roman" w:hAnsi="Times New Roman" w:cs="Times New Roman"/>
          <w:sz w:val="24"/>
          <w:szCs w:val="24"/>
        </w:rPr>
      </w:pPr>
      <w:r w:rsidRPr="008017BB">
        <w:rPr>
          <w:rFonts w:ascii="Times New Roman" w:hAnsi="Times New Roman" w:cs="Times New Roman"/>
          <w:sz w:val="24"/>
          <w:szCs w:val="24"/>
        </w:rPr>
        <w:t>where</w:t>
      </w:r>
    </w:p>
    <w:p w:rsidR="000418E3" w:rsidRPr="008017BB" w:rsidRDefault="000418E3" w:rsidP="000418E3">
      <w:pPr>
        <w:pStyle w:val="ListParagraph"/>
        <w:tabs>
          <w:tab w:val="right" w:pos="8789"/>
        </w:tabs>
        <w:spacing w:before="0"/>
        <w:ind w:left="288"/>
        <w:contextualSpacing w:val="0"/>
        <w:rPr>
          <w:rFonts w:ascii="Times New Roman" w:hAnsi="Times New Roman" w:cs="Times New Roman"/>
          <w:sz w:val="24"/>
          <w:szCs w:val="24"/>
        </w:rPr>
      </w:pPr>
      <w:r w:rsidRPr="008017BB">
        <w:rPr>
          <w:rFonts w:ascii="Times New Roman" w:hAnsi="Times New Roman" w:cs="Times New Roman"/>
          <w:sz w:val="24"/>
          <w:szCs w:val="24"/>
        </w:rPr>
        <w:t>Pr(</w:t>
      </w:r>
      <w:r>
        <w:rPr>
          <w:rFonts w:ascii="Times New Roman" w:hAnsi="Times New Roman" w:cs="Times New Roman"/>
          <w:sz w:val="24"/>
          <w:szCs w:val="24"/>
        </w:rPr>
        <w:t>j</w:t>
      </w:r>
      <w:r w:rsidRPr="008017BB">
        <w:rPr>
          <w:rFonts w:ascii="Times New Roman" w:hAnsi="Times New Roman" w:cs="Times New Roman"/>
          <w:sz w:val="24"/>
          <w:szCs w:val="24"/>
        </w:rPr>
        <w:t>) is a</w:t>
      </w:r>
      <w:r>
        <w:rPr>
          <w:rFonts w:ascii="Times New Roman" w:hAnsi="Times New Roman" w:cs="Times New Roman"/>
          <w:sz w:val="24"/>
          <w:szCs w:val="24"/>
        </w:rPr>
        <w:t>n</w:t>
      </w:r>
      <w:r w:rsidRPr="008017BB">
        <w:rPr>
          <w:rFonts w:ascii="Times New Roman" w:hAnsi="Times New Roman" w:cs="Times New Roman"/>
          <w:sz w:val="24"/>
          <w:szCs w:val="24"/>
        </w:rPr>
        <w:t xml:space="preserve"> </w:t>
      </w:r>
      <w:r>
        <w:rPr>
          <w:rFonts w:ascii="Times New Roman" w:hAnsi="Times New Roman" w:cs="Times New Roman"/>
          <w:sz w:val="24"/>
          <w:szCs w:val="24"/>
        </w:rPr>
        <w:t xml:space="preserve">assessment by the TRA groups </w:t>
      </w:r>
      <w:r w:rsidRPr="008017BB">
        <w:rPr>
          <w:rFonts w:ascii="Times New Roman" w:hAnsi="Times New Roman" w:cs="Times New Roman"/>
          <w:sz w:val="24"/>
          <w:szCs w:val="24"/>
        </w:rPr>
        <w:t xml:space="preserve">of the probability of event </w:t>
      </w:r>
      <w:r>
        <w:rPr>
          <w:rFonts w:ascii="Times New Roman" w:hAnsi="Times New Roman" w:cs="Times New Roman"/>
          <w:sz w:val="24"/>
          <w:szCs w:val="24"/>
        </w:rPr>
        <w:t>j</w:t>
      </w:r>
      <w:r w:rsidRPr="008017BB">
        <w:rPr>
          <w:rFonts w:ascii="Times New Roman" w:hAnsi="Times New Roman" w:cs="Times New Roman"/>
          <w:sz w:val="24"/>
          <w:szCs w:val="24"/>
        </w:rPr>
        <w:t xml:space="preserve"> occurring; </w:t>
      </w:r>
    </w:p>
    <w:p w:rsidR="000418E3" w:rsidRDefault="000418E3" w:rsidP="000418E3">
      <w:pPr>
        <w:pStyle w:val="ListParagraph"/>
        <w:tabs>
          <w:tab w:val="right" w:pos="8789"/>
        </w:tabs>
        <w:spacing w:before="0"/>
        <w:ind w:left="288"/>
        <w:contextualSpacing w:val="0"/>
        <w:rPr>
          <w:rFonts w:ascii="Times New Roman" w:hAnsi="Times New Roman" w:cs="Times New Roman"/>
          <w:sz w:val="24"/>
          <w:szCs w:val="24"/>
        </w:rPr>
      </w:pPr>
      <w:r w:rsidRPr="008017BB">
        <w:rPr>
          <w:rFonts w:ascii="Times New Roman" w:hAnsi="Times New Roman" w:cs="Times New Roman"/>
          <w:sz w:val="24"/>
          <w:szCs w:val="24"/>
        </w:rPr>
        <w:t>C(</w:t>
      </w:r>
      <w:r>
        <w:rPr>
          <w:rFonts w:ascii="Times New Roman" w:hAnsi="Times New Roman" w:cs="Times New Roman"/>
          <w:sz w:val="24"/>
          <w:szCs w:val="24"/>
        </w:rPr>
        <w:t>j</w:t>
      </w:r>
      <w:r w:rsidRPr="008017BB">
        <w:rPr>
          <w:rFonts w:ascii="Times New Roman" w:hAnsi="Times New Roman" w:cs="Times New Roman"/>
          <w:sz w:val="24"/>
          <w:szCs w:val="24"/>
        </w:rPr>
        <w:t xml:space="preserve">) is a measure of the consequences of event </w:t>
      </w:r>
      <w:r>
        <w:rPr>
          <w:rFonts w:ascii="Times New Roman" w:hAnsi="Times New Roman" w:cs="Times New Roman"/>
          <w:sz w:val="24"/>
          <w:szCs w:val="24"/>
        </w:rPr>
        <w:t>j</w:t>
      </w:r>
      <w:r w:rsidRPr="008017BB">
        <w:rPr>
          <w:rFonts w:ascii="Times New Roman" w:hAnsi="Times New Roman" w:cs="Times New Roman"/>
          <w:sz w:val="24"/>
          <w:szCs w:val="24"/>
        </w:rPr>
        <w:t xml:space="preserve"> and includes results from the </w:t>
      </w:r>
      <w:r>
        <w:rPr>
          <w:rFonts w:ascii="Times New Roman" w:hAnsi="Times New Roman" w:cs="Times New Roman"/>
          <w:sz w:val="24"/>
          <w:szCs w:val="24"/>
        </w:rPr>
        <w:t>I-O</w:t>
      </w:r>
      <w:r w:rsidRPr="008017BB">
        <w:rPr>
          <w:rFonts w:ascii="Times New Roman" w:hAnsi="Times New Roman" w:cs="Times New Roman"/>
          <w:sz w:val="24"/>
          <w:szCs w:val="24"/>
        </w:rPr>
        <w:t xml:space="preserve"> model as well as components, such as fatalities, from the list (</w:t>
      </w:r>
      <w:r>
        <w:rPr>
          <w:rFonts w:ascii="Times New Roman" w:hAnsi="Times New Roman" w:cs="Times New Roman"/>
          <w:sz w:val="24"/>
          <w:szCs w:val="24"/>
        </w:rPr>
        <w:t>i</w:t>
      </w:r>
      <w:r w:rsidRPr="008017BB">
        <w:rPr>
          <w:rFonts w:ascii="Times New Roman" w:hAnsi="Times New Roman" w:cs="Times New Roman"/>
          <w:sz w:val="24"/>
          <w:szCs w:val="24"/>
        </w:rPr>
        <w:t>) to (</w:t>
      </w:r>
      <w:r>
        <w:rPr>
          <w:rFonts w:ascii="Times New Roman" w:hAnsi="Times New Roman" w:cs="Times New Roman"/>
          <w:sz w:val="24"/>
          <w:szCs w:val="24"/>
        </w:rPr>
        <w:t>xiv</w:t>
      </w:r>
      <w:r w:rsidRPr="008017BB">
        <w:rPr>
          <w:rFonts w:ascii="Times New Roman" w:hAnsi="Times New Roman" w:cs="Times New Roman"/>
          <w:sz w:val="24"/>
          <w:szCs w:val="24"/>
        </w:rPr>
        <w:t>)</w:t>
      </w:r>
      <w:r>
        <w:rPr>
          <w:rFonts w:ascii="Times New Roman" w:hAnsi="Times New Roman" w:cs="Times New Roman"/>
          <w:sz w:val="24"/>
          <w:szCs w:val="24"/>
        </w:rPr>
        <w:t>; and</w:t>
      </w:r>
    </w:p>
    <w:p w:rsidR="000418E3" w:rsidRPr="008017BB" w:rsidRDefault="000418E3" w:rsidP="000418E3">
      <w:pPr>
        <w:pStyle w:val="ListParagraph"/>
        <w:tabs>
          <w:tab w:val="right" w:pos="8789"/>
        </w:tabs>
        <w:spacing w:before="0"/>
        <w:ind w:left="288"/>
        <w:contextualSpacing w:val="0"/>
        <w:rPr>
          <w:rFonts w:ascii="Times New Roman" w:hAnsi="Times New Roman" w:cs="Times New Roman"/>
          <w:sz w:val="24"/>
          <w:szCs w:val="24"/>
        </w:rPr>
      </w:pPr>
      <w:r w:rsidRPr="008017BB">
        <w:rPr>
          <w:rFonts w:ascii="Times New Roman" w:hAnsi="Times New Roman" w:cs="Times New Roman"/>
          <w:sz w:val="24"/>
          <w:szCs w:val="24"/>
        </w:rPr>
        <w:t>Risk(</w:t>
      </w:r>
      <w:r>
        <w:rPr>
          <w:rFonts w:ascii="Times New Roman" w:hAnsi="Times New Roman" w:cs="Times New Roman"/>
          <w:sz w:val="24"/>
          <w:szCs w:val="24"/>
        </w:rPr>
        <w:t>j</w:t>
      </w:r>
      <w:r w:rsidRPr="008017BB">
        <w:rPr>
          <w:rFonts w:ascii="Times New Roman" w:hAnsi="Times New Roman" w:cs="Times New Roman"/>
          <w:sz w:val="24"/>
          <w:szCs w:val="24"/>
        </w:rPr>
        <w:t xml:space="preserve">) is the expected value of event </w:t>
      </w:r>
      <w:r>
        <w:rPr>
          <w:rFonts w:ascii="Times New Roman" w:hAnsi="Times New Roman" w:cs="Times New Roman"/>
          <w:sz w:val="24"/>
          <w:szCs w:val="24"/>
        </w:rPr>
        <w:t>j</w:t>
      </w:r>
      <w:r w:rsidRPr="008017BB">
        <w:rPr>
          <w:rFonts w:ascii="Times New Roman" w:hAnsi="Times New Roman" w:cs="Times New Roman"/>
          <w:sz w:val="24"/>
          <w:szCs w:val="24"/>
        </w:rPr>
        <w:t xml:space="preserve">.  </w:t>
      </w:r>
    </w:p>
    <w:p w:rsidR="000418E3" w:rsidRPr="008017BB" w:rsidRDefault="000418E3" w:rsidP="000418E3">
      <w:pPr>
        <w:pStyle w:val="ListParagraph"/>
        <w:tabs>
          <w:tab w:val="right" w:pos="8789"/>
        </w:tabs>
        <w:ind w:left="0"/>
        <w:contextualSpacing w:val="0"/>
        <w:rPr>
          <w:rFonts w:ascii="Times New Roman" w:hAnsi="Times New Roman" w:cs="Times New Roman"/>
          <w:sz w:val="24"/>
          <w:szCs w:val="24"/>
        </w:rPr>
      </w:pPr>
      <w:r w:rsidRPr="008017BB">
        <w:rPr>
          <w:rFonts w:ascii="Times New Roman" w:hAnsi="Times New Roman" w:cs="Times New Roman"/>
          <w:sz w:val="24"/>
          <w:szCs w:val="24"/>
        </w:rPr>
        <w:t xml:space="preserve">TRA practice is to rank events by their Risk value.  The ranking then becomes a basis for prioritizing preventative policies.  </w:t>
      </w:r>
    </w:p>
    <w:p w:rsidR="000418E3" w:rsidRPr="008017BB" w:rsidRDefault="000418E3" w:rsidP="000418E3">
      <w:pPr>
        <w:pStyle w:val="ListParagraph"/>
        <w:tabs>
          <w:tab w:val="right" w:pos="8789"/>
        </w:tabs>
        <w:ind w:left="0"/>
        <w:contextualSpacing w:val="0"/>
        <w:rPr>
          <w:rFonts w:ascii="Times New Roman" w:hAnsi="Times New Roman" w:cs="Times New Roman"/>
          <w:sz w:val="24"/>
          <w:szCs w:val="24"/>
        </w:rPr>
      </w:pPr>
      <w:r w:rsidRPr="008017BB">
        <w:rPr>
          <w:rFonts w:ascii="Times New Roman" w:hAnsi="Times New Roman" w:cs="Times New Roman"/>
          <w:sz w:val="24"/>
          <w:szCs w:val="24"/>
        </w:rPr>
        <w:t>I-O modeling has well known limitations.  The most important of these are: (</w:t>
      </w:r>
      <w:r>
        <w:rPr>
          <w:rFonts w:ascii="Times New Roman" w:hAnsi="Times New Roman" w:cs="Times New Roman"/>
          <w:sz w:val="24"/>
          <w:szCs w:val="24"/>
        </w:rPr>
        <w:t>a</w:t>
      </w:r>
      <w:r w:rsidRPr="008017BB">
        <w:rPr>
          <w:rFonts w:ascii="Times New Roman" w:hAnsi="Times New Roman" w:cs="Times New Roman"/>
          <w:sz w:val="24"/>
          <w:szCs w:val="24"/>
        </w:rPr>
        <w:t>) difficulties in handling constraints on the availability of resources such as labor, physical capital, government finance and foreign exchange; (</w:t>
      </w:r>
      <w:r>
        <w:rPr>
          <w:rFonts w:ascii="Times New Roman" w:hAnsi="Times New Roman" w:cs="Times New Roman"/>
          <w:sz w:val="24"/>
          <w:szCs w:val="24"/>
        </w:rPr>
        <w:t>b</w:t>
      </w:r>
      <w:r w:rsidRPr="008017BB">
        <w:rPr>
          <w:rFonts w:ascii="Times New Roman" w:hAnsi="Times New Roman" w:cs="Times New Roman"/>
          <w:sz w:val="24"/>
          <w:szCs w:val="24"/>
        </w:rPr>
        <w:t xml:space="preserve">) lack of a time dimension; </w:t>
      </w:r>
      <w:r>
        <w:rPr>
          <w:rFonts w:ascii="Times New Roman" w:hAnsi="Times New Roman" w:cs="Times New Roman"/>
          <w:sz w:val="24"/>
          <w:szCs w:val="24"/>
        </w:rPr>
        <w:t xml:space="preserve">and </w:t>
      </w:r>
      <w:r w:rsidRPr="008017BB">
        <w:rPr>
          <w:rFonts w:ascii="Times New Roman" w:hAnsi="Times New Roman" w:cs="Times New Roman"/>
          <w:sz w:val="24"/>
          <w:szCs w:val="24"/>
        </w:rPr>
        <w:t>(</w:t>
      </w:r>
      <w:r>
        <w:rPr>
          <w:rFonts w:ascii="Times New Roman" w:hAnsi="Times New Roman" w:cs="Times New Roman"/>
          <w:sz w:val="24"/>
          <w:szCs w:val="24"/>
        </w:rPr>
        <w:t>c</w:t>
      </w:r>
      <w:r w:rsidRPr="008017BB">
        <w:rPr>
          <w:rFonts w:ascii="Times New Roman" w:hAnsi="Times New Roman" w:cs="Times New Roman"/>
          <w:sz w:val="24"/>
          <w:szCs w:val="24"/>
        </w:rPr>
        <w:t xml:space="preserve">) a narrow range of result variables that excludes important financial variables such as </w:t>
      </w:r>
      <w:r>
        <w:rPr>
          <w:rFonts w:ascii="Times New Roman" w:hAnsi="Times New Roman" w:cs="Times New Roman"/>
          <w:sz w:val="24"/>
          <w:szCs w:val="24"/>
        </w:rPr>
        <w:t>foreign liabilities.</w:t>
      </w:r>
      <w:r w:rsidRPr="008017BB">
        <w:rPr>
          <w:rFonts w:ascii="Times New Roman" w:hAnsi="Times New Roman" w:cs="Times New Roman"/>
          <w:sz w:val="24"/>
          <w:szCs w:val="24"/>
        </w:rPr>
        <w:t xml:space="preserve">  </w:t>
      </w:r>
    </w:p>
    <w:p w:rsidR="000418E3" w:rsidRPr="008017BB" w:rsidRDefault="000418E3" w:rsidP="000418E3">
      <w:pPr>
        <w:pStyle w:val="ListParagraph"/>
        <w:ind w:left="0"/>
        <w:contextualSpacing w:val="0"/>
        <w:rPr>
          <w:rFonts w:ascii="Times New Roman" w:hAnsi="Times New Roman" w:cs="Times New Roman"/>
          <w:sz w:val="24"/>
          <w:szCs w:val="24"/>
        </w:rPr>
      </w:pPr>
      <w:r w:rsidRPr="008017BB">
        <w:rPr>
          <w:rFonts w:ascii="Times New Roman" w:hAnsi="Times New Roman" w:cs="Times New Roman"/>
          <w:sz w:val="24"/>
          <w:szCs w:val="24"/>
        </w:rPr>
        <w:t>All of the information in (</w:t>
      </w:r>
      <w:r>
        <w:rPr>
          <w:rFonts w:ascii="Times New Roman" w:hAnsi="Times New Roman" w:cs="Times New Roman"/>
          <w:sz w:val="24"/>
          <w:szCs w:val="24"/>
        </w:rPr>
        <w:t>i</w:t>
      </w:r>
      <w:r w:rsidRPr="008017BB">
        <w:rPr>
          <w:rFonts w:ascii="Times New Roman" w:hAnsi="Times New Roman" w:cs="Times New Roman"/>
          <w:sz w:val="24"/>
          <w:szCs w:val="24"/>
        </w:rPr>
        <w:t>) to (</w:t>
      </w:r>
      <w:r>
        <w:rPr>
          <w:rFonts w:ascii="Times New Roman" w:hAnsi="Times New Roman" w:cs="Times New Roman"/>
          <w:sz w:val="24"/>
          <w:szCs w:val="24"/>
        </w:rPr>
        <w:t>xiv</w:t>
      </w:r>
      <w:r w:rsidRPr="008017BB">
        <w:rPr>
          <w:rFonts w:ascii="Times New Roman" w:hAnsi="Times New Roman" w:cs="Times New Roman"/>
          <w:sz w:val="24"/>
          <w:szCs w:val="24"/>
        </w:rPr>
        <w:t>) can be fed into a CGE model.  CGE models such as USAGE</w:t>
      </w:r>
      <w:r>
        <w:rPr>
          <w:rFonts w:ascii="Times New Roman" w:hAnsi="Times New Roman" w:cs="Times New Roman"/>
          <w:sz w:val="24"/>
          <w:szCs w:val="24"/>
        </w:rPr>
        <w:t>-TERM</w:t>
      </w:r>
      <w:r w:rsidRPr="008017BB">
        <w:rPr>
          <w:rFonts w:ascii="Times New Roman" w:hAnsi="Times New Roman" w:cs="Times New Roman"/>
          <w:sz w:val="24"/>
          <w:szCs w:val="24"/>
        </w:rPr>
        <w:t xml:space="preserve"> have detailed representations of resource constraints and produce annual time-series results for a wide range of variables</w:t>
      </w:r>
      <w:r>
        <w:rPr>
          <w:rFonts w:ascii="Times New Roman" w:hAnsi="Times New Roman" w:cs="Times New Roman"/>
          <w:sz w:val="24"/>
          <w:szCs w:val="24"/>
        </w:rPr>
        <w:t xml:space="preserve">.  These cover all of the economic implication variables listed in section 1 and many others.  Routine outputs from USAGE-TERM </w:t>
      </w:r>
      <w:r w:rsidRPr="008017BB">
        <w:rPr>
          <w:rFonts w:ascii="Times New Roman" w:hAnsi="Times New Roman" w:cs="Times New Roman"/>
          <w:sz w:val="24"/>
          <w:szCs w:val="24"/>
        </w:rPr>
        <w:t>includ</w:t>
      </w:r>
      <w:r>
        <w:rPr>
          <w:rFonts w:ascii="Times New Roman" w:hAnsi="Times New Roman" w:cs="Times New Roman"/>
          <w:sz w:val="24"/>
          <w:szCs w:val="24"/>
        </w:rPr>
        <w:t>e</w:t>
      </w:r>
      <w:r w:rsidRPr="008017BB">
        <w:rPr>
          <w:rFonts w:ascii="Times New Roman" w:hAnsi="Times New Roman" w:cs="Times New Roman"/>
          <w:sz w:val="24"/>
          <w:szCs w:val="24"/>
        </w:rPr>
        <w:t>:</w:t>
      </w:r>
    </w:p>
    <w:p w:rsidR="000418E3" w:rsidRPr="008017BB" w:rsidRDefault="000418E3" w:rsidP="000418E3">
      <w:pPr>
        <w:pStyle w:val="ListParagraph"/>
        <w:numPr>
          <w:ilvl w:val="0"/>
          <w:numId w:val="11"/>
        </w:numPr>
        <w:contextualSpacing w:val="0"/>
        <w:rPr>
          <w:rFonts w:ascii="Times New Roman" w:hAnsi="Times New Roman" w:cs="Times New Roman"/>
          <w:sz w:val="24"/>
          <w:szCs w:val="24"/>
        </w:rPr>
      </w:pPr>
      <w:r w:rsidRPr="008017BB">
        <w:rPr>
          <w:rFonts w:ascii="Times New Roman" w:hAnsi="Times New Roman" w:cs="Times New Roman"/>
          <w:sz w:val="24"/>
          <w:szCs w:val="24"/>
        </w:rPr>
        <w:t>national macro variables such as GDP, employment, wage rates, aggregate private and public consumption, investment, exports, imports, the public sector deficit and foreign liabilities;</w:t>
      </w:r>
    </w:p>
    <w:p w:rsidR="000418E3" w:rsidRPr="008017BB" w:rsidRDefault="000418E3" w:rsidP="000418E3">
      <w:pPr>
        <w:pStyle w:val="ListParagraph"/>
        <w:numPr>
          <w:ilvl w:val="0"/>
          <w:numId w:val="11"/>
        </w:numPr>
        <w:contextualSpacing w:val="0"/>
        <w:rPr>
          <w:rFonts w:ascii="Times New Roman" w:hAnsi="Times New Roman" w:cs="Times New Roman"/>
          <w:sz w:val="24"/>
          <w:szCs w:val="24"/>
        </w:rPr>
      </w:pPr>
      <w:r w:rsidRPr="008017BB">
        <w:rPr>
          <w:rFonts w:ascii="Times New Roman" w:hAnsi="Times New Roman" w:cs="Times New Roman"/>
          <w:sz w:val="24"/>
          <w:szCs w:val="24"/>
        </w:rPr>
        <w:t xml:space="preserve">employment in the </w:t>
      </w:r>
      <w:r>
        <w:rPr>
          <w:rFonts w:ascii="Times New Roman" w:hAnsi="Times New Roman" w:cs="Times New Roman"/>
          <w:sz w:val="24"/>
          <w:szCs w:val="24"/>
        </w:rPr>
        <w:t>target</w:t>
      </w:r>
      <w:r w:rsidRPr="008017BB">
        <w:rPr>
          <w:rFonts w:ascii="Times New Roman" w:hAnsi="Times New Roman" w:cs="Times New Roman"/>
          <w:sz w:val="24"/>
          <w:szCs w:val="24"/>
        </w:rPr>
        <w:t xml:space="preserve"> region (e.g. </w:t>
      </w:r>
      <w:r>
        <w:rPr>
          <w:rFonts w:ascii="Times New Roman" w:hAnsi="Times New Roman" w:cs="Times New Roman"/>
          <w:sz w:val="24"/>
          <w:szCs w:val="24"/>
        </w:rPr>
        <w:t xml:space="preserve">CA34, </w:t>
      </w:r>
      <w:r w:rsidRPr="008017BB">
        <w:rPr>
          <w:rFonts w:ascii="Times New Roman" w:hAnsi="Times New Roman" w:cs="Times New Roman"/>
          <w:sz w:val="24"/>
          <w:szCs w:val="24"/>
        </w:rPr>
        <w:t>downtown LA), neighboring regions (e.g. rest of LA), rest of state (e.g. rest of California), and rest of U.S.;</w:t>
      </w:r>
    </w:p>
    <w:p w:rsidR="000418E3" w:rsidRPr="008017BB" w:rsidRDefault="000418E3" w:rsidP="000418E3">
      <w:pPr>
        <w:pStyle w:val="ListParagraph"/>
        <w:numPr>
          <w:ilvl w:val="0"/>
          <w:numId w:val="11"/>
        </w:numPr>
        <w:contextualSpacing w:val="0"/>
        <w:rPr>
          <w:rFonts w:ascii="Times New Roman" w:hAnsi="Times New Roman" w:cs="Times New Roman"/>
          <w:sz w:val="24"/>
          <w:szCs w:val="24"/>
        </w:rPr>
      </w:pPr>
      <w:r w:rsidRPr="008017BB">
        <w:rPr>
          <w:rFonts w:ascii="Times New Roman" w:hAnsi="Times New Roman" w:cs="Times New Roman"/>
          <w:sz w:val="24"/>
          <w:szCs w:val="24"/>
        </w:rPr>
        <w:t xml:space="preserve">wages rates in these four regions; and </w:t>
      </w:r>
    </w:p>
    <w:p w:rsidR="000418E3" w:rsidRPr="008017BB" w:rsidRDefault="000418E3" w:rsidP="000418E3">
      <w:pPr>
        <w:pStyle w:val="ListParagraph"/>
        <w:numPr>
          <w:ilvl w:val="0"/>
          <w:numId w:val="11"/>
        </w:numPr>
        <w:contextualSpacing w:val="0"/>
        <w:rPr>
          <w:rFonts w:ascii="Times New Roman" w:hAnsi="Times New Roman" w:cs="Times New Roman"/>
          <w:sz w:val="24"/>
          <w:szCs w:val="24"/>
        </w:rPr>
      </w:pPr>
      <w:r w:rsidRPr="008017BB">
        <w:rPr>
          <w:rFonts w:ascii="Times New Roman" w:hAnsi="Times New Roman" w:cs="Times New Roman"/>
          <w:sz w:val="24"/>
          <w:szCs w:val="24"/>
        </w:rPr>
        <w:t xml:space="preserve">industry outputs in these four regions.  </w:t>
      </w:r>
    </w:p>
    <w:p w:rsidR="000418E3" w:rsidRDefault="000418E3" w:rsidP="000418E3">
      <w:pPr>
        <w:pStyle w:val="ListParagraph"/>
        <w:ind w:left="0"/>
        <w:contextualSpacing w:val="0"/>
        <w:rPr>
          <w:rFonts w:ascii="Times New Roman" w:hAnsi="Times New Roman" w:cs="Times New Roman"/>
          <w:sz w:val="24"/>
          <w:szCs w:val="24"/>
        </w:rPr>
      </w:pPr>
      <w:r w:rsidRPr="008017BB">
        <w:rPr>
          <w:rFonts w:ascii="Times New Roman" w:hAnsi="Times New Roman" w:cs="Times New Roman"/>
          <w:sz w:val="24"/>
          <w:szCs w:val="24"/>
        </w:rPr>
        <w:t xml:space="preserve">The dynamic dimension </w:t>
      </w:r>
      <w:r>
        <w:rPr>
          <w:rFonts w:ascii="Times New Roman" w:hAnsi="Times New Roman" w:cs="Times New Roman"/>
          <w:sz w:val="24"/>
          <w:szCs w:val="24"/>
        </w:rPr>
        <w:t>allows c</w:t>
      </w:r>
      <w:r w:rsidRPr="008017BB">
        <w:rPr>
          <w:rFonts w:ascii="Times New Roman" w:hAnsi="Times New Roman" w:cs="Times New Roman"/>
          <w:sz w:val="24"/>
          <w:szCs w:val="24"/>
        </w:rPr>
        <w:t>aptur</w:t>
      </w:r>
      <w:r>
        <w:rPr>
          <w:rFonts w:ascii="Times New Roman" w:hAnsi="Times New Roman" w:cs="Times New Roman"/>
          <w:sz w:val="24"/>
          <w:szCs w:val="24"/>
        </w:rPr>
        <w:t>e</w:t>
      </w:r>
      <w:r w:rsidRPr="008017BB">
        <w:rPr>
          <w:rFonts w:ascii="Times New Roman" w:hAnsi="Times New Roman" w:cs="Times New Roman"/>
          <w:sz w:val="24"/>
          <w:szCs w:val="24"/>
        </w:rPr>
        <w:t xml:space="preserve"> </w:t>
      </w:r>
      <w:r>
        <w:rPr>
          <w:rFonts w:ascii="Times New Roman" w:hAnsi="Times New Roman" w:cs="Times New Roman"/>
          <w:sz w:val="24"/>
          <w:szCs w:val="24"/>
        </w:rPr>
        <w:t xml:space="preserve">of </w:t>
      </w:r>
      <w:r w:rsidRPr="008017BB">
        <w:rPr>
          <w:rFonts w:ascii="Times New Roman" w:hAnsi="Times New Roman" w:cs="Times New Roman"/>
          <w:sz w:val="24"/>
          <w:szCs w:val="24"/>
        </w:rPr>
        <w:t xml:space="preserve">both an “immediate” effect in year 1 and summary measures of long-term dynamic effects.  Typically we might expect to see the effects of economic stimulation in year 1 associated with immediate </w:t>
      </w:r>
      <w:r w:rsidR="001E7F73">
        <w:rPr>
          <w:rFonts w:ascii="Times New Roman" w:hAnsi="Times New Roman" w:cs="Times New Roman"/>
          <w:sz w:val="24"/>
          <w:szCs w:val="24"/>
        </w:rPr>
        <w:t>unfunded (deficit)</w:t>
      </w:r>
      <w:r w:rsidRPr="008017BB">
        <w:rPr>
          <w:rFonts w:ascii="Times New Roman" w:hAnsi="Times New Roman" w:cs="Times New Roman"/>
          <w:sz w:val="24"/>
          <w:szCs w:val="24"/>
        </w:rPr>
        <w:t xml:space="preserve"> public expenditure followed by subdued economic outcomes in later years arising from debt repayment and tight public-sector budgets.  </w:t>
      </w:r>
    </w:p>
    <w:p w:rsidR="000418E3" w:rsidRPr="008017BB" w:rsidRDefault="000418E3"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 xml:space="preserve">Because of the potential advantages of CGE over I-O, the TRA groups commissioned this report as an investigation into the feasibility and desirability of replacing I-O with CGE as the link for connecting driving factors with economic implication variables.  </w:t>
      </w:r>
    </w:p>
    <w:p w:rsidR="000418E3" w:rsidRPr="0006562C" w:rsidRDefault="000418E3" w:rsidP="000418E3">
      <w:pPr>
        <w:rPr>
          <w:rFonts w:ascii="Times New Roman" w:hAnsi="Times New Roman" w:cs="Times New Roman"/>
          <w:b/>
          <w:sz w:val="24"/>
          <w:szCs w:val="24"/>
        </w:rPr>
      </w:pPr>
      <w:r w:rsidRPr="0006562C">
        <w:rPr>
          <w:rFonts w:ascii="Times New Roman" w:hAnsi="Times New Roman" w:cs="Times New Roman"/>
          <w:b/>
          <w:sz w:val="24"/>
          <w:szCs w:val="24"/>
        </w:rPr>
        <w:lastRenderedPageBreak/>
        <w:t xml:space="preserve">3.  The computational and security </w:t>
      </w:r>
      <w:r w:rsidR="007E1789">
        <w:rPr>
          <w:rFonts w:ascii="Times New Roman" w:hAnsi="Times New Roman" w:cs="Times New Roman"/>
          <w:b/>
          <w:sz w:val="24"/>
          <w:szCs w:val="24"/>
        </w:rPr>
        <w:t>challenges</w:t>
      </w:r>
      <w:r w:rsidRPr="0006562C">
        <w:rPr>
          <w:rFonts w:ascii="Times New Roman" w:hAnsi="Times New Roman" w:cs="Times New Roman"/>
          <w:b/>
          <w:sz w:val="24"/>
          <w:szCs w:val="24"/>
        </w:rPr>
        <w:t>: the elasticity solution</w:t>
      </w:r>
    </w:p>
    <w:p w:rsidR="000418E3" w:rsidRDefault="000418E3" w:rsidP="000418E3">
      <w:pPr>
        <w:rPr>
          <w:rFonts w:ascii="Times New Roman" w:hAnsi="Times New Roman" w:cs="Times New Roman"/>
          <w:sz w:val="24"/>
          <w:szCs w:val="24"/>
        </w:rPr>
      </w:pPr>
      <w:r w:rsidRPr="00323CE8">
        <w:rPr>
          <w:rFonts w:ascii="Times New Roman" w:hAnsi="Times New Roman" w:cs="Times New Roman"/>
          <w:sz w:val="24"/>
          <w:szCs w:val="24"/>
        </w:rPr>
        <w:t xml:space="preserve">Computing </w:t>
      </w:r>
      <w:r>
        <w:rPr>
          <w:rFonts w:ascii="Times New Roman" w:hAnsi="Times New Roman" w:cs="Times New Roman"/>
          <w:sz w:val="24"/>
          <w:szCs w:val="24"/>
        </w:rPr>
        <w:t xml:space="preserve">solutions for detailed dynamic CGE models such as </w:t>
      </w:r>
      <w:r w:rsidRPr="00323CE8">
        <w:rPr>
          <w:rFonts w:ascii="Times New Roman" w:hAnsi="Times New Roman" w:cs="Times New Roman"/>
          <w:sz w:val="24"/>
          <w:szCs w:val="24"/>
        </w:rPr>
        <w:t xml:space="preserve">USAGE-TERM is non-trivial.  For example, </w:t>
      </w:r>
      <w:r>
        <w:rPr>
          <w:rFonts w:ascii="Times New Roman" w:hAnsi="Times New Roman" w:cs="Times New Roman"/>
          <w:sz w:val="24"/>
          <w:szCs w:val="24"/>
        </w:rPr>
        <w:t xml:space="preserve">a 4-region, 23-industry, 20-year simulation with USAGE-TERM takes about 6 minutes on </w:t>
      </w:r>
      <w:r w:rsidR="001E7F73">
        <w:rPr>
          <w:rFonts w:ascii="Times New Roman" w:hAnsi="Times New Roman" w:cs="Times New Roman"/>
          <w:sz w:val="24"/>
          <w:szCs w:val="24"/>
        </w:rPr>
        <w:t>an</w:t>
      </w:r>
      <w:r>
        <w:rPr>
          <w:rFonts w:ascii="Times New Roman" w:hAnsi="Times New Roman" w:cs="Times New Roman"/>
          <w:sz w:val="24"/>
          <w:szCs w:val="24"/>
        </w:rPr>
        <w:t xml:space="preserve"> advanced desktop computer.  This rules out the possibility of undertaking a separate USAGE-TERM</w:t>
      </w:r>
      <w:r w:rsidR="00E25AA4">
        <w:rPr>
          <w:rFonts w:ascii="Times New Roman" w:hAnsi="Times New Roman" w:cs="Times New Roman"/>
          <w:sz w:val="24"/>
          <w:szCs w:val="24"/>
        </w:rPr>
        <w:t xml:space="preserve"> simulation</w:t>
      </w:r>
      <w:r>
        <w:rPr>
          <w:rFonts w:ascii="Times New Roman" w:hAnsi="Times New Roman" w:cs="Times New Roman"/>
          <w:sz w:val="24"/>
          <w:szCs w:val="24"/>
        </w:rPr>
        <w:t xml:space="preserve"> for each of the TRAs thousands of hypothetical scenarios.  </w:t>
      </w:r>
    </w:p>
    <w:p w:rsidR="000418E3" w:rsidRDefault="000418E3" w:rsidP="000418E3">
      <w:pPr>
        <w:rPr>
          <w:rFonts w:ascii="Times New Roman" w:hAnsi="Times New Roman" w:cs="Times New Roman"/>
          <w:sz w:val="24"/>
          <w:szCs w:val="24"/>
        </w:rPr>
      </w:pPr>
      <w:r>
        <w:rPr>
          <w:rFonts w:ascii="Times New Roman" w:hAnsi="Times New Roman" w:cs="Times New Roman"/>
          <w:sz w:val="24"/>
          <w:szCs w:val="24"/>
        </w:rPr>
        <w:t xml:space="preserve">Another problem is that solving CGE models is </w:t>
      </w:r>
      <w:r w:rsidR="00E25AA4">
        <w:rPr>
          <w:rFonts w:ascii="Times New Roman" w:hAnsi="Times New Roman" w:cs="Times New Roman"/>
          <w:sz w:val="24"/>
          <w:szCs w:val="24"/>
        </w:rPr>
        <w:t>not</w:t>
      </w:r>
      <w:r>
        <w:rPr>
          <w:rFonts w:ascii="Times New Roman" w:hAnsi="Times New Roman" w:cs="Times New Roman"/>
          <w:sz w:val="24"/>
          <w:szCs w:val="24"/>
        </w:rPr>
        <w:t xml:space="preserve"> routine.  Considerable experience is required to successfully carry out computations, interpret them and to check their validity.  Consequently, as a practical matter it is efficient to largely outsource CGE computations to specialists in the field.  But this raises a problem of security.  Specialist CGE modelers are unlikely to have security clearances that would give them access to the details of the terrorism scenarios that are being considered by the TRA groups.   </w:t>
      </w:r>
    </w:p>
    <w:p w:rsidR="000418E3" w:rsidRDefault="000418E3" w:rsidP="000418E3">
      <w:pPr>
        <w:rPr>
          <w:rFonts w:ascii="Times New Roman" w:hAnsi="Times New Roman" w:cs="Times New Roman"/>
          <w:sz w:val="24"/>
          <w:szCs w:val="24"/>
        </w:rPr>
      </w:pPr>
      <w:r>
        <w:rPr>
          <w:rFonts w:ascii="Times New Roman" w:hAnsi="Times New Roman" w:cs="Times New Roman"/>
          <w:sz w:val="24"/>
          <w:szCs w:val="24"/>
        </w:rPr>
        <w:t xml:space="preserve">As set out in this report, we solve both problems by using USAGE-TERM to provide estimates of </w:t>
      </w:r>
      <w:r w:rsidR="005174DD">
        <w:rPr>
          <w:rFonts w:ascii="Times New Roman" w:hAnsi="Times New Roman" w:cs="Times New Roman"/>
          <w:sz w:val="24"/>
          <w:szCs w:val="24"/>
        </w:rPr>
        <w:t>elasticity</w:t>
      </w:r>
      <w:r w:rsidR="005174DD">
        <w:rPr>
          <w:rStyle w:val="FootnoteReference"/>
          <w:rFonts w:cs="Times New Roman"/>
          <w:sz w:val="24"/>
          <w:szCs w:val="24"/>
        </w:rPr>
        <w:footnoteReference w:id="3"/>
      </w:r>
      <w:r>
        <w:rPr>
          <w:rFonts w:ascii="Times New Roman" w:hAnsi="Times New Roman" w:cs="Times New Roman"/>
          <w:sz w:val="24"/>
          <w:szCs w:val="24"/>
        </w:rPr>
        <w:t xml:space="preserve"> coefficients of the form E(s,d,v).  The s argument in these coefficients refers to the driving factor, one of the 14 factors in the first list </w:t>
      </w:r>
      <w:r w:rsidR="001E7F73">
        <w:rPr>
          <w:rFonts w:ascii="Times New Roman" w:hAnsi="Times New Roman" w:cs="Times New Roman"/>
          <w:sz w:val="24"/>
          <w:szCs w:val="24"/>
        </w:rPr>
        <w:t>in section 1</w:t>
      </w:r>
      <w:r>
        <w:rPr>
          <w:rFonts w:ascii="Times New Roman" w:hAnsi="Times New Roman" w:cs="Times New Roman"/>
          <w:sz w:val="24"/>
          <w:szCs w:val="24"/>
        </w:rPr>
        <w:t xml:space="preserve">.  In economic modeling jargon, s is the shock variable: capital destruction; clean-up expenditure; etc.  The d argument refers to the target region.  This is the congressional district in which the shock takes place.  </w:t>
      </w:r>
      <w:r w:rsidR="00BE6998">
        <w:rPr>
          <w:rFonts w:ascii="Times New Roman" w:hAnsi="Times New Roman" w:cs="Times New Roman"/>
          <w:sz w:val="24"/>
          <w:szCs w:val="24"/>
        </w:rPr>
        <w:t xml:space="preserve">For this study, we include the </w:t>
      </w:r>
      <w:r w:rsidR="00E25AA4">
        <w:rPr>
          <w:rFonts w:ascii="Times New Roman" w:hAnsi="Times New Roman" w:cs="Times New Roman"/>
          <w:sz w:val="24"/>
          <w:szCs w:val="24"/>
        </w:rPr>
        <w:t>170</w:t>
      </w:r>
      <w:r w:rsidR="00BE6998">
        <w:rPr>
          <w:rFonts w:ascii="Times New Roman" w:hAnsi="Times New Roman" w:cs="Times New Roman"/>
          <w:sz w:val="24"/>
          <w:szCs w:val="24"/>
        </w:rPr>
        <w:t xml:space="preserve"> </w:t>
      </w:r>
      <w:r w:rsidR="001E7F73">
        <w:rPr>
          <w:rFonts w:ascii="Times New Roman" w:hAnsi="Times New Roman" w:cs="Times New Roman"/>
          <w:sz w:val="24"/>
          <w:szCs w:val="24"/>
        </w:rPr>
        <w:t>congressional</w:t>
      </w:r>
      <w:r w:rsidR="00B835CD">
        <w:rPr>
          <w:rFonts w:ascii="Times New Roman" w:hAnsi="Times New Roman" w:cs="Times New Roman"/>
          <w:sz w:val="24"/>
          <w:szCs w:val="24"/>
        </w:rPr>
        <w:t xml:space="preserve"> </w:t>
      </w:r>
      <w:r w:rsidR="00BE6998">
        <w:rPr>
          <w:rFonts w:ascii="Times New Roman" w:hAnsi="Times New Roman" w:cs="Times New Roman"/>
          <w:sz w:val="24"/>
          <w:szCs w:val="24"/>
        </w:rPr>
        <w:t>districts</w:t>
      </w:r>
      <w:r w:rsidR="00275BFA">
        <w:rPr>
          <w:rFonts w:ascii="Times New Roman" w:hAnsi="Times New Roman" w:cs="Times New Roman"/>
          <w:sz w:val="24"/>
          <w:szCs w:val="24"/>
        </w:rPr>
        <w:t xml:space="preserve"> of interest to the TRA groups, that is </w:t>
      </w:r>
      <w:r w:rsidR="001E7F73">
        <w:rPr>
          <w:rFonts w:ascii="Times New Roman" w:hAnsi="Times New Roman" w:cs="Times New Roman"/>
          <w:sz w:val="24"/>
          <w:szCs w:val="24"/>
        </w:rPr>
        <w:t xml:space="preserve"> </w:t>
      </w:r>
      <w:r w:rsidR="00275BFA">
        <w:rPr>
          <w:rFonts w:ascii="Times New Roman" w:hAnsi="Times New Roman" w:cs="Times New Roman"/>
          <w:sz w:val="24"/>
          <w:szCs w:val="24"/>
        </w:rPr>
        <w:t xml:space="preserve">districts </w:t>
      </w:r>
      <w:r w:rsidR="00BE6998">
        <w:rPr>
          <w:rFonts w:ascii="Times New Roman" w:hAnsi="Times New Roman" w:cs="Times New Roman"/>
          <w:sz w:val="24"/>
          <w:szCs w:val="24"/>
        </w:rPr>
        <w:t xml:space="preserve">located in cities of sufficient size to be potential terrorism targets.  </w:t>
      </w:r>
      <w:r>
        <w:rPr>
          <w:rFonts w:ascii="Times New Roman" w:hAnsi="Times New Roman" w:cs="Times New Roman"/>
          <w:sz w:val="24"/>
          <w:szCs w:val="24"/>
        </w:rPr>
        <w:t xml:space="preserve">The v argument refers to an economic </w:t>
      </w:r>
      <w:r w:rsidR="005174DD">
        <w:rPr>
          <w:rFonts w:ascii="Times New Roman" w:hAnsi="Times New Roman" w:cs="Times New Roman"/>
          <w:sz w:val="24"/>
          <w:szCs w:val="24"/>
        </w:rPr>
        <w:t>implication</w:t>
      </w:r>
      <w:r>
        <w:rPr>
          <w:rFonts w:ascii="Times New Roman" w:hAnsi="Times New Roman" w:cs="Times New Roman"/>
          <w:sz w:val="24"/>
          <w:szCs w:val="24"/>
        </w:rPr>
        <w:t xml:space="preserve"> variable, one of the </w:t>
      </w:r>
      <w:r w:rsidR="005174DD">
        <w:rPr>
          <w:rFonts w:ascii="Times New Roman" w:hAnsi="Times New Roman" w:cs="Times New Roman"/>
          <w:sz w:val="24"/>
          <w:szCs w:val="24"/>
        </w:rPr>
        <w:t>ten</w:t>
      </w:r>
      <w:r>
        <w:rPr>
          <w:rFonts w:ascii="Times New Roman" w:hAnsi="Times New Roman" w:cs="Times New Roman"/>
          <w:sz w:val="24"/>
          <w:szCs w:val="24"/>
        </w:rPr>
        <w:t xml:space="preserve"> in the second list </w:t>
      </w:r>
      <w:r w:rsidR="001E7F73">
        <w:rPr>
          <w:rFonts w:ascii="Times New Roman" w:hAnsi="Times New Roman" w:cs="Times New Roman"/>
          <w:sz w:val="24"/>
          <w:szCs w:val="24"/>
        </w:rPr>
        <w:t>in section 1</w:t>
      </w:r>
      <w:r>
        <w:rPr>
          <w:rFonts w:ascii="Times New Roman" w:hAnsi="Times New Roman" w:cs="Times New Roman"/>
          <w:sz w:val="24"/>
          <w:szCs w:val="24"/>
        </w:rPr>
        <w:t xml:space="preserve">.  </w:t>
      </w:r>
      <w:r w:rsidR="005174DD">
        <w:rPr>
          <w:rFonts w:ascii="Times New Roman" w:hAnsi="Times New Roman" w:cs="Times New Roman"/>
          <w:sz w:val="24"/>
          <w:szCs w:val="24"/>
        </w:rPr>
        <w:t xml:space="preserve">Thus, </w:t>
      </w:r>
      <w:r>
        <w:rPr>
          <w:rFonts w:ascii="Times New Roman" w:hAnsi="Times New Roman" w:cs="Times New Roman"/>
          <w:sz w:val="24"/>
          <w:szCs w:val="24"/>
        </w:rPr>
        <w:t xml:space="preserve">E(s,d,v) is </w:t>
      </w:r>
      <w:r w:rsidR="005174DD">
        <w:rPr>
          <w:rFonts w:ascii="Times New Roman" w:hAnsi="Times New Roman" w:cs="Times New Roman"/>
          <w:sz w:val="24"/>
          <w:szCs w:val="24"/>
        </w:rPr>
        <w:t>the</w:t>
      </w:r>
      <w:r>
        <w:rPr>
          <w:rFonts w:ascii="Times New Roman" w:hAnsi="Times New Roman" w:cs="Times New Roman"/>
          <w:sz w:val="24"/>
          <w:szCs w:val="24"/>
        </w:rPr>
        <w:t xml:space="preserve"> elasticity of variable v with respect to a shock of type s occurring in region d.  For example, E(s,d,v) could be the elasticity of GDP in year 1(v) with respect to destruction of capital (s) in California congressional district 34 (d).  </w:t>
      </w:r>
    </w:p>
    <w:p w:rsidR="009D0665" w:rsidRDefault="009D0665" w:rsidP="000418E3">
      <w:pPr>
        <w:rPr>
          <w:rFonts w:ascii="Times New Roman" w:hAnsi="Times New Roman" w:cs="Times New Roman"/>
          <w:sz w:val="24"/>
          <w:szCs w:val="24"/>
        </w:rPr>
      </w:pPr>
      <w:r>
        <w:rPr>
          <w:rFonts w:ascii="Times New Roman" w:hAnsi="Times New Roman" w:cs="Times New Roman"/>
          <w:sz w:val="24"/>
          <w:szCs w:val="24"/>
        </w:rPr>
        <w:t>We</w:t>
      </w:r>
      <w:r w:rsidR="000418E3">
        <w:rPr>
          <w:rFonts w:ascii="Times New Roman" w:hAnsi="Times New Roman" w:cs="Times New Roman"/>
          <w:sz w:val="24"/>
          <w:szCs w:val="24"/>
        </w:rPr>
        <w:t xml:space="preserve"> provide </w:t>
      </w:r>
      <w:r>
        <w:rPr>
          <w:rFonts w:ascii="Times New Roman" w:hAnsi="Times New Roman" w:cs="Times New Roman"/>
          <w:sz w:val="24"/>
          <w:szCs w:val="24"/>
        </w:rPr>
        <w:t xml:space="preserve">2 sets of elasticities calculated under different assumptions: Keynesian and Neoclassical.  Keynesian assumptions are suitable if </w:t>
      </w:r>
      <w:r w:rsidR="00134588">
        <w:rPr>
          <w:rFonts w:ascii="Times New Roman" w:hAnsi="Times New Roman" w:cs="Times New Roman"/>
          <w:sz w:val="24"/>
          <w:szCs w:val="24"/>
        </w:rPr>
        <w:t xml:space="preserve">there are </w:t>
      </w:r>
      <w:r>
        <w:rPr>
          <w:rFonts w:ascii="Times New Roman" w:hAnsi="Times New Roman" w:cs="Times New Roman"/>
          <w:sz w:val="24"/>
          <w:szCs w:val="24"/>
        </w:rPr>
        <w:t>high levels of unemployment and under-utilization of capital in the year of the terrorism event</w:t>
      </w:r>
      <w:r w:rsidR="00134588">
        <w:rPr>
          <w:rFonts w:ascii="Times New Roman" w:hAnsi="Times New Roman" w:cs="Times New Roman"/>
          <w:sz w:val="24"/>
          <w:szCs w:val="24"/>
        </w:rPr>
        <w:t>.</w:t>
      </w:r>
      <w:r>
        <w:rPr>
          <w:rFonts w:ascii="Times New Roman" w:hAnsi="Times New Roman" w:cs="Times New Roman"/>
          <w:sz w:val="24"/>
          <w:szCs w:val="24"/>
        </w:rPr>
        <w:t xml:space="preserve">  With normal levels of employment and capital utilization, Neoclassical assumptions are suitable.  Our view is that Neoclassical assumptions wou</w:t>
      </w:r>
      <w:r w:rsidR="00134588">
        <w:rPr>
          <w:rFonts w:ascii="Times New Roman" w:hAnsi="Times New Roman" w:cs="Times New Roman"/>
          <w:sz w:val="24"/>
          <w:szCs w:val="24"/>
        </w:rPr>
        <w:t>l</w:t>
      </w:r>
      <w:r>
        <w:rPr>
          <w:rFonts w:ascii="Times New Roman" w:hAnsi="Times New Roman" w:cs="Times New Roman"/>
          <w:sz w:val="24"/>
          <w:szCs w:val="24"/>
        </w:rPr>
        <w:t xml:space="preserve">d be suitable for events happening in 2015 or 16.  The difference between the two assumptions is that expenditures (e.g. </w:t>
      </w:r>
      <w:r w:rsidR="00B6529C">
        <w:rPr>
          <w:rFonts w:ascii="Times New Roman" w:hAnsi="Times New Roman" w:cs="Times New Roman"/>
          <w:sz w:val="24"/>
          <w:szCs w:val="24"/>
        </w:rPr>
        <w:t>clean-up</w:t>
      </w:r>
      <w:r>
        <w:rPr>
          <w:rFonts w:ascii="Times New Roman" w:hAnsi="Times New Roman" w:cs="Times New Roman"/>
          <w:sz w:val="24"/>
          <w:szCs w:val="24"/>
        </w:rPr>
        <w:t xml:space="preserve">) </w:t>
      </w:r>
      <w:r w:rsidR="00134588">
        <w:rPr>
          <w:rFonts w:ascii="Times New Roman" w:hAnsi="Times New Roman" w:cs="Times New Roman"/>
          <w:sz w:val="24"/>
          <w:szCs w:val="24"/>
        </w:rPr>
        <w:t xml:space="preserve">undertaken in an underemployed economy are less costly in terms of economic welfare than expenditures undertaken in an economy with normal levels of employment.  In an underemployed economy, the opportunity cost of devoting resources to </w:t>
      </w:r>
      <w:r w:rsidR="00B6529C">
        <w:rPr>
          <w:rFonts w:ascii="Times New Roman" w:hAnsi="Times New Roman" w:cs="Times New Roman"/>
          <w:sz w:val="24"/>
          <w:szCs w:val="24"/>
        </w:rPr>
        <w:t>clean-up</w:t>
      </w:r>
      <w:r w:rsidR="00134588">
        <w:rPr>
          <w:rFonts w:ascii="Times New Roman" w:hAnsi="Times New Roman" w:cs="Times New Roman"/>
          <w:sz w:val="24"/>
          <w:szCs w:val="24"/>
        </w:rPr>
        <w:t xml:space="preserve"> etc is lower than in an economy with normal employment.   </w:t>
      </w:r>
      <w:r>
        <w:rPr>
          <w:rFonts w:ascii="Times New Roman" w:hAnsi="Times New Roman" w:cs="Times New Roman"/>
          <w:sz w:val="24"/>
          <w:szCs w:val="24"/>
        </w:rPr>
        <w:t xml:space="preserve"> </w:t>
      </w:r>
    </w:p>
    <w:p w:rsidR="000418E3" w:rsidRDefault="00134588" w:rsidP="000418E3">
      <w:pPr>
        <w:rPr>
          <w:rFonts w:ascii="Times New Roman" w:hAnsi="Times New Roman" w:cs="Times New Roman"/>
          <w:sz w:val="24"/>
          <w:szCs w:val="24"/>
        </w:rPr>
      </w:pPr>
      <w:r>
        <w:rPr>
          <w:rFonts w:ascii="Times New Roman" w:hAnsi="Times New Roman" w:cs="Times New Roman"/>
          <w:sz w:val="24"/>
          <w:szCs w:val="24"/>
        </w:rPr>
        <w:t>E</w:t>
      </w:r>
      <w:r w:rsidR="009D0665">
        <w:rPr>
          <w:rFonts w:ascii="Times New Roman" w:hAnsi="Times New Roman" w:cs="Times New Roman"/>
          <w:sz w:val="24"/>
          <w:szCs w:val="24"/>
        </w:rPr>
        <w:t xml:space="preserve">ach </w:t>
      </w:r>
      <w:r>
        <w:rPr>
          <w:rFonts w:ascii="Times New Roman" w:hAnsi="Times New Roman" w:cs="Times New Roman"/>
          <w:sz w:val="24"/>
          <w:szCs w:val="24"/>
        </w:rPr>
        <w:t>of the sets of elasticities E(s,d,v) contains 23,</w:t>
      </w:r>
      <w:r w:rsidR="00E25AA4">
        <w:rPr>
          <w:rFonts w:ascii="Times New Roman" w:hAnsi="Times New Roman" w:cs="Times New Roman"/>
          <w:sz w:val="24"/>
          <w:szCs w:val="24"/>
        </w:rPr>
        <w:t>800</w:t>
      </w:r>
      <w:r>
        <w:rPr>
          <w:rFonts w:ascii="Times New Roman" w:hAnsi="Times New Roman" w:cs="Times New Roman"/>
          <w:sz w:val="24"/>
          <w:szCs w:val="24"/>
        </w:rPr>
        <w:t xml:space="preserve"> components: </w:t>
      </w:r>
      <w:r w:rsidR="000418E3">
        <w:rPr>
          <w:rFonts w:ascii="Times New Roman" w:hAnsi="Times New Roman" w:cs="Times New Roman"/>
          <w:sz w:val="24"/>
          <w:szCs w:val="24"/>
        </w:rPr>
        <w:t>a three dimensional array with 14 s values</w:t>
      </w:r>
      <w:r w:rsidR="00275BFA">
        <w:rPr>
          <w:rFonts w:ascii="Times New Roman" w:hAnsi="Times New Roman" w:cs="Times New Roman"/>
          <w:sz w:val="24"/>
          <w:szCs w:val="24"/>
        </w:rPr>
        <w:t xml:space="preserve"> (</w:t>
      </w:r>
      <w:r w:rsidR="00BE6998">
        <w:rPr>
          <w:rFonts w:ascii="Times New Roman" w:hAnsi="Times New Roman" w:cs="Times New Roman"/>
          <w:sz w:val="24"/>
          <w:szCs w:val="24"/>
        </w:rPr>
        <w:t>the</w:t>
      </w:r>
      <w:r w:rsidR="00275BFA">
        <w:rPr>
          <w:rFonts w:ascii="Times New Roman" w:hAnsi="Times New Roman" w:cs="Times New Roman"/>
          <w:sz w:val="24"/>
          <w:szCs w:val="24"/>
        </w:rPr>
        <w:t xml:space="preserve"> </w:t>
      </w:r>
      <w:r w:rsidR="000418E3">
        <w:rPr>
          <w:rFonts w:ascii="Times New Roman" w:hAnsi="Times New Roman" w:cs="Times New Roman"/>
          <w:sz w:val="24"/>
          <w:szCs w:val="24"/>
        </w:rPr>
        <w:t>types of shocks</w:t>
      </w:r>
      <w:r w:rsidR="00275BFA">
        <w:rPr>
          <w:rFonts w:ascii="Times New Roman" w:hAnsi="Times New Roman" w:cs="Times New Roman"/>
          <w:sz w:val="24"/>
          <w:szCs w:val="24"/>
        </w:rPr>
        <w:t>)</w:t>
      </w:r>
      <w:r w:rsidR="000418E3">
        <w:rPr>
          <w:rFonts w:ascii="Times New Roman" w:hAnsi="Times New Roman" w:cs="Times New Roman"/>
          <w:sz w:val="24"/>
          <w:szCs w:val="24"/>
        </w:rPr>
        <w:t xml:space="preserve">; </w:t>
      </w:r>
      <w:r w:rsidR="00E25AA4">
        <w:rPr>
          <w:rFonts w:ascii="Times New Roman" w:hAnsi="Times New Roman" w:cs="Times New Roman"/>
          <w:sz w:val="24"/>
          <w:szCs w:val="24"/>
        </w:rPr>
        <w:t>170</w:t>
      </w:r>
      <w:r w:rsidR="00275BFA">
        <w:rPr>
          <w:rFonts w:ascii="Times New Roman" w:hAnsi="Times New Roman" w:cs="Times New Roman"/>
          <w:sz w:val="24"/>
          <w:szCs w:val="24"/>
        </w:rPr>
        <w:t xml:space="preserve"> d values (the </w:t>
      </w:r>
      <w:r w:rsidR="00B835CD">
        <w:rPr>
          <w:rFonts w:ascii="Times New Roman" w:hAnsi="Times New Roman" w:cs="Times New Roman"/>
          <w:sz w:val="24"/>
          <w:szCs w:val="24"/>
        </w:rPr>
        <w:t>congressional</w:t>
      </w:r>
      <w:r w:rsidR="00275BFA">
        <w:rPr>
          <w:rFonts w:ascii="Times New Roman" w:hAnsi="Times New Roman" w:cs="Times New Roman"/>
          <w:sz w:val="24"/>
          <w:szCs w:val="24"/>
        </w:rPr>
        <w:t xml:space="preserve"> districts of interest); and </w:t>
      </w:r>
      <w:r>
        <w:rPr>
          <w:rFonts w:ascii="Times New Roman" w:hAnsi="Times New Roman" w:cs="Times New Roman"/>
          <w:sz w:val="24"/>
          <w:szCs w:val="24"/>
        </w:rPr>
        <w:t>10 v value</w:t>
      </w:r>
      <w:r w:rsidR="00275BFA">
        <w:rPr>
          <w:rFonts w:ascii="Times New Roman" w:hAnsi="Times New Roman" w:cs="Times New Roman"/>
          <w:sz w:val="24"/>
          <w:szCs w:val="24"/>
        </w:rPr>
        <w:t>s (</w:t>
      </w:r>
      <w:r w:rsidR="00BE6998">
        <w:rPr>
          <w:rFonts w:ascii="Times New Roman" w:hAnsi="Times New Roman" w:cs="Times New Roman"/>
          <w:sz w:val="24"/>
          <w:szCs w:val="24"/>
        </w:rPr>
        <w:t>the</w:t>
      </w:r>
      <w:r w:rsidR="00275BFA">
        <w:rPr>
          <w:rFonts w:ascii="Times New Roman" w:hAnsi="Times New Roman" w:cs="Times New Roman"/>
          <w:sz w:val="24"/>
          <w:szCs w:val="24"/>
        </w:rPr>
        <w:t xml:space="preserve"> </w:t>
      </w:r>
      <w:r>
        <w:rPr>
          <w:rFonts w:ascii="Times New Roman" w:hAnsi="Times New Roman" w:cs="Times New Roman"/>
          <w:sz w:val="24"/>
          <w:szCs w:val="24"/>
        </w:rPr>
        <w:t>implication variables</w:t>
      </w:r>
      <w:r w:rsidR="00275BFA">
        <w:rPr>
          <w:rFonts w:ascii="Times New Roman" w:hAnsi="Times New Roman" w:cs="Times New Roman"/>
          <w:sz w:val="24"/>
          <w:szCs w:val="24"/>
        </w:rPr>
        <w:t xml:space="preserve">).  </w:t>
      </w:r>
      <w:r w:rsidR="000418E3">
        <w:rPr>
          <w:rFonts w:ascii="Times New Roman" w:hAnsi="Times New Roman" w:cs="Times New Roman"/>
          <w:sz w:val="24"/>
          <w:szCs w:val="24"/>
        </w:rPr>
        <w:t xml:space="preserve">For any given scenario, the TRA groups can calculate the approximate values for the </w:t>
      </w:r>
      <w:r w:rsidR="001F14F0">
        <w:rPr>
          <w:rFonts w:ascii="Times New Roman" w:hAnsi="Times New Roman" w:cs="Times New Roman"/>
          <w:sz w:val="24"/>
          <w:szCs w:val="24"/>
        </w:rPr>
        <w:t>10</w:t>
      </w:r>
      <w:r w:rsidR="000418E3">
        <w:rPr>
          <w:rFonts w:ascii="Times New Roman" w:hAnsi="Times New Roman" w:cs="Times New Roman"/>
          <w:sz w:val="24"/>
          <w:szCs w:val="24"/>
        </w:rPr>
        <w:t xml:space="preserve"> </w:t>
      </w:r>
      <w:r w:rsidR="005174DD">
        <w:rPr>
          <w:rFonts w:ascii="Times New Roman" w:hAnsi="Times New Roman" w:cs="Times New Roman"/>
          <w:sz w:val="24"/>
          <w:szCs w:val="24"/>
        </w:rPr>
        <w:t xml:space="preserve">implication </w:t>
      </w:r>
      <w:r w:rsidR="000418E3">
        <w:rPr>
          <w:rFonts w:ascii="Times New Roman" w:hAnsi="Times New Roman" w:cs="Times New Roman"/>
          <w:sz w:val="24"/>
          <w:szCs w:val="24"/>
        </w:rPr>
        <w:t>variables by picking the appropriate elasticities and carrying out the computation:</w:t>
      </w:r>
      <w:r w:rsidR="005174DD">
        <w:rPr>
          <w:rFonts w:ascii="Times New Roman" w:hAnsi="Times New Roman" w:cs="Times New Roman"/>
          <w:sz w:val="24"/>
          <w:szCs w:val="24"/>
        </w:rPr>
        <w:t xml:space="preserve"> </w:t>
      </w:r>
    </w:p>
    <w:p w:rsidR="000418E3" w:rsidRPr="008017BB" w:rsidRDefault="000418E3" w:rsidP="000418E3">
      <w:pPr>
        <w:pStyle w:val="ListParagraph"/>
        <w:tabs>
          <w:tab w:val="left" w:pos="567"/>
          <w:tab w:val="right" w:pos="8789"/>
        </w:tabs>
        <w:ind w:left="0"/>
        <w:contextualSpacing w:val="0"/>
        <w:rPr>
          <w:rFonts w:ascii="Times New Roman" w:hAnsi="Times New Roman" w:cs="Times New Roman"/>
          <w:sz w:val="24"/>
          <w:szCs w:val="24"/>
        </w:rPr>
      </w:pPr>
      <w:r w:rsidRPr="008017BB">
        <w:rPr>
          <w:rFonts w:ascii="Times New Roman" w:hAnsi="Times New Roman" w:cs="Times New Roman"/>
          <w:sz w:val="24"/>
          <w:szCs w:val="24"/>
        </w:rPr>
        <w:tab/>
      </w:r>
      <w:r w:rsidR="004B40A3" w:rsidRPr="0008174B">
        <w:rPr>
          <w:rFonts w:ascii="Times New Roman" w:hAnsi="Times New Roman" w:cs="Times New Roman"/>
          <w:position w:val="-28"/>
          <w:sz w:val="24"/>
          <w:szCs w:val="24"/>
        </w:rPr>
        <w:object w:dxaOrig="2180" w:dyaOrig="540">
          <v:shape id="_x0000_i1031" type="#_x0000_t75" style="width:108.75pt;height:27.75pt" o:ole="">
            <v:imagedata r:id="rId23" o:title=""/>
          </v:shape>
          <o:OLEObject Type="Embed" ProgID="Equation.DSMT4" ShapeID="_x0000_i1031" DrawAspect="Content" ObjectID="_1553159839" r:id="rId24"/>
        </w:object>
      </w:r>
      <w:r>
        <w:rPr>
          <w:rFonts w:ascii="Times New Roman" w:hAnsi="Times New Roman" w:cs="Times New Roman"/>
          <w:sz w:val="24"/>
          <w:szCs w:val="24"/>
        </w:rPr>
        <w:t xml:space="preserve">   </w:t>
      </w:r>
      <w:r w:rsidR="002A517D">
        <w:rPr>
          <w:rFonts w:ascii="Times New Roman" w:hAnsi="Times New Roman" w:cs="Times New Roman"/>
          <w:sz w:val="24"/>
          <w:szCs w:val="24"/>
        </w:rPr>
        <w:t>for all v</w:t>
      </w:r>
      <w:r w:rsidR="002A517D">
        <w:rPr>
          <w:rFonts w:ascii="Times New Roman" w:hAnsi="Times New Roman" w:cs="Times New Roman"/>
          <w:sz w:val="24"/>
          <w:szCs w:val="24"/>
        </w:rPr>
        <w:sym w:font="Symbol" w:char="F0CE"/>
      </w:r>
      <w:r w:rsidR="002A517D">
        <w:rPr>
          <w:rFonts w:ascii="Times New Roman" w:hAnsi="Times New Roman" w:cs="Times New Roman"/>
          <w:sz w:val="24"/>
          <w:szCs w:val="24"/>
        </w:rPr>
        <w:t>V</w:t>
      </w:r>
      <w:r w:rsidRPr="008017BB">
        <w:rPr>
          <w:rFonts w:ascii="Times New Roman" w:hAnsi="Times New Roman" w:cs="Times New Roman"/>
          <w:sz w:val="24"/>
          <w:szCs w:val="24"/>
        </w:rPr>
        <w:tab/>
        <w:t>(</w:t>
      </w:r>
      <w:r w:rsidR="00F7638B">
        <w:rPr>
          <w:rFonts w:ascii="Times New Roman" w:hAnsi="Times New Roman" w:cs="Times New Roman"/>
          <w:sz w:val="24"/>
          <w:szCs w:val="24"/>
        </w:rPr>
        <w:t>3.1</w:t>
      </w:r>
      <w:r w:rsidRPr="008017BB">
        <w:rPr>
          <w:rFonts w:ascii="Times New Roman" w:hAnsi="Times New Roman" w:cs="Times New Roman"/>
          <w:sz w:val="24"/>
          <w:szCs w:val="24"/>
        </w:rPr>
        <w:t>)</w:t>
      </w:r>
    </w:p>
    <w:p w:rsidR="000418E3" w:rsidRDefault="000418E3" w:rsidP="000418E3">
      <w:pPr>
        <w:rPr>
          <w:rFonts w:ascii="Times New Roman" w:hAnsi="Times New Roman" w:cs="Times New Roman"/>
          <w:sz w:val="24"/>
          <w:szCs w:val="24"/>
        </w:rPr>
      </w:pPr>
      <w:r>
        <w:rPr>
          <w:rFonts w:ascii="Times New Roman" w:hAnsi="Times New Roman" w:cs="Times New Roman"/>
          <w:sz w:val="24"/>
          <w:szCs w:val="24"/>
        </w:rPr>
        <w:t>In this equation</w:t>
      </w:r>
      <w:r w:rsidR="00275BFA">
        <w:rPr>
          <w:rFonts w:ascii="Times New Roman" w:hAnsi="Times New Roman" w:cs="Times New Roman"/>
          <w:sz w:val="24"/>
          <w:szCs w:val="24"/>
        </w:rPr>
        <w:t xml:space="preserve"> A refers to the assumption of Keynesian or Neoclassical conditions and</w:t>
      </w:r>
      <w:r>
        <w:rPr>
          <w:rFonts w:ascii="Times New Roman" w:hAnsi="Times New Roman" w:cs="Times New Roman"/>
          <w:sz w:val="24"/>
          <w:szCs w:val="24"/>
        </w:rPr>
        <w:t xml:space="preserve"> j refers to the scenario under examination. </w:t>
      </w:r>
      <w:r w:rsidR="00D1116F">
        <w:rPr>
          <w:rFonts w:ascii="Times New Roman" w:hAnsi="Times New Roman" w:cs="Times New Roman"/>
          <w:sz w:val="24"/>
          <w:szCs w:val="24"/>
        </w:rPr>
        <w:t xml:space="preserve"> </w:t>
      </w:r>
      <w:r w:rsidR="00F7638B">
        <w:rPr>
          <w:rFonts w:ascii="Times New Roman" w:hAnsi="Times New Roman" w:cs="Times New Roman"/>
          <w:sz w:val="24"/>
          <w:szCs w:val="24"/>
        </w:rPr>
        <w:t xml:space="preserve">V is the set of implication variables and </w:t>
      </w:r>
      <w:r>
        <w:rPr>
          <w:rFonts w:ascii="Times New Roman" w:hAnsi="Times New Roman" w:cs="Times New Roman"/>
          <w:sz w:val="24"/>
          <w:szCs w:val="24"/>
        </w:rPr>
        <w:t>v</w:t>
      </w:r>
      <w:r>
        <w:rPr>
          <w:rFonts w:ascii="Times New Roman" w:hAnsi="Times New Roman" w:cs="Times New Roman"/>
          <w:sz w:val="24"/>
          <w:szCs w:val="24"/>
          <w:vertAlign w:val="subscript"/>
        </w:rPr>
        <w:t>j</w:t>
      </w:r>
      <w:r>
        <w:rPr>
          <w:rFonts w:ascii="Times New Roman" w:hAnsi="Times New Roman" w:cs="Times New Roman"/>
          <w:sz w:val="24"/>
          <w:szCs w:val="24"/>
        </w:rPr>
        <w:t xml:space="preserve"> is the outcome </w:t>
      </w:r>
      <w:r w:rsidR="00F7638B">
        <w:rPr>
          <w:rFonts w:ascii="Times New Roman" w:hAnsi="Times New Roman" w:cs="Times New Roman"/>
          <w:sz w:val="24"/>
          <w:szCs w:val="24"/>
        </w:rPr>
        <w:t xml:space="preserve">in scenario j </w:t>
      </w:r>
      <w:r>
        <w:rPr>
          <w:rFonts w:ascii="Times New Roman" w:hAnsi="Times New Roman" w:cs="Times New Roman"/>
          <w:sz w:val="24"/>
          <w:szCs w:val="24"/>
        </w:rPr>
        <w:t>for variable v</w:t>
      </w:r>
      <w:r w:rsidR="00F7638B">
        <w:rPr>
          <w:rFonts w:ascii="Times New Roman" w:hAnsi="Times New Roman" w:cs="Times New Roman"/>
          <w:sz w:val="24"/>
          <w:szCs w:val="24"/>
        </w:rPr>
        <w:t xml:space="preserve"> in V</w:t>
      </w:r>
      <w:r>
        <w:rPr>
          <w:rFonts w:ascii="Times New Roman" w:hAnsi="Times New Roman" w:cs="Times New Roman"/>
          <w:sz w:val="24"/>
          <w:szCs w:val="24"/>
        </w:rPr>
        <w:t>, that is the effect on GDP in year 1, etc.  S is the set of shock types, that is capital destruction, etc</w:t>
      </w:r>
      <w:r w:rsidR="00F7638B">
        <w:rPr>
          <w:rFonts w:ascii="Times New Roman" w:hAnsi="Times New Roman" w:cs="Times New Roman"/>
          <w:sz w:val="24"/>
          <w:szCs w:val="24"/>
        </w:rPr>
        <w:t xml:space="preserve">.  </w:t>
      </w:r>
      <w:r>
        <w:rPr>
          <w:rFonts w:ascii="Times New Roman" w:hAnsi="Times New Roman" w:cs="Times New Roman"/>
          <w:sz w:val="24"/>
          <w:szCs w:val="24"/>
        </w:rPr>
        <w:t>s</w:t>
      </w:r>
      <w:r>
        <w:rPr>
          <w:rFonts w:ascii="Times New Roman" w:hAnsi="Times New Roman" w:cs="Times New Roman"/>
          <w:sz w:val="24"/>
          <w:szCs w:val="24"/>
          <w:vertAlign w:val="subscript"/>
        </w:rPr>
        <w:t>j</w:t>
      </w:r>
      <w:r>
        <w:rPr>
          <w:rFonts w:ascii="Times New Roman" w:hAnsi="Times New Roman" w:cs="Times New Roman"/>
          <w:sz w:val="24"/>
          <w:szCs w:val="24"/>
        </w:rPr>
        <w:t xml:space="preserve"> is the shock applied to driving variable s in </w:t>
      </w:r>
      <w:r>
        <w:rPr>
          <w:rFonts w:ascii="Times New Roman" w:hAnsi="Times New Roman" w:cs="Times New Roman"/>
          <w:sz w:val="24"/>
          <w:szCs w:val="24"/>
        </w:rPr>
        <w:lastRenderedPageBreak/>
        <w:t>scenario j, e.g. 15 per cent capital destruction in the target region.  d</w:t>
      </w:r>
      <w:r>
        <w:rPr>
          <w:rFonts w:ascii="Times New Roman" w:hAnsi="Times New Roman" w:cs="Times New Roman"/>
          <w:sz w:val="24"/>
          <w:szCs w:val="24"/>
          <w:vertAlign w:val="subscript"/>
        </w:rPr>
        <w:t>j</w:t>
      </w:r>
      <w:r>
        <w:rPr>
          <w:rFonts w:ascii="Times New Roman" w:hAnsi="Times New Roman" w:cs="Times New Roman"/>
          <w:sz w:val="24"/>
          <w:szCs w:val="24"/>
        </w:rPr>
        <w:t xml:space="preserve"> is the </w:t>
      </w:r>
      <w:r w:rsidR="00B835CD">
        <w:rPr>
          <w:rFonts w:ascii="Times New Roman" w:hAnsi="Times New Roman" w:cs="Times New Roman"/>
          <w:sz w:val="24"/>
          <w:szCs w:val="24"/>
        </w:rPr>
        <w:t>congressional</w:t>
      </w:r>
      <w:r>
        <w:rPr>
          <w:rFonts w:ascii="Times New Roman" w:hAnsi="Times New Roman" w:cs="Times New Roman"/>
          <w:sz w:val="24"/>
          <w:szCs w:val="24"/>
        </w:rPr>
        <w:t xml:space="preserve"> district in which the scenario-j </w:t>
      </w:r>
      <w:r w:rsidR="00275BFA">
        <w:rPr>
          <w:rFonts w:ascii="Times New Roman" w:hAnsi="Times New Roman" w:cs="Times New Roman"/>
          <w:sz w:val="24"/>
          <w:szCs w:val="24"/>
        </w:rPr>
        <w:t>event</w:t>
      </w:r>
      <w:r>
        <w:rPr>
          <w:rFonts w:ascii="Times New Roman" w:hAnsi="Times New Roman" w:cs="Times New Roman"/>
          <w:sz w:val="24"/>
          <w:szCs w:val="24"/>
        </w:rPr>
        <w:t xml:space="preserve"> takes place.  </w:t>
      </w:r>
    </w:p>
    <w:p w:rsidR="000418E3" w:rsidRDefault="000418E3" w:rsidP="000418E3">
      <w:pPr>
        <w:rPr>
          <w:rFonts w:ascii="Times New Roman" w:hAnsi="Times New Roman" w:cs="Times New Roman"/>
          <w:sz w:val="24"/>
          <w:szCs w:val="24"/>
        </w:rPr>
      </w:pPr>
      <w:r>
        <w:rPr>
          <w:rFonts w:ascii="Times New Roman" w:hAnsi="Times New Roman" w:cs="Times New Roman"/>
          <w:sz w:val="24"/>
          <w:szCs w:val="24"/>
        </w:rPr>
        <w:t>Equation (</w:t>
      </w:r>
      <w:r w:rsidR="00D1116F">
        <w:rPr>
          <w:rFonts w:ascii="Times New Roman" w:hAnsi="Times New Roman" w:cs="Times New Roman"/>
          <w:sz w:val="24"/>
          <w:szCs w:val="24"/>
        </w:rPr>
        <w:t>3.1</w:t>
      </w:r>
      <w:r>
        <w:rPr>
          <w:rFonts w:ascii="Times New Roman" w:hAnsi="Times New Roman" w:cs="Times New Roman"/>
          <w:sz w:val="24"/>
          <w:szCs w:val="24"/>
        </w:rPr>
        <w:t xml:space="preserve">) solves the computational problem.  The computation required by the TRA groups to evaluate the effects of any given scenario j is trivial and can be performed in nanoseconds.  All of the difficult CGE modeling and computations are pre-performed by the CGE specialists in the estimation of the E’s.  The TRA groups simply receive the E coefficients.  </w:t>
      </w:r>
    </w:p>
    <w:p w:rsidR="000418E3" w:rsidRDefault="000418E3" w:rsidP="000418E3">
      <w:pPr>
        <w:rPr>
          <w:rFonts w:ascii="Times New Roman" w:hAnsi="Times New Roman" w:cs="Times New Roman"/>
          <w:sz w:val="24"/>
          <w:szCs w:val="24"/>
        </w:rPr>
      </w:pPr>
      <w:r>
        <w:rPr>
          <w:rFonts w:ascii="Times New Roman" w:hAnsi="Times New Roman" w:cs="Times New Roman"/>
          <w:sz w:val="24"/>
          <w:szCs w:val="24"/>
        </w:rPr>
        <w:t>Equation (</w:t>
      </w:r>
      <w:r w:rsidR="00D1116F">
        <w:rPr>
          <w:rFonts w:ascii="Times New Roman" w:hAnsi="Times New Roman" w:cs="Times New Roman"/>
          <w:sz w:val="24"/>
          <w:szCs w:val="24"/>
        </w:rPr>
        <w:t>3.1</w:t>
      </w:r>
      <w:r>
        <w:rPr>
          <w:rFonts w:ascii="Times New Roman" w:hAnsi="Times New Roman" w:cs="Times New Roman"/>
          <w:sz w:val="24"/>
          <w:szCs w:val="24"/>
        </w:rPr>
        <w:t>) also solves the security problem.  The CGE team never needs to know the nature of the terrorism incidents under consideration or the values of the shocks, s</w:t>
      </w:r>
      <w:r>
        <w:rPr>
          <w:rFonts w:ascii="Times New Roman" w:hAnsi="Times New Roman" w:cs="Times New Roman"/>
          <w:sz w:val="24"/>
          <w:szCs w:val="24"/>
          <w:vertAlign w:val="subscript"/>
        </w:rPr>
        <w:t>j</w:t>
      </w:r>
      <w:r>
        <w:rPr>
          <w:rFonts w:ascii="Times New Roman" w:hAnsi="Times New Roman" w:cs="Times New Roman"/>
          <w:sz w:val="24"/>
          <w:szCs w:val="24"/>
        </w:rPr>
        <w:t xml:space="preserve">.  </w:t>
      </w:r>
    </w:p>
    <w:p w:rsidR="000418E3" w:rsidRPr="00C26144" w:rsidRDefault="000418E3" w:rsidP="000418E3">
      <w:pPr>
        <w:rPr>
          <w:rFonts w:ascii="Times New Roman" w:hAnsi="Times New Roman" w:cs="Times New Roman"/>
          <w:sz w:val="24"/>
          <w:szCs w:val="24"/>
        </w:rPr>
      </w:pPr>
      <w:r>
        <w:rPr>
          <w:rFonts w:ascii="Times New Roman" w:hAnsi="Times New Roman" w:cs="Times New Roman"/>
          <w:sz w:val="24"/>
          <w:szCs w:val="24"/>
        </w:rPr>
        <w:t>As explained in detail in section 6</w:t>
      </w:r>
      <w:r w:rsidR="00D1116F">
        <w:rPr>
          <w:rFonts w:ascii="Times New Roman" w:hAnsi="Times New Roman" w:cs="Times New Roman"/>
          <w:sz w:val="24"/>
          <w:szCs w:val="24"/>
        </w:rPr>
        <w:t xml:space="preserve"> and appendix 1</w:t>
      </w:r>
      <w:r>
        <w:rPr>
          <w:rFonts w:ascii="Times New Roman" w:hAnsi="Times New Roman" w:cs="Times New Roman"/>
          <w:sz w:val="24"/>
          <w:szCs w:val="24"/>
        </w:rPr>
        <w:t>, we estimate the E coefficients by applying shocks in the CGE model and recording the outcomes for the economic implication variables listed in section 1.  Thus,</w:t>
      </w:r>
      <w:r w:rsidRPr="0016188E">
        <w:rPr>
          <w:rFonts w:ascii="Times New Roman" w:hAnsi="Times New Roman" w:cs="Times New Roman"/>
          <w:sz w:val="24"/>
          <w:szCs w:val="24"/>
        </w:rPr>
        <w:t xml:space="preserve"> </w:t>
      </w:r>
      <w:r>
        <w:rPr>
          <w:rFonts w:ascii="Times New Roman" w:hAnsi="Times New Roman" w:cs="Times New Roman"/>
          <w:sz w:val="24"/>
          <w:szCs w:val="24"/>
        </w:rPr>
        <w:t>equation (</w:t>
      </w:r>
      <w:r w:rsidR="00D1116F">
        <w:rPr>
          <w:rFonts w:ascii="Times New Roman" w:hAnsi="Times New Roman" w:cs="Times New Roman"/>
          <w:sz w:val="24"/>
          <w:szCs w:val="24"/>
        </w:rPr>
        <w:t>3.1</w:t>
      </w:r>
      <w:r>
        <w:rPr>
          <w:rFonts w:ascii="Times New Roman" w:hAnsi="Times New Roman" w:cs="Times New Roman"/>
          <w:sz w:val="24"/>
          <w:szCs w:val="24"/>
        </w:rPr>
        <w:t xml:space="preserve">) is a first-order approximation of the true solution from the CGE model.  </w:t>
      </w:r>
      <w:r w:rsidR="007A10B7">
        <w:rPr>
          <w:rFonts w:ascii="Times New Roman" w:hAnsi="Times New Roman" w:cs="Times New Roman"/>
          <w:sz w:val="24"/>
          <w:szCs w:val="24"/>
        </w:rPr>
        <w:t>Simplifying</w:t>
      </w:r>
      <w:r>
        <w:rPr>
          <w:rFonts w:ascii="Times New Roman" w:hAnsi="Times New Roman" w:cs="Times New Roman"/>
          <w:sz w:val="24"/>
          <w:szCs w:val="24"/>
        </w:rPr>
        <w:t xml:space="preserve"> the CGE calculation of the effects of any scenario j to a set of </w:t>
      </w:r>
      <w:r w:rsidR="001F14F0">
        <w:rPr>
          <w:rFonts w:ascii="Times New Roman" w:hAnsi="Times New Roman" w:cs="Times New Roman"/>
          <w:sz w:val="24"/>
          <w:szCs w:val="24"/>
        </w:rPr>
        <w:t>10</w:t>
      </w:r>
      <w:r>
        <w:rPr>
          <w:rFonts w:ascii="Times New Roman" w:hAnsi="Times New Roman" w:cs="Times New Roman"/>
          <w:sz w:val="24"/>
          <w:szCs w:val="24"/>
        </w:rPr>
        <w:t xml:space="preserve"> linear reduced-form equations (one for each of the </w:t>
      </w:r>
      <w:r w:rsidR="001F14F0">
        <w:rPr>
          <w:rFonts w:ascii="Times New Roman" w:hAnsi="Times New Roman" w:cs="Times New Roman"/>
          <w:sz w:val="24"/>
          <w:szCs w:val="24"/>
        </w:rPr>
        <w:t>10</w:t>
      </w:r>
      <w:r>
        <w:rPr>
          <w:rFonts w:ascii="Times New Roman" w:hAnsi="Times New Roman" w:cs="Times New Roman"/>
          <w:sz w:val="24"/>
          <w:szCs w:val="24"/>
        </w:rPr>
        <w:t xml:space="preserve"> </w:t>
      </w:r>
      <w:r w:rsidR="00D1116F">
        <w:rPr>
          <w:rFonts w:ascii="Times New Roman" w:hAnsi="Times New Roman" w:cs="Times New Roman"/>
          <w:sz w:val="24"/>
          <w:szCs w:val="24"/>
        </w:rPr>
        <w:t>implication</w:t>
      </w:r>
      <w:r>
        <w:rPr>
          <w:rFonts w:ascii="Times New Roman" w:hAnsi="Times New Roman" w:cs="Times New Roman"/>
          <w:sz w:val="24"/>
          <w:szCs w:val="24"/>
        </w:rPr>
        <w:t xml:space="preserve"> variables) comes at a cost.  In equation (</w:t>
      </w:r>
      <w:r w:rsidR="00D1116F">
        <w:rPr>
          <w:rFonts w:ascii="Times New Roman" w:hAnsi="Times New Roman" w:cs="Times New Roman"/>
          <w:sz w:val="24"/>
          <w:szCs w:val="24"/>
        </w:rPr>
        <w:t>3.1</w:t>
      </w:r>
      <w:r>
        <w:rPr>
          <w:rFonts w:ascii="Times New Roman" w:hAnsi="Times New Roman" w:cs="Times New Roman"/>
          <w:sz w:val="24"/>
          <w:szCs w:val="24"/>
        </w:rPr>
        <w:t xml:space="preserve">) the elasticities E(s,d,v) are treated as parameters, whereas in the CGE model they are variables.  We return to this topic in the conclusion where we consider future research directions.  </w:t>
      </w:r>
      <w:r w:rsidR="00D1116F">
        <w:rPr>
          <w:rFonts w:ascii="Times New Roman" w:hAnsi="Times New Roman" w:cs="Times New Roman"/>
          <w:sz w:val="24"/>
          <w:szCs w:val="24"/>
        </w:rPr>
        <w:t>T</w:t>
      </w:r>
      <w:r>
        <w:rPr>
          <w:rFonts w:ascii="Times New Roman" w:hAnsi="Times New Roman" w:cs="Times New Roman"/>
          <w:sz w:val="24"/>
          <w:szCs w:val="24"/>
        </w:rPr>
        <w:t>his report concentrate</w:t>
      </w:r>
      <w:r w:rsidR="00D1116F">
        <w:rPr>
          <w:rFonts w:ascii="Times New Roman" w:hAnsi="Times New Roman" w:cs="Times New Roman"/>
          <w:sz w:val="24"/>
          <w:szCs w:val="24"/>
        </w:rPr>
        <w:t>s</w:t>
      </w:r>
      <w:r>
        <w:rPr>
          <w:rFonts w:ascii="Times New Roman" w:hAnsi="Times New Roman" w:cs="Times New Roman"/>
          <w:sz w:val="24"/>
          <w:szCs w:val="24"/>
        </w:rPr>
        <w:t xml:space="preserve"> on the already quite difficult problem of obtaining central values for the E coefficients.    </w:t>
      </w:r>
    </w:p>
    <w:p w:rsidR="000418E3" w:rsidRDefault="000418E3" w:rsidP="000418E3">
      <w:pPr>
        <w:pStyle w:val="ListParagraph"/>
        <w:ind w:left="0"/>
        <w:contextualSpacing w:val="0"/>
        <w:rPr>
          <w:rFonts w:ascii="Times New Roman" w:hAnsi="Times New Roman" w:cs="Times New Roman"/>
          <w:b/>
          <w:sz w:val="24"/>
          <w:szCs w:val="24"/>
        </w:rPr>
      </w:pPr>
      <w:r>
        <w:rPr>
          <w:rFonts w:ascii="Times New Roman" w:hAnsi="Times New Roman" w:cs="Times New Roman"/>
          <w:b/>
          <w:sz w:val="24"/>
          <w:szCs w:val="24"/>
        </w:rPr>
        <w:t xml:space="preserve">4.  </w:t>
      </w:r>
      <w:r w:rsidRPr="00723E46">
        <w:rPr>
          <w:rFonts w:ascii="Times New Roman" w:hAnsi="Times New Roman" w:cs="Times New Roman"/>
          <w:b/>
          <w:sz w:val="24"/>
          <w:szCs w:val="24"/>
        </w:rPr>
        <w:t>USAGE-TERM, a flexible bottom-up regional model of the U.S.</w:t>
      </w:r>
    </w:p>
    <w:p w:rsidR="000418E3" w:rsidRDefault="000418E3" w:rsidP="000418E3">
      <w:pPr>
        <w:rPr>
          <w:rFonts w:ascii="Times New Roman" w:hAnsi="Times New Roman" w:cs="Times New Roman"/>
          <w:bCs/>
          <w:sz w:val="24"/>
          <w:szCs w:val="24"/>
        </w:rPr>
      </w:pPr>
      <w:r>
        <w:rPr>
          <w:rFonts w:ascii="Times New Roman" w:hAnsi="Times New Roman" w:cs="Times New Roman"/>
          <w:bCs/>
          <w:sz w:val="24"/>
          <w:szCs w:val="24"/>
        </w:rPr>
        <w:t>This section describes USAGE-TERM, the CGE model through which we estimate the elasticity coefficients required for equation (</w:t>
      </w:r>
      <w:r w:rsidR="00D1116F">
        <w:rPr>
          <w:rFonts w:ascii="Times New Roman" w:hAnsi="Times New Roman" w:cs="Times New Roman"/>
          <w:bCs/>
          <w:sz w:val="24"/>
          <w:szCs w:val="24"/>
        </w:rPr>
        <w:t>3.1</w:t>
      </w:r>
      <w:r>
        <w:rPr>
          <w:rFonts w:ascii="Times New Roman" w:hAnsi="Times New Roman" w:cs="Times New Roman"/>
          <w:bCs/>
          <w:sz w:val="24"/>
          <w:szCs w:val="24"/>
        </w:rPr>
        <w:t xml:space="preserve">).  </w:t>
      </w:r>
      <w:r w:rsidRPr="0016188E">
        <w:rPr>
          <w:rFonts w:ascii="Times New Roman" w:hAnsi="Times New Roman" w:cs="Times New Roman"/>
          <w:bCs/>
          <w:sz w:val="24"/>
          <w:szCs w:val="24"/>
        </w:rPr>
        <w:t xml:space="preserve">USAGE is an acronym for U.S. Applied General Equilibrium.  TERM is an acronym for The Enormous Regional Model.  Thus USAGE-TERM is a version of the USAGE model with enhanced regional detail.  </w:t>
      </w:r>
    </w:p>
    <w:p w:rsidR="000418E3" w:rsidRPr="00723E46" w:rsidRDefault="000418E3" w:rsidP="000418E3">
      <w:pPr>
        <w:rPr>
          <w:rFonts w:ascii="Times New Roman" w:hAnsi="Times New Roman" w:cs="Times New Roman"/>
          <w:b/>
          <w:bCs/>
          <w:i/>
          <w:sz w:val="24"/>
          <w:szCs w:val="24"/>
        </w:rPr>
      </w:pPr>
      <w:r>
        <w:rPr>
          <w:rFonts w:ascii="Times New Roman" w:hAnsi="Times New Roman" w:cs="Times New Roman"/>
          <w:b/>
          <w:bCs/>
          <w:i/>
          <w:sz w:val="24"/>
          <w:szCs w:val="24"/>
        </w:rPr>
        <w:t>4.1</w:t>
      </w:r>
      <w:r w:rsidRPr="00723E46">
        <w:rPr>
          <w:rFonts w:ascii="Times New Roman" w:hAnsi="Times New Roman" w:cs="Times New Roman"/>
          <w:b/>
          <w:bCs/>
          <w:i/>
          <w:sz w:val="24"/>
          <w:szCs w:val="24"/>
        </w:rPr>
        <w:t>.  The USAGE model</w:t>
      </w:r>
    </w:p>
    <w:p w:rsidR="000418E3" w:rsidRPr="00723E46" w:rsidRDefault="000418E3" w:rsidP="000418E3">
      <w:pPr>
        <w:rPr>
          <w:rFonts w:ascii="Times New Roman" w:hAnsi="Times New Roman" w:cs="Times New Roman"/>
          <w:sz w:val="24"/>
          <w:szCs w:val="24"/>
        </w:rPr>
      </w:pPr>
      <w:r w:rsidRPr="00723E46">
        <w:rPr>
          <w:rFonts w:ascii="Times New Roman" w:hAnsi="Times New Roman" w:cs="Times New Roman"/>
          <w:sz w:val="24"/>
          <w:szCs w:val="24"/>
        </w:rPr>
        <w:t xml:space="preserve">USAGE is a </w:t>
      </w:r>
      <w:r w:rsidR="00D1116F">
        <w:rPr>
          <w:rFonts w:ascii="Times New Roman" w:hAnsi="Times New Roman" w:cs="Times New Roman"/>
          <w:sz w:val="24"/>
          <w:szCs w:val="24"/>
        </w:rPr>
        <w:t>4</w:t>
      </w:r>
      <w:r w:rsidRPr="00723E46">
        <w:rPr>
          <w:rFonts w:ascii="Times New Roman" w:hAnsi="Times New Roman" w:cs="Times New Roman"/>
          <w:sz w:val="24"/>
          <w:szCs w:val="24"/>
        </w:rPr>
        <w:t>00 industry, dynamic, CGE model of the U.S. economy.</w:t>
      </w:r>
      <w:r w:rsidRPr="00723E46">
        <w:rPr>
          <w:rStyle w:val="FootnoteReference"/>
          <w:rFonts w:cs="Times New Roman"/>
          <w:sz w:val="24"/>
          <w:szCs w:val="24"/>
        </w:rPr>
        <w:footnoteReference w:id="4"/>
      </w:r>
      <w:r w:rsidRPr="00723E46">
        <w:rPr>
          <w:rFonts w:ascii="Times New Roman" w:hAnsi="Times New Roman" w:cs="Times New Roman"/>
          <w:sz w:val="24"/>
          <w:szCs w:val="24"/>
        </w:rPr>
        <w:t xml:space="preserve">  It has been created over the last 15 years at the Centre of Policy Studies</w:t>
      </w:r>
      <w:r>
        <w:rPr>
          <w:rFonts w:ascii="Times New Roman" w:hAnsi="Times New Roman" w:cs="Times New Roman"/>
          <w:sz w:val="24"/>
          <w:szCs w:val="24"/>
        </w:rPr>
        <w:t xml:space="preserve"> (CoPS)</w:t>
      </w:r>
      <w:r w:rsidRPr="00723E46">
        <w:rPr>
          <w:rFonts w:ascii="Times New Roman" w:hAnsi="Times New Roman" w:cs="Times New Roman"/>
          <w:sz w:val="24"/>
          <w:szCs w:val="24"/>
        </w:rPr>
        <w:t>, Victoria University, in collaboration with the U.S. International Trade Commission.</w:t>
      </w:r>
      <w:r w:rsidRPr="00723E46">
        <w:rPr>
          <w:rStyle w:val="FootnoteReference"/>
          <w:rFonts w:cs="Times New Roman"/>
          <w:sz w:val="24"/>
          <w:szCs w:val="24"/>
        </w:rPr>
        <w:footnoteReference w:id="5"/>
      </w:r>
      <w:r w:rsidRPr="00723E46">
        <w:rPr>
          <w:rFonts w:ascii="Times New Roman" w:hAnsi="Times New Roman" w:cs="Times New Roman"/>
          <w:sz w:val="24"/>
          <w:szCs w:val="24"/>
        </w:rPr>
        <w:t xml:space="preserve">  The model has been used by and on behalf of the U.S. International Trade Commission, the U.S. Departments of Commerce, Agriculture, Energy, Transportation and Homeland Security as well as private sector organizations such as the Cato Institute and the Mitre Corporation.  Applications of the model involve preparation of baseline forecasts and analyses of a variety of issues including the effects of: trade policies; environmental regulations; carbon taxes; energy security; illegal immigration; road infrastructure; Next-Gen aviation infrastructure expenditures; the Obama stimulus package; the National Export Initiative; an H1N1 epidemic; </w:t>
      </w:r>
      <w:r>
        <w:rPr>
          <w:rFonts w:ascii="Times New Roman" w:hAnsi="Times New Roman" w:cs="Times New Roman"/>
          <w:sz w:val="24"/>
          <w:szCs w:val="24"/>
        </w:rPr>
        <w:t xml:space="preserve">and </w:t>
      </w:r>
      <w:r w:rsidRPr="00723E46">
        <w:rPr>
          <w:rFonts w:ascii="Times New Roman" w:hAnsi="Times New Roman" w:cs="Times New Roman"/>
          <w:sz w:val="24"/>
          <w:szCs w:val="24"/>
        </w:rPr>
        <w:t>security-related port closures.</w:t>
      </w:r>
      <w:r w:rsidRPr="00723E46">
        <w:rPr>
          <w:rStyle w:val="FootnoteReference"/>
          <w:rFonts w:cs="Times New Roman"/>
          <w:sz w:val="24"/>
          <w:szCs w:val="24"/>
        </w:rPr>
        <w:footnoteReference w:id="6"/>
      </w:r>
    </w:p>
    <w:p w:rsidR="000418E3" w:rsidRPr="00723E46" w:rsidRDefault="000418E3" w:rsidP="000418E3">
      <w:pPr>
        <w:rPr>
          <w:rFonts w:ascii="Times New Roman" w:hAnsi="Times New Roman" w:cs="Times New Roman"/>
          <w:sz w:val="24"/>
          <w:szCs w:val="24"/>
        </w:rPr>
      </w:pPr>
      <w:r w:rsidRPr="00723E46">
        <w:rPr>
          <w:rFonts w:ascii="Times New Roman" w:hAnsi="Times New Roman" w:cs="Times New Roman"/>
          <w:sz w:val="24"/>
          <w:szCs w:val="24"/>
        </w:rPr>
        <w:t>USAGE is essentially a national model, although it does have a facility for disaggregating national results in a top-down fashion to the 50 states and the District of Columbia.</w:t>
      </w:r>
      <w:r w:rsidRPr="00723E46">
        <w:rPr>
          <w:rStyle w:val="FootnoteReference"/>
          <w:rFonts w:cs="Times New Roman"/>
          <w:sz w:val="24"/>
          <w:szCs w:val="24"/>
        </w:rPr>
        <w:footnoteReference w:id="7"/>
      </w:r>
      <w:r w:rsidRPr="00723E46">
        <w:rPr>
          <w:rFonts w:ascii="Times New Roman" w:hAnsi="Times New Roman" w:cs="Times New Roman"/>
          <w:sz w:val="24"/>
          <w:szCs w:val="24"/>
        </w:rPr>
        <w:t xml:space="preserve">  This facility is effective for working out the regional implications of national policies which are unlikely to have a significantly different effect on costs of production in one state compared with other states.  A legitimate application of the top-down facility is the U.S. International </w:t>
      </w:r>
      <w:r w:rsidRPr="00723E46">
        <w:rPr>
          <w:rFonts w:ascii="Times New Roman" w:hAnsi="Times New Roman" w:cs="Times New Roman"/>
          <w:sz w:val="24"/>
          <w:szCs w:val="24"/>
        </w:rPr>
        <w:lastRenderedPageBreak/>
        <w:t>Trade Commission’s analysis of the effects on the state economies of changes in import restraints (tariffs and quotas).</w:t>
      </w:r>
      <w:r w:rsidRPr="00723E46">
        <w:rPr>
          <w:rStyle w:val="FootnoteReference"/>
          <w:rFonts w:cs="Times New Roman"/>
          <w:sz w:val="24"/>
          <w:szCs w:val="24"/>
        </w:rPr>
        <w:footnoteReference w:id="8"/>
      </w:r>
      <w:r w:rsidRPr="00723E46">
        <w:rPr>
          <w:rFonts w:ascii="Times New Roman" w:hAnsi="Times New Roman" w:cs="Times New Roman"/>
          <w:sz w:val="24"/>
          <w:szCs w:val="24"/>
        </w:rPr>
        <w:t xml:space="preserve">  However, a limitation of the top-down facility is that it is unsuitable for projecting the effects of policies and other shocks (including terrorism events) that are initiated at the regional level and affect costs in one region relative to those in other regions.  </w:t>
      </w:r>
    </w:p>
    <w:p w:rsidR="000418E3" w:rsidRPr="00723E46" w:rsidRDefault="000418E3" w:rsidP="000418E3">
      <w:pPr>
        <w:rPr>
          <w:rFonts w:ascii="Times New Roman" w:hAnsi="Times New Roman" w:cs="Times New Roman"/>
          <w:b/>
          <w:bCs/>
          <w:i/>
          <w:sz w:val="24"/>
          <w:szCs w:val="24"/>
        </w:rPr>
      </w:pPr>
      <w:r>
        <w:rPr>
          <w:rFonts w:ascii="Times New Roman" w:hAnsi="Times New Roman" w:cs="Times New Roman"/>
          <w:b/>
          <w:bCs/>
          <w:i/>
          <w:sz w:val="24"/>
          <w:szCs w:val="24"/>
        </w:rPr>
        <w:t>4.2</w:t>
      </w:r>
      <w:r w:rsidRPr="00723E46">
        <w:rPr>
          <w:rFonts w:ascii="Times New Roman" w:hAnsi="Times New Roman" w:cs="Times New Roman"/>
          <w:b/>
          <w:bCs/>
          <w:i/>
          <w:sz w:val="24"/>
          <w:szCs w:val="24"/>
        </w:rPr>
        <w:t>.  USAGE-TERM</w:t>
      </w:r>
    </w:p>
    <w:p w:rsidR="000418E3" w:rsidRPr="00723E46" w:rsidRDefault="000418E3" w:rsidP="000418E3">
      <w:pPr>
        <w:rPr>
          <w:rFonts w:ascii="Times New Roman" w:hAnsi="Times New Roman" w:cs="Times New Roman"/>
          <w:sz w:val="24"/>
          <w:szCs w:val="24"/>
        </w:rPr>
      </w:pPr>
      <w:r w:rsidRPr="00723E46">
        <w:rPr>
          <w:rFonts w:ascii="Times New Roman" w:hAnsi="Times New Roman" w:cs="Times New Roman"/>
          <w:sz w:val="24"/>
          <w:szCs w:val="24"/>
        </w:rPr>
        <w:t xml:space="preserve">To overcome this limitation, the CoPS team with considerable support from Adam Rose and colleagues at CREATE, have developed a series of bottom-up regional versions of USAGE.  All of these are in the family of TERM models developed initially </w:t>
      </w:r>
      <w:r w:rsidR="00660284">
        <w:rPr>
          <w:rFonts w:ascii="Times New Roman" w:hAnsi="Times New Roman" w:cs="Times New Roman"/>
          <w:sz w:val="24"/>
          <w:szCs w:val="24"/>
        </w:rPr>
        <w:t xml:space="preserve">by CoPS </w:t>
      </w:r>
      <w:r w:rsidRPr="00723E46">
        <w:rPr>
          <w:rFonts w:ascii="Times New Roman" w:hAnsi="Times New Roman" w:cs="Times New Roman"/>
          <w:sz w:val="24"/>
          <w:szCs w:val="24"/>
        </w:rPr>
        <w:t>for Australia</w:t>
      </w:r>
      <w:r>
        <w:rPr>
          <w:rFonts w:ascii="Times New Roman" w:hAnsi="Times New Roman" w:cs="Times New Roman"/>
          <w:sz w:val="24"/>
          <w:szCs w:val="24"/>
        </w:rPr>
        <w:t>.</w:t>
      </w:r>
      <w:r>
        <w:rPr>
          <w:rStyle w:val="FootnoteReference"/>
          <w:rFonts w:cs="Times New Roman"/>
          <w:sz w:val="24"/>
          <w:szCs w:val="24"/>
        </w:rPr>
        <w:footnoteReference w:id="9"/>
      </w:r>
      <w:r w:rsidRPr="00723E46">
        <w:rPr>
          <w:rFonts w:ascii="Times New Roman" w:hAnsi="Times New Roman" w:cs="Times New Roman"/>
          <w:sz w:val="24"/>
          <w:szCs w:val="24"/>
        </w:rPr>
        <w:t xml:space="preserve">  </w:t>
      </w:r>
    </w:p>
    <w:p w:rsidR="000418E3" w:rsidRPr="00723E46" w:rsidRDefault="000418E3" w:rsidP="000418E3">
      <w:pPr>
        <w:rPr>
          <w:rFonts w:ascii="Times New Roman" w:hAnsi="Times New Roman" w:cs="Times New Roman"/>
          <w:sz w:val="24"/>
          <w:szCs w:val="24"/>
        </w:rPr>
      </w:pPr>
      <w:r w:rsidRPr="00723E46">
        <w:rPr>
          <w:rFonts w:ascii="Times New Roman" w:hAnsi="Times New Roman" w:cs="Times New Roman"/>
          <w:sz w:val="24"/>
          <w:szCs w:val="24"/>
        </w:rPr>
        <w:t>The first USAGE-TERM model was created in 2011</w:t>
      </w:r>
      <w:r>
        <w:rPr>
          <w:rFonts w:ascii="Times New Roman" w:hAnsi="Times New Roman" w:cs="Times New Roman"/>
          <w:sz w:val="24"/>
          <w:szCs w:val="24"/>
        </w:rPr>
        <w:t xml:space="preserve">.  This version identified </w:t>
      </w:r>
      <w:r w:rsidRPr="00723E46">
        <w:rPr>
          <w:rFonts w:ascii="Times New Roman" w:hAnsi="Times New Roman" w:cs="Times New Roman"/>
          <w:sz w:val="24"/>
          <w:szCs w:val="24"/>
        </w:rPr>
        <w:t>the 50 states plus the District of Columbia</w:t>
      </w:r>
      <w:r>
        <w:rPr>
          <w:rFonts w:ascii="Times New Roman" w:hAnsi="Times New Roman" w:cs="Times New Roman"/>
          <w:sz w:val="24"/>
          <w:szCs w:val="24"/>
        </w:rPr>
        <w:t xml:space="preserve">.  It treated these </w:t>
      </w:r>
      <w:r w:rsidRPr="00723E46">
        <w:rPr>
          <w:rFonts w:ascii="Times New Roman" w:hAnsi="Times New Roman" w:cs="Times New Roman"/>
          <w:sz w:val="24"/>
          <w:szCs w:val="24"/>
        </w:rPr>
        <w:t xml:space="preserve">51 </w:t>
      </w:r>
      <w:r>
        <w:rPr>
          <w:rFonts w:ascii="Times New Roman" w:hAnsi="Times New Roman" w:cs="Times New Roman"/>
          <w:sz w:val="24"/>
          <w:szCs w:val="24"/>
        </w:rPr>
        <w:t xml:space="preserve">regions as </w:t>
      </w:r>
      <w:r w:rsidRPr="00723E46">
        <w:rPr>
          <w:rFonts w:ascii="Times New Roman" w:hAnsi="Times New Roman" w:cs="Times New Roman"/>
          <w:sz w:val="24"/>
          <w:szCs w:val="24"/>
        </w:rPr>
        <w:t xml:space="preserve">highly integrated economies connected by: trade; factor movements; and a common currency.  In </w:t>
      </w:r>
      <w:r>
        <w:rPr>
          <w:rFonts w:ascii="Times New Roman" w:hAnsi="Times New Roman" w:cs="Times New Roman"/>
          <w:sz w:val="24"/>
          <w:szCs w:val="24"/>
        </w:rPr>
        <w:t>this version,</w:t>
      </w:r>
      <w:r w:rsidRPr="00723E46">
        <w:rPr>
          <w:rFonts w:ascii="Times New Roman" w:hAnsi="Times New Roman" w:cs="Times New Roman"/>
          <w:sz w:val="24"/>
          <w:szCs w:val="24"/>
        </w:rPr>
        <w:t xml:space="preserve"> policies such as carbon taxes levied at the state level cause changes in production costs in one state relative to those in others, and lead to changes in trade and factor flows.  Th</w:t>
      </w:r>
      <w:r>
        <w:rPr>
          <w:rFonts w:ascii="Times New Roman" w:hAnsi="Times New Roman" w:cs="Times New Roman"/>
          <w:sz w:val="24"/>
          <w:szCs w:val="24"/>
        </w:rPr>
        <w:t>i</w:t>
      </w:r>
      <w:r w:rsidRPr="00723E46">
        <w:rPr>
          <w:rFonts w:ascii="Times New Roman" w:hAnsi="Times New Roman" w:cs="Times New Roman"/>
          <w:sz w:val="24"/>
          <w:szCs w:val="24"/>
        </w:rPr>
        <w:t xml:space="preserve">s allows assessments of the costs and benefits to states of state policies.  </w:t>
      </w:r>
    </w:p>
    <w:p w:rsidR="000418E3" w:rsidRPr="00723E46" w:rsidRDefault="000418E3" w:rsidP="000418E3">
      <w:pPr>
        <w:rPr>
          <w:rFonts w:ascii="Times New Roman" w:hAnsi="Times New Roman" w:cs="Times New Roman"/>
          <w:sz w:val="24"/>
          <w:szCs w:val="24"/>
        </w:rPr>
      </w:pPr>
      <w:r w:rsidRPr="00723E46">
        <w:rPr>
          <w:rFonts w:ascii="Times New Roman" w:hAnsi="Times New Roman" w:cs="Times New Roman"/>
          <w:sz w:val="24"/>
          <w:szCs w:val="24"/>
        </w:rPr>
        <w:t>The initial version of USAGE-</w:t>
      </w:r>
      <w:r>
        <w:rPr>
          <w:rFonts w:ascii="Times New Roman" w:hAnsi="Times New Roman" w:cs="Times New Roman"/>
          <w:sz w:val="24"/>
          <w:szCs w:val="24"/>
        </w:rPr>
        <w:t>TERM</w:t>
      </w:r>
      <w:r w:rsidRPr="00723E46">
        <w:rPr>
          <w:rFonts w:ascii="Times New Roman" w:hAnsi="Times New Roman" w:cs="Times New Roman"/>
          <w:sz w:val="24"/>
          <w:szCs w:val="24"/>
        </w:rPr>
        <w:t xml:space="preserve"> was comparative static.  In 2012-13 the model was given a dynamic dimension similar to that in the national USAGE model.  Thus it became capable of tracing out effects of a shock over a number of years.  </w:t>
      </w:r>
    </w:p>
    <w:p w:rsidR="000418E3" w:rsidRPr="00723E46" w:rsidRDefault="000418E3" w:rsidP="000418E3">
      <w:pPr>
        <w:rPr>
          <w:rFonts w:ascii="Times New Roman" w:hAnsi="Times New Roman" w:cs="Times New Roman"/>
          <w:sz w:val="24"/>
          <w:szCs w:val="24"/>
        </w:rPr>
      </w:pPr>
      <w:r w:rsidRPr="00723E46">
        <w:rPr>
          <w:rFonts w:ascii="Times New Roman" w:hAnsi="Times New Roman" w:cs="Times New Roman"/>
          <w:sz w:val="24"/>
          <w:szCs w:val="24"/>
        </w:rPr>
        <w:t>In 2013-14 we extended the regional detail from the state to the county level</w:t>
      </w:r>
      <w:r>
        <w:rPr>
          <w:rFonts w:ascii="Times New Roman" w:hAnsi="Times New Roman" w:cs="Times New Roman"/>
          <w:sz w:val="24"/>
          <w:szCs w:val="24"/>
        </w:rPr>
        <w:t>.</w:t>
      </w:r>
      <w:r w:rsidRPr="00723E46">
        <w:rPr>
          <w:rFonts w:ascii="Times New Roman" w:hAnsi="Times New Roman" w:cs="Times New Roman"/>
          <w:sz w:val="24"/>
          <w:szCs w:val="24"/>
        </w:rPr>
        <w:t xml:space="preserve">  This work was motivated by wanting to improve the capabilities of USAGE</w:t>
      </w:r>
      <w:r>
        <w:rPr>
          <w:rFonts w:ascii="Times New Roman" w:hAnsi="Times New Roman" w:cs="Times New Roman"/>
          <w:sz w:val="24"/>
          <w:szCs w:val="24"/>
        </w:rPr>
        <w:t>-TERM</w:t>
      </w:r>
      <w:r w:rsidRPr="00723E46">
        <w:rPr>
          <w:rFonts w:ascii="Times New Roman" w:hAnsi="Times New Roman" w:cs="Times New Roman"/>
          <w:sz w:val="24"/>
          <w:szCs w:val="24"/>
        </w:rPr>
        <w:t xml:space="preserve"> for modeling terrorism shocks and other disruptive events.  These events occur at a localized level, often well below the state level.  Thus, for analyzing such events, extending the USAGE</w:t>
      </w:r>
      <w:r>
        <w:rPr>
          <w:rFonts w:ascii="Times New Roman" w:hAnsi="Times New Roman" w:cs="Times New Roman"/>
          <w:sz w:val="24"/>
          <w:szCs w:val="24"/>
        </w:rPr>
        <w:t>-TERM</w:t>
      </w:r>
      <w:r w:rsidRPr="00723E46">
        <w:rPr>
          <w:rFonts w:ascii="Times New Roman" w:hAnsi="Times New Roman" w:cs="Times New Roman"/>
          <w:sz w:val="24"/>
          <w:szCs w:val="24"/>
        </w:rPr>
        <w:t xml:space="preserve"> capability to the county level is an important enhancement.  We also created </w:t>
      </w:r>
      <w:r>
        <w:rPr>
          <w:rFonts w:ascii="Times New Roman" w:hAnsi="Times New Roman" w:cs="Times New Roman"/>
          <w:sz w:val="24"/>
          <w:szCs w:val="24"/>
        </w:rPr>
        <w:t xml:space="preserve">the </w:t>
      </w:r>
      <w:r w:rsidRPr="00723E46">
        <w:rPr>
          <w:rFonts w:ascii="Times New Roman" w:hAnsi="Times New Roman" w:cs="Times New Roman"/>
          <w:sz w:val="24"/>
          <w:szCs w:val="24"/>
        </w:rPr>
        <w:t>version</w:t>
      </w:r>
      <w:r>
        <w:rPr>
          <w:rFonts w:ascii="Times New Roman" w:hAnsi="Times New Roman" w:cs="Times New Roman"/>
          <w:sz w:val="24"/>
          <w:szCs w:val="24"/>
        </w:rPr>
        <w:t xml:space="preserve"> of USAGE-TERM, used in this report, </w:t>
      </w:r>
      <w:r w:rsidRPr="00723E46">
        <w:rPr>
          <w:rFonts w:ascii="Times New Roman" w:hAnsi="Times New Roman" w:cs="Times New Roman"/>
          <w:sz w:val="24"/>
          <w:szCs w:val="24"/>
        </w:rPr>
        <w:t xml:space="preserve">in which the identified regions are the 436 </w:t>
      </w:r>
      <w:r w:rsidR="00B835CD">
        <w:rPr>
          <w:rFonts w:ascii="Times New Roman" w:hAnsi="Times New Roman" w:cs="Times New Roman"/>
          <w:sz w:val="24"/>
          <w:szCs w:val="24"/>
        </w:rPr>
        <w:t>congressional</w:t>
      </w:r>
      <w:r w:rsidRPr="00723E46">
        <w:rPr>
          <w:rFonts w:ascii="Times New Roman" w:hAnsi="Times New Roman" w:cs="Times New Roman"/>
          <w:sz w:val="24"/>
          <w:szCs w:val="24"/>
        </w:rPr>
        <w:t xml:space="preserve"> districts.</w:t>
      </w:r>
    </w:p>
    <w:p w:rsidR="000418E3" w:rsidRPr="00723E46" w:rsidRDefault="000418E3" w:rsidP="000418E3">
      <w:pPr>
        <w:jc w:val="both"/>
        <w:rPr>
          <w:rFonts w:ascii="Times New Roman" w:hAnsi="Times New Roman" w:cs="Times New Roman"/>
          <w:bCs/>
          <w:sz w:val="24"/>
          <w:szCs w:val="24"/>
        </w:rPr>
      </w:pPr>
      <w:r w:rsidRPr="00723E46">
        <w:rPr>
          <w:rFonts w:ascii="Times New Roman" w:hAnsi="Times New Roman" w:cs="Times New Roman"/>
          <w:bCs/>
          <w:sz w:val="24"/>
          <w:szCs w:val="24"/>
        </w:rPr>
        <w:t>The key data requirement</w:t>
      </w:r>
      <w:r w:rsidR="00660284">
        <w:rPr>
          <w:rFonts w:ascii="Times New Roman" w:hAnsi="Times New Roman" w:cs="Times New Roman"/>
          <w:bCs/>
          <w:sz w:val="24"/>
          <w:szCs w:val="24"/>
        </w:rPr>
        <w:t>s</w:t>
      </w:r>
      <w:r w:rsidRPr="00723E46">
        <w:rPr>
          <w:rFonts w:ascii="Times New Roman" w:hAnsi="Times New Roman" w:cs="Times New Roman"/>
          <w:bCs/>
          <w:sz w:val="24"/>
          <w:szCs w:val="24"/>
        </w:rPr>
        <w:t xml:space="preserve"> for these regional versions of USAGE </w:t>
      </w:r>
      <w:r w:rsidR="00660284">
        <w:rPr>
          <w:rFonts w:ascii="Times New Roman" w:hAnsi="Times New Roman" w:cs="Times New Roman"/>
          <w:bCs/>
          <w:sz w:val="24"/>
          <w:szCs w:val="24"/>
        </w:rPr>
        <w:t>are</w:t>
      </w:r>
      <w:r w:rsidRPr="00723E46">
        <w:rPr>
          <w:rFonts w:ascii="Times New Roman" w:hAnsi="Times New Roman" w:cs="Times New Roman"/>
          <w:bCs/>
          <w:sz w:val="24"/>
          <w:szCs w:val="24"/>
        </w:rPr>
        <w:t xml:space="preserve"> job</w:t>
      </w:r>
      <w:r w:rsidR="00660284">
        <w:rPr>
          <w:rFonts w:ascii="Times New Roman" w:hAnsi="Times New Roman" w:cs="Times New Roman"/>
          <w:bCs/>
          <w:sz w:val="24"/>
          <w:szCs w:val="24"/>
        </w:rPr>
        <w:t>s</w:t>
      </w:r>
      <w:r w:rsidRPr="00723E46">
        <w:rPr>
          <w:rFonts w:ascii="Times New Roman" w:hAnsi="Times New Roman" w:cs="Times New Roman"/>
          <w:bCs/>
          <w:sz w:val="24"/>
          <w:szCs w:val="24"/>
        </w:rPr>
        <w:t xml:space="preserve"> matrices </w:t>
      </w:r>
      <w:r w:rsidR="00660284">
        <w:rPr>
          <w:rFonts w:ascii="Times New Roman" w:hAnsi="Times New Roman" w:cs="Times New Roman"/>
          <w:bCs/>
          <w:sz w:val="24"/>
          <w:szCs w:val="24"/>
        </w:rPr>
        <w:t xml:space="preserve">in which the </w:t>
      </w:r>
      <w:r w:rsidRPr="00723E46">
        <w:rPr>
          <w:rFonts w:ascii="Times New Roman" w:hAnsi="Times New Roman" w:cs="Times New Roman"/>
          <w:bCs/>
          <w:sz w:val="24"/>
          <w:szCs w:val="24"/>
        </w:rPr>
        <w:t xml:space="preserve">components, </w:t>
      </w:r>
      <w:r w:rsidR="00660284">
        <w:rPr>
          <w:rFonts w:ascii="Times New Roman" w:hAnsi="Times New Roman" w:cs="Times New Roman"/>
          <w:bCs/>
          <w:sz w:val="24"/>
          <w:szCs w:val="24"/>
        </w:rPr>
        <w:t>J</w:t>
      </w:r>
      <w:r w:rsidRPr="00723E46">
        <w:rPr>
          <w:rFonts w:ascii="Times New Roman" w:hAnsi="Times New Roman" w:cs="Times New Roman"/>
          <w:bCs/>
          <w:sz w:val="24"/>
          <w:szCs w:val="24"/>
        </w:rPr>
        <w:t>(j,r)</w:t>
      </w:r>
      <w:r w:rsidR="00660284">
        <w:rPr>
          <w:rFonts w:ascii="Times New Roman" w:hAnsi="Times New Roman" w:cs="Times New Roman"/>
          <w:bCs/>
          <w:sz w:val="24"/>
          <w:szCs w:val="24"/>
        </w:rPr>
        <w:t>, are</w:t>
      </w:r>
      <w:r w:rsidRPr="00723E46">
        <w:rPr>
          <w:rFonts w:ascii="Times New Roman" w:hAnsi="Times New Roman" w:cs="Times New Roman"/>
          <w:bCs/>
          <w:sz w:val="24"/>
          <w:szCs w:val="24"/>
        </w:rPr>
        <w:t xml:space="preserve"> </w:t>
      </w:r>
      <w:r w:rsidR="00660284">
        <w:rPr>
          <w:rFonts w:ascii="Times New Roman" w:hAnsi="Times New Roman" w:cs="Times New Roman"/>
          <w:bCs/>
          <w:sz w:val="24"/>
          <w:szCs w:val="24"/>
        </w:rPr>
        <w:t>the number of jobs in industry j in r</w:t>
      </w:r>
      <w:r w:rsidRPr="00723E46">
        <w:rPr>
          <w:rFonts w:ascii="Times New Roman" w:hAnsi="Times New Roman" w:cs="Times New Roman"/>
          <w:bCs/>
          <w:sz w:val="24"/>
          <w:szCs w:val="24"/>
        </w:rPr>
        <w:t>egion r</w:t>
      </w:r>
      <w:r w:rsidR="00660284">
        <w:rPr>
          <w:rFonts w:ascii="Times New Roman" w:hAnsi="Times New Roman" w:cs="Times New Roman"/>
          <w:bCs/>
          <w:sz w:val="24"/>
          <w:szCs w:val="24"/>
        </w:rPr>
        <w:t>.</w:t>
      </w:r>
      <w:r w:rsidRPr="00723E46">
        <w:rPr>
          <w:rFonts w:ascii="Times New Roman" w:hAnsi="Times New Roman" w:cs="Times New Roman"/>
          <w:bCs/>
          <w:sz w:val="24"/>
          <w:szCs w:val="24"/>
        </w:rPr>
        <w:t xml:space="preserve">  For </w:t>
      </w:r>
      <w:r>
        <w:rPr>
          <w:rFonts w:ascii="Times New Roman" w:hAnsi="Times New Roman" w:cs="Times New Roman"/>
          <w:bCs/>
          <w:sz w:val="24"/>
          <w:szCs w:val="24"/>
        </w:rPr>
        <w:t>the c</w:t>
      </w:r>
      <w:r w:rsidRPr="00723E46">
        <w:rPr>
          <w:rFonts w:ascii="Times New Roman" w:hAnsi="Times New Roman" w:cs="Times New Roman"/>
          <w:bCs/>
          <w:sz w:val="24"/>
          <w:szCs w:val="24"/>
        </w:rPr>
        <w:t>ounty</w:t>
      </w:r>
      <w:r>
        <w:rPr>
          <w:rFonts w:ascii="Times New Roman" w:hAnsi="Times New Roman" w:cs="Times New Roman"/>
          <w:bCs/>
          <w:sz w:val="24"/>
          <w:szCs w:val="24"/>
        </w:rPr>
        <w:t xml:space="preserve"> version of USAGE-TERM</w:t>
      </w:r>
      <w:r w:rsidRPr="00723E46">
        <w:rPr>
          <w:rFonts w:ascii="Times New Roman" w:hAnsi="Times New Roman" w:cs="Times New Roman"/>
          <w:bCs/>
          <w:sz w:val="24"/>
          <w:szCs w:val="24"/>
        </w:rPr>
        <w:t>, the main source for job</w:t>
      </w:r>
      <w:r w:rsidR="00660284">
        <w:rPr>
          <w:rFonts w:ascii="Times New Roman" w:hAnsi="Times New Roman" w:cs="Times New Roman"/>
          <w:bCs/>
          <w:sz w:val="24"/>
          <w:szCs w:val="24"/>
        </w:rPr>
        <w:t>s</w:t>
      </w:r>
      <w:r w:rsidRPr="00723E46">
        <w:rPr>
          <w:rFonts w:ascii="Times New Roman" w:hAnsi="Times New Roman" w:cs="Times New Roman"/>
          <w:bCs/>
          <w:sz w:val="24"/>
          <w:szCs w:val="24"/>
        </w:rPr>
        <w:t xml:space="preserve"> estimates is county data for about 400 industries from the 2010 Census.</w:t>
      </w:r>
      <w:r w:rsidRPr="00723E46">
        <w:rPr>
          <w:rStyle w:val="FootnoteReference"/>
          <w:rFonts w:cs="Times New Roman"/>
          <w:bCs/>
          <w:sz w:val="24"/>
          <w:szCs w:val="24"/>
        </w:rPr>
        <w:footnoteReference w:id="10"/>
      </w:r>
      <w:r w:rsidRPr="00723E46">
        <w:rPr>
          <w:rFonts w:ascii="Times New Roman" w:hAnsi="Times New Roman" w:cs="Times New Roman"/>
          <w:bCs/>
          <w:sz w:val="24"/>
          <w:szCs w:val="24"/>
        </w:rPr>
        <w:t xml:space="preserve">  For </w:t>
      </w:r>
      <w:r>
        <w:rPr>
          <w:rFonts w:ascii="Times New Roman" w:hAnsi="Times New Roman" w:cs="Times New Roman"/>
          <w:bCs/>
          <w:sz w:val="24"/>
          <w:szCs w:val="24"/>
        </w:rPr>
        <w:t xml:space="preserve">the </w:t>
      </w:r>
      <w:r w:rsidR="00B835CD">
        <w:rPr>
          <w:rFonts w:ascii="Times New Roman" w:hAnsi="Times New Roman" w:cs="Times New Roman"/>
          <w:bCs/>
          <w:sz w:val="24"/>
          <w:szCs w:val="24"/>
        </w:rPr>
        <w:t>congressional</w:t>
      </w:r>
      <w:r>
        <w:rPr>
          <w:rFonts w:ascii="Times New Roman" w:hAnsi="Times New Roman" w:cs="Times New Roman"/>
          <w:bCs/>
          <w:sz w:val="24"/>
          <w:szCs w:val="24"/>
        </w:rPr>
        <w:t xml:space="preserve"> district version</w:t>
      </w:r>
      <w:r w:rsidRPr="00723E46">
        <w:rPr>
          <w:rFonts w:ascii="Times New Roman" w:hAnsi="Times New Roman" w:cs="Times New Roman"/>
          <w:bCs/>
          <w:sz w:val="24"/>
          <w:szCs w:val="24"/>
        </w:rPr>
        <w:t xml:space="preserve"> we also use the county data.  Most </w:t>
      </w:r>
      <w:r w:rsidR="00B835CD">
        <w:rPr>
          <w:rFonts w:ascii="Times New Roman" w:hAnsi="Times New Roman" w:cs="Times New Roman"/>
          <w:bCs/>
          <w:sz w:val="24"/>
          <w:szCs w:val="24"/>
        </w:rPr>
        <w:t>congressional</w:t>
      </w:r>
      <w:r w:rsidRPr="00723E46">
        <w:rPr>
          <w:rFonts w:ascii="Times New Roman" w:hAnsi="Times New Roman" w:cs="Times New Roman"/>
          <w:bCs/>
          <w:sz w:val="24"/>
          <w:szCs w:val="24"/>
        </w:rPr>
        <w:t xml:space="preserve"> districts are an aggregation of counties.  For these districts we derived jobs data by addition.  However in some western states, counties are large and encompass several </w:t>
      </w:r>
      <w:r w:rsidR="00B835CD">
        <w:rPr>
          <w:rFonts w:ascii="Times New Roman" w:hAnsi="Times New Roman" w:cs="Times New Roman"/>
          <w:bCs/>
          <w:sz w:val="24"/>
          <w:szCs w:val="24"/>
        </w:rPr>
        <w:t>congressional</w:t>
      </w:r>
      <w:r w:rsidRPr="00723E46">
        <w:rPr>
          <w:rFonts w:ascii="Times New Roman" w:hAnsi="Times New Roman" w:cs="Times New Roman"/>
          <w:bCs/>
          <w:sz w:val="24"/>
          <w:szCs w:val="24"/>
        </w:rPr>
        <w:t xml:space="preserve"> districts.  For these </w:t>
      </w:r>
      <w:r w:rsidR="00B835CD">
        <w:rPr>
          <w:rFonts w:ascii="Times New Roman" w:hAnsi="Times New Roman" w:cs="Times New Roman"/>
          <w:bCs/>
          <w:sz w:val="24"/>
          <w:szCs w:val="24"/>
        </w:rPr>
        <w:t>congressional</w:t>
      </w:r>
      <w:r w:rsidRPr="00723E46">
        <w:rPr>
          <w:rFonts w:ascii="Times New Roman" w:hAnsi="Times New Roman" w:cs="Times New Roman"/>
          <w:bCs/>
          <w:sz w:val="24"/>
          <w:szCs w:val="24"/>
        </w:rPr>
        <w:t xml:space="preserve"> districts we estimated job</w:t>
      </w:r>
      <w:r w:rsidR="00660284">
        <w:rPr>
          <w:rFonts w:ascii="Times New Roman" w:hAnsi="Times New Roman" w:cs="Times New Roman"/>
          <w:bCs/>
          <w:sz w:val="24"/>
          <w:szCs w:val="24"/>
        </w:rPr>
        <w:t>s</w:t>
      </w:r>
      <w:r w:rsidRPr="00723E46">
        <w:rPr>
          <w:rFonts w:ascii="Times New Roman" w:hAnsi="Times New Roman" w:cs="Times New Roman"/>
          <w:bCs/>
          <w:sz w:val="24"/>
          <w:szCs w:val="24"/>
        </w:rPr>
        <w:t xml:space="preserve"> using county data with its detailed industry coverage supplemented by </w:t>
      </w:r>
      <w:r w:rsidR="00B835CD">
        <w:rPr>
          <w:rFonts w:ascii="Times New Roman" w:hAnsi="Times New Roman" w:cs="Times New Roman"/>
          <w:bCs/>
          <w:sz w:val="24"/>
          <w:szCs w:val="24"/>
        </w:rPr>
        <w:t>congressional</w:t>
      </w:r>
      <w:r w:rsidRPr="00723E46">
        <w:rPr>
          <w:rFonts w:ascii="Times New Roman" w:hAnsi="Times New Roman" w:cs="Times New Roman"/>
          <w:bCs/>
          <w:sz w:val="24"/>
          <w:szCs w:val="24"/>
        </w:rPr>
        <w:t xml:space="preserve"> district data available in the Census for 13 broad industries.  </w:t>
      </w:r>
      <w:r w:rsidRPr="00723E46">
        <w:rPr>
          <w:rFonts w:ascii="Times New Roman" w:hAnsi="Times New Roman" w:cs="Times New Roman"/>
          <w:sz w:val="24"/>
          <w:szCs w:val="24"/>
        </w:rPr>
        <w:t xml:space="preserve">The 13 industry coverage for </w:t>
      </w:r>
      <w:r w:rsidR="00B835CD">
        <w:rPr>
          <w:rFonts w:ascii="Times New Roman" w:hAnsi="Times New Roman" w:cs="Times New Roman"/>
          <w:sz w:val="24"/>
          <w:szCs w:val="24"/>
        </w:rPr>
        <w:t>congressional</w:t>
      </w:r>
      <w:r w:rsidRPr="00723E46">
        <w:rPr>
          <w:rFonts w:ascii="Times New Roman" w:hAnsi="Times New Roman" w:cs="Times New Roman"/>
          <w:sz w:val="24"/>
          <w:szCs w:val="24"/>
        </w:rPr>
        <w:t xml:space="preserve"> districts is in </w:t>
      </w:r>
      <w:hyperlink r:id="rId25" w:history="1">
        <w:r w:rsidRPr="00723E46">
          <w:rPr>
            <w:rStyle w:val="Hyperlink"/>
            <w:rFonts w:ascii="Times New Roman" w:hAnsi="Times New Roman" w:cs="Times New Roman"/>
            <w:sz w:val="24"/>
            <w:szCs w:val="24"/>
          </w:rPr>
          <w:t>http://www2.census.gov/acs2011_1yr/CD113/</w:t>
        </w:r>
      </w:hyperlink>
      <w:r w:rsidRPr="00723E46">
        <w:rPr>
          <w:rFonts w:ascii="Times New Roman" w:hAnsi="Times New Roman" w:cs="Times New Roman"/>
          <w:color w:val="000000"/>
          <w:sz w:val="24"/>
          <w:szCs w:val="24"/>
        </w:rPr>
        <w:t xml:space="preserve"> .  For </w:t>
      </w:r>
      <w:r w:rsidR="00B835CD">
        <w:rPr>
          <w:rFonts w:ascii="Times New Roman" w:hAnsi="Times New Roman" w:cs="Times New Roman"/>
          <w:color w:val="000000"/>
          <w:sz w:val="24"/>
          <w:szCs w:val="24"/>
        </w:rPr>
        <w:t>congressional</w:t>
      </w:r>
      <w:r w:rsidRPr="00723E46">
        <w:rPr>
          <w:rFonts w:ascii="Times New Roman" w:hAnsi="Times New Roman" w:cs="Times New Roman"/>
          <w:color w:val="000000"/>
          <w:sz w:val="24"/>
          <w:szCs w:val="24"/>
        </w:rPr>
        <w:t xml:space="preserve"> districts that are contained within a county but are only part of it, we converted the 13 industries into the USAGE </w:t>
      </w:r>
      <w:r w:rsidR="00660284">
        <w:rPr>
          <w:rFonts w:ascii="Times New Roman" w:hAnsi="Times New Roman" w:cs="Times New Roman"/>
          <w:color w:val="000000"/>
          <w:sz w:val="24"/>
          <w:szCs w:val="24"/>
        </w:rPr>
        <w:t>4</w:t>
      </w:r>
      <w:r w:rsidRPr="00723E46">
        <w:rPr>
          <w:rFonts w:ascii="Times New Roman" w:hAnsi="Times New Roman" w:cs="Times New Roman"/>
          <w:color w:val="000000"/>
          <w:sz w:val="24"/>
          <w:szCs w:val="24"/>
        </w:rPr>
        <w:t xml:space="preserve">00 industries by assuming that the detailed industry breakdown within each of the 13 industries is the same as that in the county to which the </w:t>
      </w:r>
      <w:r w:rsidR="00B835CD">
        <w:rPr>
          <w:rFonts w:ascii="Times New Roman" w:hAnsi="Times New Roman" w:cs="Times New Roman"/>
          <w:color w:val="000000"/>
          <w:sz w:val="24"/>
          <w:szCs w:val="24"/>
        </w:rPr>
        <w:t>congressional</w:t>
      </w:r>
      <w:r w:rsidRPr="00723E46">
        <w:rPr>
          <w:rFonts w:ascii="Times New Roman" w:hAnsi="Times New Roman" w:cs="Times New Roman"/>
          <w:color w:val="000000"/>
          <w:sz w:val="24"/>
          <w:szCs w:val="24"/>
        </w:rPr>
        <w:t xml:space="preserve"> district belongs.  For a </w:t>
      </w:r>
      <w:r w:rsidR="00B835CD">
        <w:rPr>
          <w:rFonts w:ascii="Times New Roman" w:hAnsi="Times New Roman" w:cs="Times New Roman"/>
          <w:color w:val="000000"/>
          <w:sz w:val="24"/>
          <w:szCs w:val="24"/>
        </w:rPr>
        <w:t>congressional</w:t>
      </w:r>
      <w:r w:rsidRPr="00723E46">
        <w:rPr>
          <w:rFonts w:ascii="Times New Roman" w:hAnsi="Times New Roman" w:cs="Times New Roman"/>
          <w:color w:val="000000"/>
          <w:sz w:val="24"/>
          <w:szCs w:val="24"/>
        </w:rPr>
        <w:t xml:space="preserve"> district that lies across county borders, we allocated the 13 industry data for the </w:t>
      </w:r>
      <w:r w:rsidR="00B835CD">
        <w:rPr>
          <w:rFonts w:ascii="Times New Roman" w:hAnsi="Times New Roman" w:cs="Times New Roman"/>
          <w:color w:val="000000"/>
          <w:sz w:val="24"/>
          <w:szCs w:val="24"/>
        </w:rPr>
        <w:t>congressional</w:t>
      </w:r>
      <w:r w:rsidRPr="00723E46">
        <w:rPr>
          <w:rFonts w:ascii="Times New Roman" w:hAnsi="Times New Roman" w:cs="Times New Roman"/>
          <w:color w:val="000000"/>
          <w:sz w:val="24"/>
          <w:szCs w:val="24"/>
        </w:rPr>
        <w:t xml:space="preserve"> district to the relevant counties taking account of the location of cities and rural areas.  Then we split the allocated 13 industry data for each of the relevant counties to the </w:t>
      </w:r>
      <w:r w:rsidR="00660284">
        <w:rPr>
          <w:rFonts w:ascii="Times New Roman" w:hAnsi="Times New Roman" w:cs="Times New Roman"/>
          <w:color w:val="000000"/>
          <w:sz w:val="24"/>
          <w:szCs w:val="24"/>
        </w:rPr>
        <w:t>4</w:t>
      </w:r>
      <w:r w:rsidRPr="00723E46">
        <w:rPr>
          <w:rFonts w:ascii="Times New Roman" w:hAnsi="Times New Roman" w:cs="Times New Roman"/>
          <w:color w:val="000000"/>
          <w:sz w:val="24"/>
          <w:szCs w:val="24"/>
        </w:rPr>
        <w:t xml:space="preserve">00 level as above.  Finally, we combined the </w:t>
      </w:r>
      <w:r w:rsidR="00660284">
        <w:rPr>
          <w:rFonts w:ascii="Times New Roman" w:hAnsi="Times New Roman" w:cs="Times New Roman"/>
          <w:color w:val="000000"/>
          <w:sz w:val="24"/>
          <w:szCs w:val="24"/>
        </w:rPr>
        <w:t>4</w:t>
      </w:r>
      <w:r w:rsidRPr="00723E46">
        <w:rPr>
          <w:rFonts w:ascii="Times New Roman" w:hAnsi="Times New Roman" w:cs="Times New Roman"/>
          <w:color w:val="000000"/>
          <w:sz w:val="24"/>
          <w:szCs w:val="24"/>
        </w:rPr>
        <w:t xml:space="preserve">00 level data from the relevant counties to form the </w:t>
      </w:r>
      <w:r w:rsidR="00660284">
        <w:rPr>
          <w:rFonts w:ascii="Times New Roman" w:hAnsi="Times New Roman" w:cs="Times New Roman"/>
          <w:color w:val="000000"/>
          <w:sz w:val="24"/>
          <w:szCs w:val="24"/>
        </w:rPr>
        <w:t>4</w:t>
      </w:r>
      <w:r w:rsidRPr="00723E46">
        <w:rPr>
          <w:rFonts w:ascii="Times New Roman" w:hAnsi="Times New Roman" w:cs="Times New Roman"/>
          <w:color w:val="000000"/>
          <w:sz w:val="24"/>
          <w:szCs w:val="24"/>
        </w:rPr>
        <w:t xml:space="preserve">00 industry breakdown for the cross-county </w:t>
      </w:r>
      <w:r w:rsidR="00B835CD">
        <w:rPr>
          <w:rFonts w:ascii="Times New Roman" w:hAnsi="Times New Roman" w:cs="Times New Roman"/>
          <w:color w:val="000000"/>
          <w:sz w:val="24"/>
          <w:szCs w:val="24"/>
        </w:rPr>
        <w:t>congressional</w:t>
      </w:r>
      <w:r w:rsidRPr="00723E46">
        <w:rPr>
          <w:rFonts w:ascii="Times New Roman" w:hAnsi="Times New Roman" w:cs="Times New Roman"/>
          <w:color w:val="000000"/>
          <w:sz w:val="24"/>
          <w:szCs w:val="24"/>
        </w:rPr>
        <w:t xml:space="preserve"> district.</w:t>
      </w:r>
    </w:p>
    <w:p w:rsidR="000418E3" w:rsidRPr="00723E46" w:rsidRDefault="000418E3" w:rsidP="000418E3">
      <w:pPr>
        <w:rPr>
          <w:rFonts w:ascii="Times New Roman" w:hAnsi="Times New Roman" w:cs="Times New Roman"/>
          <w:bCs/>
          <w:sz w:val="24"/>
          <w:szCs w:val="24"/>
        </w:rPr>
      </w:pPr>
      <w:r w:rsidRPr="00723E46">
        <w:rPr>
          <w:rFonts w:ascii="Times New Roman" w:hAnsi="Times New Roman" w:cs="Times New Roman"/>
          <w:bCs/>
          <w:sz w:val="24"/>
          <w:szCs w:val="24"/>
        </w:rPr>
        <w:lastRenderedPageBreak/>
        <w:t xml:space="preserve">Another important data requirement for regional versions of USAGE is interregional trade flows.  For each region and each commodity we can estimate net trade flows from data on output and absorption (use of the commodity within the region).  Then applying a modified gravity formula, initially devised by Mark Horridge (see Dixon </w:t>
      </w:r>
      <w:r w:rsidRPr="00723E46">
        <w:rPr>
          <w:rFonts w:ascii="Times New Roman" w:hAnsi="Times New Roman" w:cs="Times New Roman"/>
          <w:bCs/>
          <w:i/>
          <w:sz w:val="24"/>
          <w:szCs w:val="24"/>
        </w:rPr>
        <w:t>et al.</w:t>
      </w:r>
      <w:r w:rsidRPr="00723E46">
        <w:rPr>
          <w:rFonts w:ascii="Times New Roman" w:hAnsi="Times New Roman" w:cs="Times New Roman"/>
          <w:bCs/>
          <w:sz w:val="24"/>
          <w:szCs w:val="24"/>
        </w:rPr>
        <w:t>, 2007</w:t>
      </w:r>
      <w:r w:rsidR="007D619D">
        <w:rPr>
          <w:rFonts w:ascii="Times New Roman" w:hAnsi="Times New Roman" w:cs="Times New Roman"/>
          <w:bCs/>
          <w:sz w:val="24"/>
          <w:szCs w:val="24"/>
        </w:rPr>
        <w:t>a</w:t>
      </w:r>
      <w:r w:rsidRPr="00723E46">
        <w:rPr>
          <w:rFonts w:ascii="Times New Roman" w:hAnsi="Times New Roman" w:cs="Times New Roman"/>
          <w:bCs/>
          <w:sz w:val="24"/>
          <w:szCs w:val="24"/>
        </w:rPr>
        <w:t xml:space="preserve">), we estimate interregional trade flows that are consistent with our estimates of net trade flows.  These interregional trade estimates take into account: the tradability of commodities; home bias (the tendency to buy the local variety); and distance between supplying and consuming regions.  </w:t>
      </w:r>
    </w:p>
    <w:p w:rsidR="000418E3" w:rsidRPr="00EA406B" w:rsidRDefault="000418E3" w:rsidP="000418E3">
      <w:pPr>
        <w:rPr>
          <w:rFonts w:ascii="Times New Roman" w:hAnsi="Times New Roman" w:cs="Times New Roman"/>
          <w:b/>
          <w:i/>
          <w:sz w:val="24"/>
          <w:szCs w:val="24"/>
        </w:rPr>
      </w:pPr>
      <w:r>
        <w:rPr>
          <w:rFonts w:ascii="Times New Roman" w:hAnsi="Times New Roman" w:cs="Times New Roman"/>
          <w:b/>
          <w:i/>
          <w:sz w:val="24"/>
          <w:szCs w:val="24"/>
        </w:rPr>
        <w:t>4.3.  Coping with huge dimensions via flexible aggregation</w:t>
      </w:r>
    </w:p>
    <w:p w:rsidR="000418E3" w:rsidRDefault="000418E3" w:rsidP="000418E3">
      <w:pPr>
        <w:rPr>
          <w:rFonts w:ascii="Times New Roman" w:hAnsi="Times New Roman" w:cs="Times New Roman"/>
          <w:sz w:val="24"/>
          <w:szCs w:val="24"/>
        </w:rPr>
      </w:pPr>
      <w:r>
        <w:rPr>
          <w:rFonts w:ascii="Times New Roman" w:hAnsi="Times New Roman" w:cs="Times New Roman"/>
          <w:sz w:val="24"/>
          <w:szCs w:val="24"/>
        </w:rPr>
        <w:t xml:space="preserve">The county version of </w:t>
      </w:r>
      <w:r w:rsidRPr="00723E46">
        <w:rPr>
          <w:rFonts w:ascii="Times New Roman" w:hAnsi="Times New Roman" w:cs="Times New Roman"/>
          <w:sz w:val="24"/>
          <w:szCs w:val="24"/>
        </w:rPr>
        <w:t>USAGE-</w:t>
      </w:r>
      <w:r>
        <w:rPr>
          <w:rFonts w:ascii="Times New Roman" w:hAnsi="Times New Roman" w:cs="Times New Roman"/>
          <w:sz w:val="24"/>
          <w:szCs w:val="24"/>
        </w:rPr>
        <w:t>TERM</w:t>
      </w:r>
      <w:r w:rsidRPr="00723E46">
        <w:rPr>
          <w:rFonts w:ascii="Times New Roman" w:hAnsi="Times New Roman" w:cs="Times New Roman"/>
          <w:sz w:val="24"/>
          <w:szCs w:val="24"/>
        </w:rPr>
        <w:t xml:space="preserve"> has potentially huge dimensions: 500 industries in 3,000 counties supplying their products to </w:t>
      </w:r>
      <w:r w:rsidR="007D619D">
        <w:rPr>
          <w:rFonts w:ascii="Times New Roman" w:hAnsi="Times New Roman" w:cs="Times New Roman"/>
          <w:sz w:val="24"/>
          <w:szCs w:val="24"/>
        </w:rPr>
        <w:t>4</w:t>
      </w:r>
      <w:r w:rsidRPr="00723E46">
        <w:rPr>
          <w:rFonts w:ascii="Times New Roman" w:hAnsi="Times New Roman" w:cs="Times New Roman"/>
          <w:sz w:val="24"/>
          <w:szCs w:val="24"/>
        </w:rPr>
        <w:t xml:space="preserve">00 industries and final users in 3,000 counties.  The dimensionality problem is reduced for </w:t>
      </w:r>
      <w:r>
        <w:rPr>
          <w:rFonts w:ascii="Times New Roman" w:hAnsi="Times New Roman" w:cs="Times New Roman"/>
          <w:sz w:val="24"/>
          <w:szCs w:val="24"/>
        </w:rPr>
        <w:t xml:space="preserve">the </w:t>
      </w:r>
      <w:r w:rsidR="00B835CD">
        <w:rPr>
          <w:rFonts w:ascii="Times New Roman" w:hAnsi="Times New Roman" w:cs="Times New Roman"/>
          <w:sz w:val="24"/>
          <w:szCs w:val="24"/>
        </w:rPr>
        <w:t>congressional</w:t>
      </w:r>
      <w:r>
        <w:rPr>
          <w:rFonts w:ascii="Times New Roman" w:hAnsi="Times New Roman" w:cs="Times New Roman"/>
          <w:sz w:val="24"/>
          <w:szCs w:val="24"/>
        </w:rPr>
        <w:t xml:space="preserve"> district version</w:t>
      </w:r>
      <w:r w:rsidRPr="00723E46">
        <w:rPr>
          <w:rFonts w:ascii="Times New Roman" w:hAnsi="Times New Roman" w:cs="Times New Roman"/>
          <w:sz w:val="24"/>
          <w:szCs w:val="24"/>
        </w:rPr>
        <w:t xml:space="preserve"> where the regional dimension is 436.  Nevertheless, even for </w:t>
      </w:r>
      <w:r>
        <w:rPr>
          <w:rFonts w:ascii="Times New Roman" w:hAnsi="Times New Roman" w:cs="Times New Roman"/>
          <w:sz w:val="24"/>
          <w:szCs w:val="24"/>
        </w:rPr>
        <w:t xml:space="preserve">the </w:t>
      </w:r>
      <w:r w:rsidR="00B835CD">
        <w:rPr>
          <w:rFonts w:ascii="Times New Roman" w:hAnsi="Times New Roman" w:cs="Times New Roman"/>
          <w:sz w:val="24"/>
          <w:szCs w:val="24"/>
        </w:rPr>
        <w:t>congressional</w:t>
      </w:r>
      <w:r>
        <w:rPr>
          <w:rFonts w:ascii="Times New Roman" w:hAnsi="Times New Roman" w:cs="Times New Roman"/>
          <w:sz w:val="24"/>
          <w:szCs w:val="24"/>
        </w:rPr>
        <w:t xml:space="preserve"> district version</w:t>
      </w:r>
      <w:r w:rsidRPr="00723E46">
        <w:rPr>
          <w:rFonts w:ascii="Times New Roman" w:hAnsi="Times New Roman" w:cs="Times New Roman"/>
          <w:sz w:val="24"/>
          <w:szCs w:val="24"/>
        </w:rPr>
        <w:t>, computations at full dimension are impractical, and even if they could be carried out, the interpretation of the results would be unnecessarily time consuming.  To address this problem, CoPS has developed a flexible aggregation program that allows model users to specify the regions and industries of interest.</w:t>
      </w:r>
      <w:r w:rsidRPr="00723E46">
        <w:rPr>
          <w:rStyle w:val="FootnoteReference"/>
          <w:rFonts w:cs="Times New Roman"/>
          <w:sz w:val="24"/>
          <w:szCs w:val="24"/>
        </w:rPr>
        <w:footnoteReference w:id="11"/>
      </w:r>
      <w:r w:rsidRPr="00723E46">
        <w:rPr>
          <w:rFonts w:ascii="Times New Roman" w:hAnsi="Times New Roman" w:cs="Times New Roman"/>
          <w:sz w:val="24"/>
          <w:szCs w:val="24"/>
        </w:rPr>
        <w:t xml:space="preserve">  The program then aggregates the full-dimension master database and creates a version of USAGE-TERM in which only the regions and industries of interest are identified.  </w:t>
      </w:r>
    </w:p>
    <w:p w:rsidR="000418E3" w:rsidRPr="00EA406B" w:rsidRDefault="000418E3" w:rsidP="000418E3">
      <w:pPr>
        <w:rPr>
          <w:rFonts w:ascii="Times New Roman" w:hAnsi="Times New Roman" w:cs="Times New Roman"/>
          <w:b/>
          <w:i/>
          <w:sz w:val="24"/>
          <w:szCs w:val="24"/>
        </w:rPr>
      </w:pPr>
      <w:r>
        <w:rPr>
          <w:rFonts w:ascii="Times New Roman" w:hAnsi="Times New Roman" w:cs="Times New Roman"/>
          <w:b/>
          <w:i/>
          <w:sz w:val="24"/>
          <w:szCs w:val="24"/>
        </w:rPr>
        <w:t>4.4.  Simulations, baseline runs and perturbation runs</w:t>
      </w:r>
    </w:p>
    <w:p w:rsidR="000418E3" w:rsidRPr="00DF65BC" w:rsidRDefault="000418E3"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 xml:space="preserve">As is the case with USAGE, a </w:t>
      </w:r>
      <w:r w:rsidRPr="00680067">
        <w:rPr>
          <w:rFonts w:ascii="Times New Roman" w:hAnsi="Times New Roman" w:cs="Times New Roman"/>
          <w:i/>
          <w:sz w:val="24"/>
          <w:szCs w:val="24"/>
        </w:rPr>
        <w:t>simulation</w:t>
      </w:r>
      <w:r>
        <w:rPr>
          <w:rFonts w:ascii="Times New Roman" w:hAnsi="Times New Roman" w:cs="Times New Roman"/>
          <w:sz w:val="24"/>
          <w:szCs w:val="24"/>
        </w:rPr>
        <w:t xml:space="preserve"> with the USAGE-TERM model consists of two </w:t>
      </w:r>
      <w:r w:rsidRPr="00680067">
        <w:rPr>
          <w:rFonts w:ascii="Times New Roman" w:hAnsi="Times New Roman" w:cs="Times New Roman"/>
          <w:i/>
          <w:sz w:val="24"/>
          <w:szCs w:val="24"/>
        </w:rPr>
        <w:t>runs</w:t>
      </w:r>
      <w:r>
        <w:rPr>
          <w:rFonts w:ascii="Times New Roman" w:hAnsi="Times New Roman" w:cs="Times New Roman"/>
          <w:sz w:val="24"/>
          <w:szCs w:val="24"/>
        </w:rPr>
        <w:t xml:space="preserve">: a baseline run and a perturbation run.  The baseline run is intended to be a business-as-usual forecast.  It incorporates macro forecasts and forecasts for energy variables obtained from the Energy Information Administration’s publication </w:t>
      </w:r>
      <w:r w:rsidR="007D619D">
        <w:rPr>
          <w:rFonts w:ascii="Times New Roman" w:hAnsi="Times New Roman" w:cs="Times New Roman"/>
          <w:sz w:val="24"/>
          <w:szCs w:val="24"/>
        </w:rPr>
        <w:t>en</w:t>
      </w:r>
      <w:r>
        <w:rPr>
          <w:rFonts w:ascii="Times New Roman" w:hAnsi="Times New Roman" w:cs="Times New Roman"/>
          <w:sz w:val="24"/>
          <w:szCs w:val="24"/>
        </w:rPr>
        <w:t xml:space="preserve">titled </w:t>
      </w:r>
      <w:r w:rsidRPr="00DF65BC">
        <w:rPr>
          <w:rFonts w:ascii="Times New Roman" w:hAnsi="Times New Roman" w:cs="Times New Roman"/>
          <w:i/>
          <w:sz w:val="24"/>
          <w:szCs w:val="24"/>
        </w:rPr>
        <w:t>Annual Energy Outlook</w:t>
      </w:r>
      <w:r>
        <w:rPr>
          <w:rFonts w:ascii="Times New Roman" w:hAnsi="Times New Roman" w:cs="Times New Roman"/>
          <w:sz w:val="24"/>
          <w:szCs w:val="24"/>
        </w:rPr>
        <w:t xml:space="preserve">.  We also build in trends in technology and consumer preferences.  The perturbation run shows an alternative forecasts that includes an additional change in the economic environment.  Usually this is a policy change, but here it is a terrorism incident.  Consequently, we will </w:t>
      </w:r>
      <w:r w:rsidR="007D619D">
        <w:rPr>
          <w:rFonts w:ascii="Times New Roman" w:hAnsi="Times New Roman" w:cs="Times New Roman"/>
          <w:sz w:val="24"/>
          <w:szCs w:val="24"/>
        </w:rPr>
        <w:t xml:space="preserve">sometimes </w:t>
      </w:r>
      <w:r>
        <w:rPr>
          <w:rFonts w:ascii="Times New Roman" w:hAnsi="Times New Roman" w:cs="Times New Roman"/>
          <w:sz w:val="24"/>
          <w:szCs w:val="24"/>
        </w:rPr>
        <w:t xml:space="preserve">refer to the perturbation run as the terrorism run.  Comparison of the terrorism and baseline runs shows the economic effects of the terrorism incident.  </w:t>
      </w:r>
    </w:p>
    <w:p w:rsidR="000418E3" w:rsidRPr="00DF65BC" w:rsidRDefault="000418E3" w:rsidP="000418E3">
      <w:pPr>
        <w:pStyle w:val="ListParagraph"/>
        <w:ind w:left="0"/>
        <w:contextualSpacing w:val="0"/>
        <w:rPr>
          <w:rFonts w:ascii="Times New Roman" w:hAnsi="Times New Roman" w:cs="Times New Roman"/>
          <w:b/>
          <w:sz w:val="24"/>
          <w:szCs w:val="24"/>
        </w:rPr>
      </w:pPr>
      <w:r>
        <w:rPr>
          <w:rFonts w:ascii="Times New Roman" w:hAnsi="Times New Roman" w:cs="Times New Roman"/>
          <w:b/>
          <w:sz w:val="24"/>
          <w:szCs w:val="24"/>
        </w:rPr>
        <w:t xml:space="preserve">5.  </w:t>
      </w:r>
      <w:r w:rsidRPr="00DF65BC">
        <w:rPr>
          <w:rFonts w:ascii="Times New Roman" w:hAnsi="Times New Roman" w:cs="Times New Roman"/>
          <w:b/>
          <w:sz w:val="24"/>
          <w:szCs w:val="24"/>
        </w:rPr>
        <w:t>Measuring the welfare effects of a terrorism incident</w:t>
      </w:r>
    </w:p>
    <w:p w:rsidR="000418E3" w:rsidRDefault="008B0D36"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E</w:t>
      </w:r>
      <w:r w:rsidR="000418E3">
        <w:rPr>
          <w:rFonts w:ascii="Times New Roman" w:hAnsi="Times New Roman" w:cs="Times New Roman"/>
          <w:sz w:val="24"/>
          <w:szCs w:val="24"/>
        </w:rPr>
        <w:t xml:space="preserve">conomic implication variables </w:t>
      </w:r>
      <w:r>
        <w:rPr>
          <w:rFonts w:ascii="Times New Roman" w:hAnsi="Times New Roman" w:cs="Times New Roman"/>
          <w:sz w:val="24"/>
          <w:szCs w:val="24"/>
        </w:rPr>
        <w:t xml:space="preserve">1 to </w:t>
      </w:r>
      <w:r w:rsidR="007D619D">
        <w:rPr>
          <w:rFonts w:ascii="Times New Roman" w:hAnsi="Times New Roman" w:cs="Times New Roman"/>
          <w:sz w:val="24"/>
          <w:szCs w:val="24"/>
        </w:rPr>
        <w:t>8</w:t>
      </w:r>
      <w:r>
        <w:rPr>
          <w:rFonts w:ascii="Times New Roman" w:hAnsi="Times New Roman" w:cs="Times New Roman"/>
          <w:sz w:val="24"/>
          <w:szCs w:val="24"/>
        </w:rPr>
        <w:t xml:space="preserve"> </w:t>
      </w:r>
      <w:r w:rsidR="000418E3">
        <w:rPr>
          <w:rFonts w:ascii="Times New Roman" w:hAnsi="Times New Roman" w:cs="Times New Roman"/>
          <w:sz w:val="24"/>
          <w:szCs w:val="24"/>
        </w:rPr>
        <w:t>listed in section 1 refer to GDP and employment for the nation and for the target region in the short- and long-runs.  GDP and employment are well understood variables and their measurement is relatively uncontroversial.  Perhaps all that needs to be mentioned is that we measure employment in wagebill terms, that is</w:t>
      </w:r>
      <w:r>
        <w:rPr>
          <w:rFonts w:ascii="Times New Roman" w:hAnsi="Times New Roman" w:cs="Times New Roman"/>
          <w:sz w:val="24"/>
          <w:szCs w:val="24"/>
        </w:rPr>
        <w:t>,</w:t>
      </w:r>
      <w:r w:rsidR="000418E3">
        <w:rPr>
          <w:rFonts w:ascii="Times New Roman" w:hAnsi="Times New Roman" w:cs="Times New Roman"/>
          <w:sz w:val="24"/>
          <w:szCs w:val="24"/>
        </w:rPr>
        <w:t xml:space="preserve"> </w:t>
      </w:r>
      <w:r>
        <w:rPr>
          <w:rFonts w:ascii="Times New Roman" w:hAnsi="Times New Roman" w:cs="Times New Roman"/>
          <w:sz w:val="24"/>
          <w:szCs w:val="24"/>
        </w:rPr>
        <w:t xml:space="preserve">the loss of a job counts twice as heavily </w:t>
      </w:r>
      <w:r w:rsidR="00417ED1">
        <w:rPr>
          <w:rFonts w:ascii="Times New Roman" w:hAnsi="Times New Roman" w:cs="Times New Roman"/>
          <w:sz w:val="24"/>
          <w:szCs w:val="24"/>
        </w:rPr>
        <w:t>when it occurs in</w:t>
      </w:r>
      <w:r>
        <w:rPr>
          <w:rFonts w:ascii="Times New Roman" w:hAnsi="Times New Roman" w:cs="Times New Roman"/>
          <w:sz w:val="24"/>
          <w:szCs w:val="24"/>
        </w:rPr>
        <w:t xml:space="preserve"> </w:t>
      </w:r>
      <w:r w:rsidR="00417ED1">
        <w:rPr>
          <w:rFonts w:ascii="Times New Roman" w:hAnsi="Times New Roman" w:cs="Times New Roman"/>
          <w:sz w:val="24"/>
          <w:szCs w:val="24"/>
        </w:rPr>
        <w:t xml:space="preserve">an </w:t>
      </w:r>
      <w:r>
        <w:rPr>
          <w:rFonts w:ascii="Times New Roman" w:hAnsi="Times New Roman" w:cs="Times New Roman"/>
          <w:sz w:val="24"/>
          <w:szCs w:val="24"/>
        </w:rPr>
        <w:t xml:space="preserve">occupation </w:t>
      </w:r>
      <w:r w:rsidR="00417ED1">
        <w:rPr>
          <w:rFonts w:ascii="Times New Roman" w:hAnsi="Times New Roman" w:cs="Times New Roman"/>
          <w:sz w:val="24"/>
          <w:szCs w:val="24"/>
        </w:rPr>
        <w:t>with</w:t>
      </w:r>
      <w:r>
        <w:rPr>
          <w:rFonts w:ascii="Times New Roman" w:hAnsi="Times New Roman" w:cs="Times New Roman"/>
          <w:sz w:val="24"/>
          <w:szCs w:val="24"/>
        </w:rPr>
        <w:t xml:space="preserve"> wage rate </w:t>
      </w:r>
      <w:r w:rsidR="00417ED1">
        <w:rPr>
          <w:rFonts w:ascii="Times New Roman" w:hAnsi="Times New Roman" w:cs="Times New Roman"/>
          <w:sz w:val="24"/>
          <w:szCs w:val="24"/>
        </w:rPr>
        <w:t>2</w:t>
      </w:r>
      <w:r>
        <w:rPr>
          <w:rFonts w:ascii="Times New Roman" w:hAnsi="Times New Roman" w:cs="Times New Roman"/>
          <w:sz w:val="24"/>
          <w:szCs w:val="24"/>
        </w:rPr>
        <w:t xml:space="preserve"> than </w:t>
      </w:r>
      <w:r w:rsidR="00417ED1">
        <w:rPr>
          <w:rFonts w:ascii="Times New Roman" w:hAnsi="Times New Roman" w:cs="Times New Roman"/>
          <w:sz w:val="24"/>
          <w:szCs w:val="24"/>
        </w:rPr>
        <w:t>when it occurs in an</w:t>
      </w:r>
      <w:r>
        <w:rPr>
          <w:rFonts w:ascii="Times New Roman" w:hAnsi="Times New Roman" w:cs="Times New Roman"/>
          <w:sz w:val="24"/>
          <w:szCs w:val="24"/>
        </w:rPr>
        <w:t xml:space="preserve"> occupation </w:t>
      </w:r>
      <w:r w:rsidR="00417ED1">
        <w:rPr>
          <w:rFonts w:ascii="Times New Roman" w:hAnsi="Times New Roman" w:cs="Times New Roman"/>
          <w:sz w:val="24"/>
          <w:szCs w:val="24"/>
        </w:rPr>
        <w:t>with</w:t>
      </w:r>
      <w:r>
        <w:rPr>
          <w:rFonts w:ascii="Times New Roman" w:hAnsi="Times New Roman" w:cs="Times New Roman"/>
          <w:sz w:val="24"/>
          <w:szCs w:val="24"/>
        </w:rPr>
        <w:t xml:space="preserve"> wage rate </w:t>
      </w:r>
      <w:r w:rsidR="00417ED1">
        <w:rPr>
          <w:rFonts w:ascii="Times New Roman" w:hAnsi="Times New Roman" w:cs="Times New Roman"/>
          <w:sz w:val="24"/>
          <w:szCs w:val="24"/>
        </w:rPr>
        <w:t>1</w:t>
      </w:r>
      <w:r>
        <w:rPr>
          <w:rFonts w:ascii="Times New Roman" w:hAnsi="Times New Roman" w:cs="Times New Roman"/>
          <w:sz w:val="24"/>
          <w:szCs w:val="24"/>
        </w:rPr>
        <w:t xml:space="preserve">.  </w:t>
      </w:r>
      <w:r w:rsidR="000418E3">
        <w:rPr>
          <w:rFonts w:ascii="Times New Roman" w:hAnsi="Times New Roman" w:cs="Times New Roman"/>
          <w:sz w:val="24"/>
          <w:szCs w:val="24"/>
        </w:rPr>
        <w:t xml:space="preserve">In our simulations of the effects of terrorism we have found that here is little difference in the movements of the wagebill index for employment and the job-count index.  </w:t>
      </w:r>
    </w:p>
    <w:p w:rsidR="000418E3" w:rsidRDefault="000418E3"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By contrast, implication variable</w:t>
      </w:r>
      <w:r w:rsidR="001F14F0">
        <w:rPr>
          <w:rFonts w:ascii="Times New Roman" w:hAnsi="Times New Roman" w:cs="Times New Roman"/>
          <w:sz w:val="24"/>
          <w:szCs w:val="24"/>
        </w:rPr>
        <w:t>s</w:t>
      </w:r>
      <w:r w:rsidR="00417ED1">
        <w:rPr>
          <w:rFonts w:ascii="Times New Roman" w:hAnsi="Times New Roman" w:cs="Times New Roman"/>
          <w:sz w:val="24"/>
          <w:szCs w:val="24"/>
        </w:rPr>
        <w:t xml:space="preserve"> </w:t>
      </w:r>
      <w:r w:rsidR="007D619D">
        <w:rPr>
          <w:rFonts w:ascii="Times New Roman" w:hAnsi="Times New Roman" w:cs="Times New Roman"/>
          <w:sz w:val="24"/>
          <w:szCs w:val="24"/>
        </w:rPr>
        <w:t>9</w:t>
      </w:r>
      <w:r w:rsidR="00417ED1">
        <w:rPr>
          <w:rFonts w:ascii="Times New Roman" w:hAnsi="Times New Roman" w:cs="Times New Roman"/>
          <w:sz w:val="24"/>
          <w:szCs w:val="24"/>
        </w:rPr>
        <w:t xml:space="preserve"> and </w:t>
      </w:r>
      <w:r w:rsidR="007D619D">
        <w:rPr>
          <w:rFonts w:ascii="Times New Roman" w:hAnsi="Times New Roman" w:cs="Times New Roman"/>
          <w:sz w:val="24"/>
          <w:szCs w:val="24"/>
        </w:rPr>
        <w:t>10</w:t>
      </w:r>
      <w:r>
        <w:rPr>
          <w:rFonts w:ascii="Times New Roman" w:hAnsi="Times New Roman" w:cs="Times New Roman"/>
          <w:sz w:val="24"/>
          <w:szCs w:val="24"/>
        </w:rPr>
        <w:t xml:space="preserve">, </w:t>
      </w:r>
      <w:r w:rsidR="00417ED1">
        <w:rPr>
          <w:rFonts w:ascii="Times New Roman" w:hAnsi="Times New Roman" w:cs="Times New Roman"/>
          <w:sz w:val="24"/>
          <w:szCs w:val="24"/>
        </w:rPr>
        <w:t xml:space="preserve">the </w:t>
      </w:r>
      <w:r w:rsidR="001F14F0">
        <w:rPr>
          <w:rFonts w:ascii="Times New Roman" w:hAnsi="Times New Roman" w:cs="Times New Roman"/>
          <w:sz w:val="24"/>
          <w:szCs w:val="24"/>
        </w:rPr>
        <w:t xml:space="preserve">two measures of </w:t>
      </w:r>
      <w:r>
        <w:rPr>
          <w:rFonts w:ascii="Times New Roman" w:hAnsi="Times New Roman" w:cs="Times New Roman"/>
          <w:sz w:val="24"/>
          <w:szCs w:val="24"/>
        </w:rPr>
        <w:t xml:space="preserve">welfare, need a full explanation.   </w:t>
      </w:r>
    </w:p>
    <w:p w:rsidR="000418E3" w:rsidRDefault="000418E3"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 xml:space="preserve">In all our simulations the terrorism incident under examination takes place in 2015.  We call this year 1.  The simulations then cover the period out to 2034, year 20.  We measure welfare in terms of present value in 2014, year zero.  </w:t>
      </w:r>
      <w:r w:rsidR="00E23E63">
        <w:rPr>
          <w:rFonts w:ascii="Times New Roman" w:hAnsi="Times New Roman" w:cs="Times New Roman"/>
          <w:sz w:val="24"/>
          <w:szCs w:val="24"/>
        </w:rPr>
        <w:t xml:space="preserve">As discussed below, there are differing views on </w:t>
      </w:r>
      <w:r w:rsidR="00E23E63">
        <w:rPr>
          <w:rFonts w:ascii="Times New Roman" w:hAnsi="Times New Roman" w:cs="Times New Roman"/>
          <w:sz w:val="24"/>
          <w:szCs w:val="24"/>
        </w:rPr>
        <w:lastRenderedPageBreak/>
        <w:t>the discount rate appropriate in calculating present values.  We define two welfare measures: one with a discount rate of 5 per cent and the other with a discount rate of 2 per cent.</w:t>
      </w:r>
      <w:r w:rsidR="007D619D">
        <w:rPr>
          <w:rStyle w:val="FootnoteReference"/>
          <w:rFonts w:ascii="Times New Roman" w:hAnsi="Times New Roman" w:cs="Times New Roman"/>
          <w:sz w:val="24"/>
          <w:szCs w:val="24"/>
        </w:rPr>
        <w:footnoteReference w:id="12"/>
      </w:r>
      <w:r w:rsidR="00E23E63">
        <w:rPr>
          <w:rFonts w:ascii="Times New Roman" w:hAnsi="Times New Roman" w:cs="Times New Roman"/>
          <w:sz w:val="24"/>
          <w:szCs w:val="24"/>
        </w:rPr>
        <w:t xml:space="preserve">  </w:t>
      </w:r>
    </w:p>
    <w:p w:rsidR="000418E3" w:rsidRDefault="000418E3"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 xml:space="preserve">A terrorism incident perpetrated in year 1 changes the path of the economy through all future years.  Depending on the nature of the incident, there will be changes in public expenditures, changes in investment requirements and changes in foreign debt.  Typically we would expect a serious incident to cause an initial blow-out in </w:t>
      </w:r>
      <w:r w:rsidR="00864945">
        <w:rPr>
          <w:rFonts w:ascii="Times New Roman" w:hAnsi="Times New Roman" w:cs="Times New Roman"/>
          <w:sz w:val="24"/>
          <w:szCs w:val="24"/>
        </w:rPr>
        <w:t xml:space="preserve">public </w:t>
      </w:r>
      <w:r>
        <w:rPr>
          <w:rFonts w:ascii="Times New Roman" w:hAnsi="Times New Roman" w:cs="Times New Roman"/>
          <w:sz w:val="24"/>
          <w:szCs w:val="24"/>
        </w:rPr>
        <w:t xml:space="preserve">expenditures followed by contraction as public and foreign debt is reined in.  Our problem is to summarize these dynamic effects </w:t>
      </w:r>
      <w:r w:rsidRPr="00E23E63">
        <w:rPr>
          <w:rFonts w:ascii="Times New Roman" w:hAnsi="Times New Roman" w:cs="Times New Roman"/>
          <w:sz w:val="24"/>
          <w:szCs w:val="24"/>
        </w:rPr>
        <w:t>into a welfare number for each incident.  T</w:t>
      </w:r>
      <w:r>
        <w:rPr>
          <w:rFonts w:ascii="Times New Roman" w:hAnsi="Times New Roman" w:cs="Times New Roman"/>
          <w:sz w:val="24"/>
          <w:szCs w:val="24"/>
        </w:rPr>
        <w:t xml:space="preserve">his is necessary if we are to compare and rank incidents.  </w:t>
      </w:r>
    </w:p>
    <w:p w:rsidR="000418E3" w:rsidRDefault="000418E3"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 xml:space="preserve">In popular discussions, GDP effects are often mentioned as if they are indicators of welfare.  GDP is a measure of output.  A terrorism incident requiring an intensive rebuilding program could increase GDP.  But before we draw the conclusion that there is an associated increase in economic welfare, we need to consider the extent to which the rebuilding program draws capital and labor away from the production of goods and services that give people pleasure. </w:t>
      </w:r>
    </w:p>
    <w:p w:rsidR="000418E3" w:rsidRDefault="000418E3"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 xml:space="preserve">This consideration leads us to focus on private consumption as the central component in measuring welfare.  But what aspects of private consumptions should be included and excluded, and what about public consumption?  </w:t>
      </w:r>
    </w:p>
    <w:p w:rsidR="000418E3" w:rsidRDefault="000418E3"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 xml:space="preserve">For assessing the welfare effects of a terrorism incident we decided to exclude private expenditures on health and relocation from our welfare-relevant measure of consumption.  Thus, we capture the idea that a terrorism event which imposes additional health and relocation costs on households is, on this account, welfare reducing.  It causes households to divert expenditure away from things that give pleasure towards rehabilitation spending.  This diversion might be immediate if households finance the expenditures or it might be delayed if the expenditures are subsidized by the government and paid for later by households through tighter macro policy necessitated by debt reduction.  However the timing of the diversion doesn’t make any difference to the decision to exclude from welfare household rehabilitations expenditures that wouldn’t have taken place in the absence of the incident.   </w:t>
      </w:r>
    </w:p>
    <w:p w:rsidR="000418E3" w:rsidRDefault="000418E3"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 xml:space="preserve">In general, there is a case for including public expenditure in measures of welfare.  However, here we exclude it.  In regions outside the target city we assume that terrorism events cause the same percentage deviation in public expenditure as in private expenditure.  Under this assumption, the inclusion of public expenditure would make no difference to our calculation of welfare rankings.  In the target city, we allow for public rehabilitation expenditures.  As with private rehabilitation expenditures these should be excluded from welfare.   </w:t>
      </w:r>
    </w:p>
    <w:p w:rsidR="000418E3" w:rsidRDefault="000418E3"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 xml:space="preserve">Remaining issues are distribution, timing (dynamics) and loss of life.  On distribution, we have adopted a utilitarian approach.  We don’t distinguish between a dollar of lost consumption for a rich household </w:t>
      </w:r>
      <w:r w:rsidR="00864945">
        <w:rPr>
          <w:rFonts w:ascii="Times New Roman" w:hAnsi="Times New Roman" w:cs="Times New Roman"/>
          <w:sz w:val="24"/>
          <w:szCs w:val="24"/>
        </w:rPr>
        <w:t>and</w:t>
      </w:r>
      <w:r>
        <w:rPr>
          <w:rFonts w:ascii="Times New Roman" w:hAnsi="Times New Roman" w:cs="Times New Roman"/>
          <w:sz w:val="24"/>
          <w:szCs w:val="24"/>
        </w:rPr>
        <w:t xml:space="preserve"> a poor household.  This is more a necessity than a carefully chosen assumption: our present model treats households in each region as a single entity.  </w:t>
      </w:r>
    </w:p>
    <w:p w:rsidR="000418E3" w:rsidRDefault="000418E3"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 xml:space="preserve">On timing, the issue comes down to the discount rate and the terminal conditions.  </w:t>
      </w:r>
      <w:r w:rsidR="008A3914">
        <w:rPr>
          <w:rFonts w:ascii="Times New Roman" w:hAnsi="Times New Roman" w:cs="Times New Roman"/>
          <w:sz w:val="24"/>
          <w:szCs w:val="24"/>
        </w:rPr>
        <w:t>On the discount rate, there are arguments in the literature suggesting rates anywhere between 1 and 15 per cent.</w:t>
      </w:r>
      <w:r w:rsidR="008A3914" w:rsidRPr="008A3914">
        <w:rPr>
          <w:rStyle w:val="FootnoteReference"/>
          <w:rFonts w:cs="Times New Roman"/>
          <w:sz w:val="24"/>
          <w:szCs w:val="24"/>
        </w:rPr>
        <w:t xml:space="preserve"> </w:t>
      </w:r>
      <w:r w:rsidR="008A3914">
        <w:rPr>
          <w:rStyle w:val="FootnoteReference"/>
          <w:rFonts w:cs="Times New Roman"/>
          <w:sz w:val="24"/>
          <w:szCs w:val="24"/>
        </w:rPr>
        <w:footnoteReference w:id="13"/>
      </w:r>
      <w:r w:rsidR="008A3914">
        <w:rPr>
          <w:rFonts w:cs="Times New Roman"/>
          <w:sz w:val="24"/>
          <w:szCs w:val="24"/>
        </w:rPr>
        <w:t xml:space="preserve">  </w:t>
      </w:r>
      <w:r w:rsidR="008A3914">
        <w:rPr>
          <w:rFonts w:ascii="Times New Roman" w:hAnsi="Times New Roman" w:cs="Times New Roman"/>
          <w:sz w:val="24"/>
          <w:szCs w:val="24"/>
        </w:rPr>
        <w:t>The U.S. Office of Management and Budget favors the use of U.S. bond rates as discount rates</w:t>
      </w:r>
      <w:r w:rsidR="008A3914">
        <w:rPr>
          <w:rStyle w:val="FootnoteReference"/>
          <w:rFonts w:cs="Times New Roman"/>
          <w:sz w:val="24"/>
          <w:szCs w:val="24"/>
        </w:rPr>
        <w:footnoteReference w:id="14"/>
      </w:r>
      <w:r w:rsidR="008A3914">
        <w:rPr>
          <w:rFonts w:ascii="Times New Roman" w:hAnsi="Times New Roman" w:cs="Times New Roman"/>
          <w:sz w:val="24"/>
          <w:szCs w:val="24"/>
        </w:rPr>
        <w:t xml:space="preserve">.  Given the uncertainty surrounding the appropriate choice, we decided to </w:t>
      </w:r>
      <w:r w:rsidR="008A3914">
        <w:rPr>
          <w:rFonts w:ascii="Times New Roman" w:hAnsi="Times New Roman" w:cs="Times New Roman"/>
          <w:sz w:val="24"/>
          <w:szCs w:val="24"/>
        </w:rPr>
        <w:lastRenderedPageBreak/>
        <w:t xml:space="preserve">produce results for two rates: </w:t>
      </w:r>
      <w:r w:rsidR="008A3914" w:rsidRPr="00FD2557">
        <w:rPr>
          <w:rFonts w:ascii="Times New Roman" w:hAnsi="Times New Roman" w:cs="Times New Roman"/>
          <w:sz w:val="24"/>
          <w:szCs w:val="24"/>
        </w:rPr>
        <w:t xml:space="preserve">5 per cent </w:t>
      </w:r>
      <w:r w:rsidR="0008516C">
        <w:rPr>
          <w:rFonts w:ascii="Times New Roman" w:hAnsi="Times New Roman" w:cs="Times New Roman"/>
          <w:sz w:val="24"/>
          <w:szCs w:val="24"/>
        </w:rPr>
        <w:t xml:space="preserve">which we consider a high rate </w:t>
      </w:r>
      <w:r w:rsidR="008A3914" w:rsidRPr="00FD2557">
        <w:rPr>
          <w:rFonts w:ascii="Times New Roman" w:hAnsi="Times New Roman" w:cs="Times New Roman"/>
          <w:sz w:val="24"/>
          <w:szCs w:val="24"/>
        </w:rPr>
        <w:t>and 2 per cent</w:t>
      </w:r>
      <w:r w:rsidR="0008516C">
        <w:rPr>
          <w:rFonts w:ascii="Times New Roman" w:hAnsi="Times New Roman" w:cs="Times New Roman"/>
          <w:sz w:val="24"/>
          <w:szCs w:val="24"/>
        </w:rPr>
        <w:t xml:space="preserve"> which we consider a low rate</w:t>
      </w:r>
      <w:r w:rsidR="008A3914">
        <w:rPr>
          <w:rFonts w:ascii="Times New Roman" w:hAnsi="Times New Roman" w:cs="Times New Roman"/>
          <w:sz w:val="24"/>
          <w:szCs w:val="24"/>
        </w:rPr>
        <w:t xml:space="preserve">.  A discount rate of 5 per cent </w:t>
      </w:r>
      <w:r>
        <w:rPr>
          <w:rFonts w:ascii="Times New Roman" w:hAnsi="Times New Roman" w:cs="Times New Roman"/>
          <w:sz w:val="24"/>
          <w:szCs w:val="24"/>
        </w:rPr>
        <w:t>means that the loss of $1 of consumption next year is equivalent to the loss of $0.95 this year</w:t>
      </w:r>
      <w:r w:rsidR="00A86ADB">
        <w:rPr>
          <w:rFonts w:ascii="Times New Roman" w:hAnsi="Times New Roman" w:cs="Times New Roman"/>
          <w:sz w:val="24"/>
          <w:szCs w:val="24"/>
        </w:rPr>
        <w:t xml:space="preserve"> while a discount rate of 2 per cent means that the loss of $1 of consumption next year is equivalent to the loss of $0.98 this year</w:t>
      </w:r>
      <w:r>
        <w:rPr>
          <w:rFonts w:ascii="Times New Roman" w:hAnsi="Times New Roman" w:cs="Times New Roman"/>
          <w:sz w:val="24"/>
          <w:szCs w:val="24"/>
        </w:rPr>
        <w:t>.</w:t>
      </w:r>
      <w:r w:rsidR="00864945">
        <w:rPr>
          <w:rStyle w:val="FootnoteReference"/>
          <w:rFonts w:ascii="Times New Roman" w:hAnsi="Times New Roman" w:cs="Times New Roman"/>
          <w:sz w:val="24"/>
          <w:szCs w:val="24"/>
        </w:rPr>
        <w:footnoteReference w:id="15"/>
      </w:r>
      <w:r>
        <w:rPr>
          <w:rFonts w:ascii="Times New Roman" w:hAnsi="Times New Roman" w:cs="Times New Roman"/>
          <w:sz w:val="24"/>
          <w:szCs w:val="24"/>
        </w:rPr>
        <w:t xml:space="preserve">  Terminal conditions are necessary because computations must be finite.  As mentioned earlier, we end the computations at year 20, 2034.  At the end of year 20, we must take account of how the terrorism incident in year 1 has affected the stock of U.S. wealth.  If this stock is lower at the end of year 20 in the terrorism run than in the baseline run, then this is a welfare loss additional to that associated with reductions in consumption in years 1 to 20.  We measure the stock of U.S. wealth by the value of physical assets in the U.S. (buildings, machines, houses, infrastructure) less U.S. net foreign liabilities.  For inclusion in our welfare measure, the stock of wealth is </w:t>
      </w:r>
      <w:r w:rsidR="00864945">
        <w:rPr>
          <w:rFonts w:ascii="Times New Roman" w:hAnsi="Times New Roman" w:cs="Times New Roman"/>
          <w:sz w:val="24"/>
          <w:szCs w:val="24"/>
        </w:rPr>
        <w:t>adjusted</w:t>
      </w:r>
      <w:r>
        <w:rPr>
          <w:rFonts w:ascii="Times New Roman" w:hAnsi="Times New Roman" w:cs="Times New Roman"/>
          <w:sz w:val="24"/>
          <w:szCs w:val="24"/>
        </w:rPr>
        <w:t xml:space="preserve"> for inflation (that is we consider real wealth) and we also apply </w:t>
      </w:r>
      <w:r w:rsidR="00864945">
        <w:rPr>
          <w:rFonts w:ascii="Times New Roman" w:hAnsi="Times New Roman" w:cs="Times New Roman"/>
          <w:sz w:val="24"/>
          <w:szCs w:val="24"/>
        </w:rPr>
        <w:t>a time-preference</w:t>
      </w:r>
      <w:r>
        <w:rPr>
          <w:rFonts w:ascii="Times New Roman" w:hAnsi="Times New Roman" w:cs="Times New Roman"/>
          <w:sz w:val="24"/>
          <w:szCs w:val="24"/>
        </w:rPr>
        <w:t xml:space="preserve"> discount rate of </w:t>
      </w:r>
      <w:r w:rsidR="0008516C">
        <w:rPr>
          <w:rFonts w:ascii="Times New Roman" w:hAnsi="Times New Roman" w:cs="Times New Roman"/>
          <w:sz w:val="24"/>
          <w:szCs w:val="24"/>
        </w:rPr>
        <w:t xml:space="preserve">either </w:t>
      </w:r>
      <w:r>
        <w:rPr>
          <w:rFonts w:ascii="Times New Roman" w:hAnsi="Times New Roman" w:cs="Times New Roman"/>
          <w:sz w:val="24"/>
          <w:szCs w:val="24"/>
        </w:rPr>
        <w:t>5 per cent</w:t>
      </w:r>
      <w:r w:rsidR="0008516C">
        <w:rPr>
          <w:rFonts w:ascii="Times New Roman" w:hAnsi="Times New Roman" w:cs="Times New Roman"/>
          <w:sz w:val="24"/>
          <w:szCs w:val="24"/>
        </w:rPr>
        <w:t xml:space="preserve"> or 2 per cent </w:t>
      </w:r>
      <w:r>
        <w:rPr>
          <w:rFonts w:ascii="Times New Roman" w:hAnsi="Times New Roman" w:cs="Times New Roman"/>
          <w:sz w:val="24"/>
          <w:szCs w:val="24"/>
        </w:rPr>
        <w:t xml:space="preserve">a year, giving a discount factor </w:t>
      </w:r>
      <w:r w:rsidR="00864945">
        <w:rPr>
          <w:rFonts w:ascii="Times New Roman" w:hAnsi="Times New Roman" w:cs="Times New Roman"/>
          <w:sz w:val="24"/>
          <w:szCs w:val="24"/>
        </w:rPr>
        <w:t xml:space="preserve">for real wealth held at the </w:t>
      </w:r>
      <w:r>
        <w:rPr>
          <w:rFonts w:ascii="Times New Roman" w:hAnsi="Times New Roman" w:cs="Times New Roman"/>
          <w:sz w:val="24"/>
          <w:szCs w:val="24"/>
        </w:rPr>
        <w:t xml:space="preserve">end of year 20 of 0.341 </w:t>
      </w:r>
      <w:r w:rsidR="0008516C">
        <w:rPr>
          <w:rFonts w:ascii="Times New Roman" w:hAnsi="Times New Roman" w:cs="Times New Roman"/>
          <w:sz w:val="24"/>
          <w:szCs w:val="24"/>
        </w:rPr>
        <w:t xml:space="preserve">or 0.651 </w:t>
      </w:r>
      <w:r>
        <w:rPr>
          <w:rFonts w:ascii="Times New Roman" w:hAnsi="Times New Roman" w:cs="Times New Roman"/>
          <w:sz w:val="24"/>
          <w:szCs w:val="24"/>
        </w:rPr>
        <w:t>(=</w:t>
      </w:r>
      <w:r w:rsidR="0008516C">
        <w:rPr>
          <w:rFonts w:ascii="Times New Roman" w:hAnsi="Times New Roman" w:cs="Times New Roman"/>
          <w:sz w:val="24"/>
          <w:szCs w:val="24"/>
        </w:rPr>
        <w:t xml:space="preserve"> </w:t>
      </w:r>
      <w:r>
        <w:rPr>
          <w:rFonts w:ascii="Times New Roman" w:hAnsi="Times New Roman" w:cs="Times New Roman"/>
          <w:sz w:val="24"/>
          <w:szCs w:val="24"/>
        </w:rPr>
        <w:t>0.95^21</w:t>
      </w:r>
      <w:r w:rsidR="0008516C">
        <w:rPr>
          <w:rFonts w:ascii="Times New Roman" w:hAnsi="Times New Roman" w:cs="Times New Roman"/>
          <w:sz w:val="24"/>
          <w:szCs w:val="24"/>
        </w:rPr>
        <w:t xml:space="preserve"> or 0.98^21</w:t>
      </w:r>
      <w:r>
        <w:rPr>
          <w:rFonts w:ascii="Times New Roman" w:hAnsi="Times New Roman" w:cs="Times New Roman"/>
          <w:sz w:val="24"/>
          <w:szCs w:val="24"/>
        </w:rPr>
        <w:t xml:space="preserve">, </w:t>
      </w:r>
      <w:r w:rsidR="00864945">
        <w:rPr>
          <w:rFonts w:ascii="Times New Roman" w:hAnsi="Times New Roman" w:cs="Times New Roman"/>
          <w:sz w:val="24"/>
          <w:szCs w:val="24"/>
        </w:rPr>
        <w:t xml:space="preserve">which </w:t>
      </w:r>
      <w:r>
        <w:rPr>
          <w:rFonts w:ascii="Times New Roman" w:hAnsi="Times New Roman" w:cs="Times New Roman"/>
          <w:sz w:val="24"/>
          <w:szCs w:val="24"/>
        </w:rPr>
        <w:t>discount</w:t>
      </w:r>
      <w:r w:rsidR="00864945">
        <w:rPr>
          <w:rFonts w:ascii="Times New Roman" w:hAnsi="Times New Roman" w:cs="Times New Roman"/>
          <w:sz w:val="24"/>
          <w:szCs w:val="24"/>
        </w:rPr>
        <w:t xml:space="preserve">s </w:t>
      </w:r>
      <w:r>
        <w:rPr>
          <w:rFonts w:ascii="Times New Roman" w:hAnsi="Times New Roman" w:cs="Times New Roman"/>
          <w:sz w:val="24"/>
          <w:szCs w:val="24"/>
        </w:rPr>
        <w:t xml:space="preserve">from the end of year 20 to </w:t>
      </w:r>
      <w:r w:rsidR="00864945">
        <w:rPr>
          <w:rFonts w:ascii="Times New Roman" w:hAnsi="Times New Roman" w:cs="Times New Roman"/>
          <w:sz w:val="24"/>
          <w:szCs w:val="24"/>
        </w:rPr>
        <w:t>the start of year</w:t>
      </w:r>
      <w:r>
        <w:rPr>
          <w:rFonts w:ascii="Times New Roman" w:hAnsi="Times New Roman" w:cs="Times New Roman"/>
          <w:sz w:val="24"/>
          <w:szCs w:val="24"/>
        </w:rPr>
        <w:t xml:space="preserve"> 0).  </w:t>
      </w:r>
    </w:p>
    <w:p w:rsidR="000418E3" w:rsidRDefault="000418E3"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The final factor in our welfare measure is an allowance for death.  Our modeling already takes account of lost output associated with reduced labor supply.  What we have in mind here is pain and suffering for surviving family members.  We have assumed $</w:t>
      </w:r>
      <w:r w:rsidR="0009365D">
        <w:rPr>
          <w:rFonts w:ascii="Times New Roman" w:hAnsi="Times New Roman" w:cs="Times New Roman"/>
          <w:sz w:val="24"/>
          <w:szCs w:val="24"/>
        </w:rPr>
        <w:t>9.6</w:t>
      </w:r>
      <w:r>
        <w:rPr>
          <w:rFonts w:ascii="Times New Roman" w:hAnsi="Times New Roman" w:cs="Times New Roman"/>
          <w:sz w:val="24"/>
          <w:szCs w:val="24"/>
        </w:rPr>
        <w:t xml:space="preserve"> million per death.  This is </w:t>
      </w:r>
      <w:r w:rsidR="0009365D">
        <w:rPr>
          <w:rFonts w:ascii="Times New Roman" w:hAnsi="Times New Roman" w:cs="Times New Roman"/>
          <w:sz w:val="24"/>
          <w:szCs w:val="24"/>
        </w:rPr>
        <w:t>the number recommended by the Chief Regulatory Economist at DHS.</w:t>
      </w:r>
      <w:r w:rsidR="0009365D">
        <w:rPr>
          <w:rStyle w:val="FootnoteReference"/>
          <w:rFonts w:ascii="Times New Roman" w:hAnsi="Times New Roman" w:cs="Times New Roman"/>
          <w:sz w:val="24"/>
          <w:szCs w:val="24"/>
        </w:rPr>
        <w:footnoteReference w:id="16"/>
      </w:r>
      <w:r w:rsidR="0009365D">
        <w:rPr>
          <w:rFonts w:ascii="Times New Roman" w:hAnsi="Times New Roman" w:cs="Times New Roman"/>
          <w:sz w:val="24"/>
          <w:szCs w:val="24"/>
        </w:rPr>
        <w:t xml:space="preserve">  As discussed below, it is relatively simple to check the sensitivity of welfare results to the as</w:t>
      </w:r>
      <w:r w:rsidR="00D81104">
        <w:rPr>
          <w:rFonts w:ascii="Times New Roman" w:hAnsi="Times New Roman" w:cs="Times New Roman"/>
          <w:sz w:val="24"/>
          <w:szCs w:val="24"/>
        </w:rPr>
        <w:t xml:space="preserve">sumed value for death.  Re-computation of USAGE-TERM solutions is not required.  </w:t>
      </w:r>
      <w:r w:rsidR="0009365D">
        <w:rPr>
          <w:rFonts w:ascii="Times New Roman" w:hAnsi="Times New Roman" w:cs="Times New Roman"/>
          <w:sz w:val="24"/>
          <w:szCs w:val="24"/>
        </w:rPr>
        <w:t xml:space="preserve"> </w:t>
      </w:r>
    </w:p>
    <w:p w:rsidR="000418E3" w:rsidRDefault="000418E3"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 xml:space="preserve">In mathematical terms we measure the welfare effect of a terrorism incident occurring in 2015 according to the formula </w:t>
      </w:r>
    </w:p>
    <w:p w:rsidR="000418E3" w:rsidRDefault="000418E3" w:rsidP="000418E3">
      <w:pPr>
        <w:pStyle w:val="ListParagraph"/>
        <w:tabs>
          <w:tab w:val="left" w:pos="540"/>
          <w:tab w:val="right" w:pos="8820"/>
        </w:tabs>
        <w:ind w:left="0" w:firstLine="540"/>
        <w:contextualSpacing w:val="0"/>
        <w:rPr>
          <w:rFonts w:ascii="Times New Roman" w:hAnsi="Times New Roman" w:cs="Times New Roman"/>
          <w:sz w:val="24"/>
          <w:szCs w:val="24"/>
        </w:rPr>
      </w:pPr>
      <w:r w:rsidRPr="00DB01DA">
        <w:rPr>
          <w:rFonts w:ascii="Times New Roman" w:hAnsi="Times New Roman" w:cs="Times New Roman"/>
          <w:position w:val="-114"/>
          <w:sz w:val="24"/>
          <w:szCs w:val="24"/>
        </w:rPr>
        <w:object w:dxaOrig="7780" w:dyaOrig="2380">
          <v:shape id="_x0000_i1032" type="#_x0000_t75" style="width:388.5pt;height:118.5pt" o:ole="">
            <v:imagedata r:id="rId26" o:title=""/>
          </v:shape>
          <o:OLEObject Type="Embed" ProgID="Equation.DSMT4" ShapeID="_x0000_i1032" DrawAspect="Content" ObjectID="_1553159840" r:id="rId27"/>
        </w:object>
      </w:r>
      <w:r>
        <w:rPr>
          <w:rFonts w:ascii="Times New Roman" w:hAnsi="Times New Roman" w:cs="Times New Roman"/>
          <w:sz w:val="24"/>
          <w:szCs w:val="24"/>
        </w:rPr>
        <w:t xml:space="preserve"> </w:t>
      </w:r>
      <w:r>
        <w:rPr>
          <w:rFonts w:ascii="Times New Roman" w:hAnsi="Times New Roman" w:cs="Times New Roman"/>
          <w:sz w:val="24"/>
          <w:szCs w:val="24"/>
        </w:rPr>
        <w:tab/>
        <w:t>(</w:t>
      </w:r>
      <w:r w:rsidR="000B4FE3">
        <w:rPr>
          <w:rFonts w:ascii="Times New Roman" w:hAnsi="Times New Roman" w:cs="Times New Roman"/>
          <w:sz w:val="24"/>
          <w:szCs w:val="24"/>
        </w:rPr>
        <w:t>5.1</w:t>
      </w:r>
      <w:r>
        <w:rPr>
          <w:rFonts w:ascii="Times New Roman" w:hAnsi="Times New Roman" w:cs="Times New Roman"/>
          <w:sz w:val="24"/>
          <w:szCs w:val="24"/>
        </w:rPr>
        <w:t>)</w:t>
      </w:r>
    </w:p>
    <w:p w:rsidR="000418E3" w:rsidRDefault="000418E3"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 xml:space="preserve">In this formula, the LHS is the present value in 2014 of welfare changes caused by the terrorism incident.  The first term on the RHS is the present value of </w:t>
      </w:r>
      <w:r w:rsidR="00EA262D">
        <w:rPr>
          <w:rFonts w:ascii="Times New Roman" w:hAnsi="Times New Roman" w:cs="Times New Roman"/>
          <w:sz w:val="24"/>
          <w:szCs w:val="24"/>
        </w:rPr>
        <w:t xml:space="preserve">the </w:t>
      </w:r>
      <w:r>
        <w:rPr>
          <w:rFonts w:ascii="Times New Roman" w:hAnsi="Times New Roman" w:cs="Times New Roman"/>
          <w:sz w:val="24"/>
          <w:szCs w:val="24"/>
        </w:rPr>
        <w:t xml:space="preserve">deviations in private consumption per capita </w:t>
      </w:r>
      <w:r w:rsidR="00EA262D">
        <w:rPr>
          <w:rFonts w:ascii="Times New Roman" w:hAnsi="Times New Roman" w:cs="Times New Roman"/>
          <w:sz w:val="24"/>
          <w:szCs w:val="24"/>
        </w:rPr>
        <w:t>from 2015 to 2034 caused</w:t>
      </w:r>
      <w:r>
        <w:rPr>
          <w:rFonts w:ascii="Times New Roman" w:hAnsi="Times New Roman" w:cs="Times New Roman"/>
          <w:sz w:val="24"/>
          <w:szCs w:val="24"/>
        </w:rPr>
        <w:t xml:space="preserve"> by the incident</w:t>
      </w:r>
      <w:r w:rsidR="00EA262D">
        <w:rPr>
          <w:rFonts w:ascii="Times New Roman" w:hAnsi="Times New Roman" w:cs="Times New Roman"/>
          <w:sz w:val="24"/>
          <w:szCs w:val="24"/>
        </w:rPr>
        <w:t xml:space="preserve"> in 2015</w:t>
      </w:r>
      <w:r>
        <w:rPr>
          <w:rFonts w:ascii="Times New Roman" w:hAnsi="Times New Roman" w:cs="Times New Roman"/>
          <w:sz w:val="24"/>
          <w:szCs w:val="24"/>
        </w:rPr>
        <w:t xml:space="preserve">.  This is calculated by comparing for each year t the consumption level per capita in the terrorism run, C(t)/POP(t), with the consumption level per capita in the baseline run, CB(t)/POPB(t).  C(t) and CB(t) are index numbers for real private consumption, excluding rehabilitation expenditures.  POP(t) and POPB(t) are population numbers.  The per capita consumption deviations are discounted back to 2014 (year 0).  DR is the discount rate, set at </w:t>
      </w:r>
      <w:r w:rsidR="00241901">
        <w:rPr>
          <w:rFonts w:ascii="Times New Roman" w:hAnsi="Times New Roman" w:cs="Times New Roman"/>
          <w:sz w:val="24"/>
          <w:szCs w:val="24"/>
        </w:rPr>
        <w:t xml:space="preserve">either </w:t>
      </w:r>
      <w:r>
        <w:rPr>
          <w:rFonts w:ascii="Times New Roman" w:hAnsi="Times New Roman" w:cs="Times New Roman"/>
          <w:sz w:val="24"/>
          <w:szCs w:val="24"/>
        </w:rPr>
        <w:t>0.05</w:t>
      </w:r>
      <w:r w:rsidR="00241901">
        <w:rPr>
          <w:rFonts w:ascii="Times New Roman" w:hAnsi="Times New Roman" w:cs="Times New Roman"/>
          <w:sz w:val="24"/>
          <w:szCs w:val="24"/>
        </w:rPr>
        <w:t xml:space="preserve"> or 0.02</w:t>
      </w:r>
      <w:r>
        <w:rPr>
          <w:rFonts w:ascii="Times New Roman" w:hAnsi="Times New Roman" w:cs="Times New Roman"/>
          <w:sz w:val="24"/>
          <w:szCs w:val="24"/>
        </w:rPr>
        <w:t xml:space="preserve">.  </w:t>
      </w:r>
    </w:p>
    <w:p w:rsidR="000418E3" w:rsidRDefault="000418E3"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 xml:space="preserve">The second term on the RHS allows for the terminal deviation in the capital stock per capita.  The deviation is calculated by comparing the quantity of U.S. capital per capita in 2035 in the terrorism run, K(2035)/POP(2035), with the quantity per capita in the baseline, </w:t>
      </w:r>
      <w:r>
        <w:rPr>
          <w:rFonts w:ascii="Times New Roman" w:hAnsi="Times New Roman" w:cs="Times New Roman"/>
          <w:sz w:val="24"/>
          <w:szCs w:val="24"/>
        </w:rPr>
        <w:lastRenderedPageBreak/>
        <w:t>KB(2035)/POPB(2035).  This is turned into units that are comparable with consumption by multiplying by the ratio of the value of capital stock to consumption in 2014, KCRatio.  Finally we discount back to 2014 by applying the factor (1-DR)</w:t>
      </w:r>
      <w:r w:rsidR="00EA262D">
        <w:rPr>
          <w:rFonts w:ascii="Times New Roman" w:hAnsi="Times New Roman" w:cs="Times New Roman"/>
          <w:sz w:val="24"/>
          <w:szCs w:val="24"/>
        </w:rPr>
        <w:sym w:font="Symbol" w:char="F0D9"/>
      </w:r>
      <w:r w:rsidR="00EA262D">
        <w:rPr>
          <w:rFonts w:ascii="Times New Roman" w:hAnsi="Times New Roman" w:cs="Times New Roman"/>
          <w:sz w:val="24"/>
          <w:szCs w:val="24"/>
        </w:rPr>
        <w:t>21</w:t>
      </w:r>
      <w:r>
        <w:rPr>
          <w:rFonts w:ascii="Times New Roman" w:hAnsi="Times New Roman" w:cs="Times New Roman"/>
          <w:sz w:val="24"/>
          <w:szCs w:val="24"/>
        </w:rPr>
        <w:t>.</w:t>
      </w:r>
    </w:p>
    <w:p w:rsidR="000418E3" w:rsidRDefault="000418E3"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The third term on the RHS allows for the terminal deviation in net foreign liabilities per capita.  The variable we use is net foreign liabilities per capita expressed as a ratio of GDP.  We compare this ratio in 2035 in the terrorism run, NFLGDP(2035)/POP(2035),  with the ratio in the baseline run, NFLGDPB(2035)/POPB(2035).  To convert to consumption units we multiply by the ratio of GDP to consumption in 2014, GDPCRatio.  Again we discount back to 2014 by applying the factor (1-DR)</w:t>
      </w:r>
      <w:r w:rsidR="00EA262D">
        <w:rPr>
          <w:rFonts w:ascii="Times New Roman" w:hAnsi="Times New Roman" w:cs="Times New Roman"/>
          <w:sz w:val="24"/>
          <w:szCs w:val="24"/>
        </w:rPr>
        <w:sym w:font="Symbol" w:char="F0D9"/>
      </w:r>
      <w:r w:rsidR="00EA262D">
        <w:rPr>
          <w:rFonts w:ascii="Times New Roman" w:hAnsi="Times New Roman" w:cs="Times New Roman"/>
          <w:sz w:val="24"/>
          <w:szCs w:val="24"/>
        </w:rPr>
        <w:t>21</w:t>
      </w:r>
      <w:r>
        <w:rPr>
          <w:rFonts w:ascii="Times New Roman" w:hAnsi="Times New Roman" w:cs="Times New Roman"/>
          <w:sz w:val="24"/>
          <w:szCs w:val="24"/>
        </w:rPr>
        <w:t>.</w:t>
      </w:r>
    </w:p>
    <w:p w:rsidR="000418E3" w:rsidRDefault="000418E3"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The last term on the RHS of (1) allows for deaths.  We assume that these take place in 2015 and are measured by POPB(2015) minus POP(2015).  The number of deaths is multiplied by the value of life, VLIFE.  This product is expressed as a fraction of consumption in 2014 and discounted back one year</w:t>
      </w:r>
      <w:r w:rsidR="00EA262D">
        <w:rPr>
          <w:rFonts w:ascii="Times New Roman" w:hAnsi="Times New Roman" w:cs="Times New Roman"/>
          <w:sz w:val="24"/>
          <w:szCs w:val="24"/>
        </w:rPr>
        <w:t xml:space="preserve"> to 2014</w:t>
      </w:r>
      <w:r>
        <w:rPr>
          <w:rFonts w:ascii="Times New Roman" w:hAnsi="Times New Roman" w:cs="Times New Roman"/>
          <w:sz w:val="24"/>
          <w:szCs w:val="24"/>
        </w:rPr>
        <w:t xml:space="preserve">.   </w:t>
      </w:r>
    </w:p>
    <w:p w:rsidR="00241901" w:rsidRDefault="00241901"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As mentioned earlier, we set VLIFE at $9.6 million.  The effect on welfare results of varying this number can be worked out without reference to USAGE-TERM.  For example, if we wanted to set VLIFE at $7.7m</w:t>
      </w:r>
      <w:r>
        <w:rPr>
          <w:rStyle w:val="FootnoteReference"/>
          <w:rFonts w:ascii="Times New Roman" w:hAnsi="Times New Roman" w:cs="Times New Roman"/>
          <w:sz w:val="24"/>
          <w:szCs w:val="24"/>
        </w:rPr>
        <w:footnoteReference w:id="17"/>
      </w:r>
      <w:r w:rsidR="00BD0BA8">
        <w:rPr>
          <w:rFonts w:ascii="Times New Roman" w:hAnsi="Times New Roman" w:cs="Times New Roman"/>
          <w:sz w:val="24"/>
          <w:szCs w:val="24"/>
        </w:rPr>
        <w:t xml:space="preserve"> with DR = 0.05</w:t>
      </w:r>
      <w:r w:rsidR="00571732">
        <w:rPr>
          <w:rFonts w:ascii="Times New Roman" w:hAnsi="Times New Roman" w:cs="Times New Roman"/>
          <w:sz w:val="24"/>
          <w:szCs w:val="24"/>
        </w:rPr>
        <w:t xml:space="preserve">, </w:t>
      </w:r>
      <w:r w:rsidR="00BD0BA8">
        <w:rPr>
          <w:rFonts w:ascii="Times New Roman" w:hAnsi="Times New Roman" w:cs="Times New Roman"/>
          <w:sz w:val="24"/>
          <w:szCs w:val="24"/>
        </w:rPr>
        <w:t>then w</w:t>
      </w:r>
      <w:r w:rsidR="00571732">
        <w:rPr>
          <w:rFonts w:ascii="Times New Roman" w:hAnsi="Times New Roman" w:cs="Times New Roman"/>
          <w:sz w:val="24"/>
          <w:szCs w:val="24"/>
        </w:rPr>
        <w:t xml:space="preserve">e would modify welfare results based on VLIFE </w:t>
      </w:r>
      <w:r w:rsidR="00BD0BA8">
        <w:rPr>
          <w:rFonts w:ascii="Times New Roman" w:hAnsi="Times New Roman" w:cs="Times New Roman"/>
          <w:sz w:val="24"/>
          <w:szCs w:val="24"/>
        </w:rPr>
        <w:t>=</w:t>
      </w:r>
      <w:r w:rsidR="00571732">
        <w:rPr>
          <w:rFonts w:ascii="Times New Roman" w:hAnsi="Times New Roman" w:cs="Times New Roman"/>
          <w:sz w:val="24"/>
          <w:szCs w:val="24"/>
        </w:rPr>
        <w:t xml:space="preserve"> $9.6m </w:t>
      </w:r>
      <w:r w:rsidR="00BD0BA8">
        <w:rPr>
          <w:rFonts w:ascii="Times New Roman" w:hAnsi="Times New Roman" w:cs="Times New Roman"/>
          <w:sz w:val="24"/>
          <w:szCs w:val="24"/>
        </w:rPr>
        <w:t xml:space="preserve">and DR = 0.05 </w:t>
      </w:r>
      <w:r w:rsidR="00571732">
        <w:rPr>
          <w:rFonts w:ascii="Times New Roman" w:hAnsi="Times New Roman" w:cs="Times New Roman"/>
          <w:sz w:val="24"/>
          <w:szCs w:val="24"/>
        </w:rPr>
        <w:t>according to:</w:t>
      </w:r>
    </w:p>
    <w:p w:rsidR="001A5B1A" w:rsidRDefault="001A5B1A"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Welfare(DR=0.05,VLIFE = 7.7) = Welfare(DR=0.05,VLIFE = 9.6)</w:t>
      </w:r>
    </w:p>
    <w:p w:rsidR="001A5B1A" w:rsidRDefault="001A5B1A" w:rsidP="00A35E97">
      <w:pPr>
        <w:pStyle w:val="ListParagraph"/>
        <w:tabs>
          <w:tab w:val="right" w:pos="8820"/>
        </w:tabs>
        <w:ind w:left="0"/>
        <w:contextualSpacing w:val="0"/>
        <w:rPr>
          <w:rFonts w:ascii="Times New Roman" w:hAnsi="Times New Roman" w:cs="Times New Roman"/>
          <w:sz w:val="24"/>
          <w:szCs w:val="24"/>
        </w:rPr>
      </w:pPr>
      <w:r>
        <w:rPr>
          <w:rFonts w:ascii="Times New Roman" w:hAnsi="Times New Roman" w:cs="Times New Roman"/>
          <w:sz w:val="24"/>
          <w:szCs w:val="24"/>
        </w:rPr>
        <w:t xml:space="preserve">    + </w:t>
      </w:r>
      <w:r w:rsidR="00764606" w:rsidRPr="00764606">
        <w:rPr>
          <w:rFonts w:ascii="Times New Roman" w:hAnsi="Times New Roman" w:cs="Times New Roman"/>
          <w:position w:val="-24"/>
          <w:sz w:val="24"/>
          <w:szCs w:val="24"/>
        </w:rPr>
        <w:object w:dxaOrig="5460" w:dyaOrig="660">
          <v:shape id="_x0000_i1033" type="#_x0000_t75" style="width:273pt;height:33pt" o:ole="">
            <v:imagedata r:id="rId28" o:title=""/>
          </v:shape>
          <o:OLEObject Type="Embed" ProgID="Equation.DSMT4" ShapeID="_x0000_i1033" DrawAspect="Content" ObjectID="_1553159841" r:id="rId29"/>
        </w:object>
      </w:r>
      <w:r>
        <w:rPr>
          <w:rFonts w:ascii="Times New Roman" w:hAnsi="Times New Roman" w:cs="Times New Roman"/>
          <w:sz w:val="24"/>
          <w:szCs w:val="24"/>
        </w:rPr>
        <w:t xml:space="preserve"> </w:t>
      </w:r>
      <w:r w:rsidR="00764606">
        <w:rPr>
          <w:rFonts w:ascii="Times New Roman" w:hAnsi="Times New Roman" w:cs="Times New Roman"/>
          <w:sz w:val="24"/>
          <w:szCs w:val="24"/>
        </w:rPr>
        <w:tab/>
      </w:r>
      <w:r>
        <w:rPr>
          <w:rFonts w:ascii="Times New Roman" w:hAnsi="Times New Roman" w:cs="Times New Roman"/>
          <w:sz w:val="24"/>
          <w:szCs w:val="24"/>
        </w:rPr>
        <w:t>(</w:t>
      </w:r>
      <w:r w:rsidR="000B4FE3">
        <w:rPr>
          <w:rFonts w:ascii="Times New Roman" w:hAnsi="Times New Roman" w:cs="Times New Roman"/>
          <w:sz w:val="24"/>
          <w:szCs w:val="24"/>
        </w:rPr>
        <w:t>5.2</w:t>
      </w:r>
      <w:r w:rsidR="00764606">
        <w:rPr>
          <w:rFonts w:ascii="Times New Roman" w:hAnsi="Times New Roman" w:cs="Times New Roman"/>
          <w:sz w:val="24"/>
          <w:szCs w:val="24"/>
        </w:rPr>
        <w:t>)</w:t>
      </w:r>
    </w:p>
    <w:p w:rsidR="00A35E97" w:rsidRDefault="00A35E97"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In (</w:t>
      </w:r>
      <w:r w:rsidR="00EA262D">
        <w:rPr>
          <w:rFonts w:ascii="Times New Roman" w:hAnsi="Times New Roman" w:cs="Times New Roman"/>
          <w:sz w:val="24"/>
          <w:szCs w:val="24"/>
        </w:rPr>
        <w:t>5.2</w:t>
      </w:r>
      <w:r>
        <w:rPr>
          <w:rFonts w:ascii="Times New Roman" w:hAnsi="Times New Roman" w:cs="Times New Roman"/>
          <w:sz w:val="24"/>
          <w:szCs w:val="24"/>
        </w:rPr>
        <w:t>), 9663046 *10</w:t>
      </w:r>
      <w:r>
        <w:rPr>
          <w:rFonts w:ascii="Times New Roman" w:hAnsi="Times New Roman" w:cs="Times New Roman"/>
          <w:sz w:val="24"/>
          <w:szCs w:val="24"/>
          <w:vertAlign w:val="superscript"/>
        </w:rPr>
        <w:t>6</w:t>
      </w:r>
      <w:r>
        <w:rPr>
          <w:rFonts w:ascii="Times New Roman" w:hAnsi="Times New Roman" w:cs="Times New Roman"/>
          <w:sz w:val="24"/>
          <w:szCs w:val="24"/>
        </w:rPr>
        <w:t xml:space="preserve"> is the value of CB(2014). </w:t>
      </w:r>
    </w:p>
    <w:p w:rsidR="000418E3" w:rsidRDefault="000418E3"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Given the form of (</w:t>
      </w:r>
      <w:r w:rsidR="00EA262D">
        <w:rPr>
          <w:rFonts w:ascii="Times New Roman" w:hAnsi="Times New Roman" w:cs="Times New Roman"/>
          <w:sz w:val="24"/>
          <w:szCs w:val="24"/>
        </w:rPr>
        <w:t>5.1</w:t>
      </w:r>
      <w:r>
        <w:rPr>
          <w:rFonts w:ascii="Times New Roman" w:hAnsi="Times New Roman" w:cs="Times New Roman"/>
          <w:sz w:val="24"/>
          <w:szCs w:val="24"/>
        </w:rPr>
        <w:t>), what interpretation should be attached to a simulation that produces the result:</w:t>
      </w:r>
    </w:p>
    <w:p w:rsidR="000418E3" w:rsidRDefault="000418E3" w:rsidP="000418E3">
      <w:pPr>
        <w:pStyle w:val="ListParagraph"/>
        <w:tabs>
          <w:tab w:val="left" w:pos="540"/>
          <w:tab w:val="right" w:pos="8820"/>
        </w:tabs>
        <w:ind w:left="0" w:firstLine="540"/>
        <w:contextualSpacing w:val="0"/>
        <w:rPr>
          <w:rFonts w:ascii="Times New Roman" w:hAnsi="Times New Roman" w:cs="Times New Roman"/>
          <w:sz w:val="24"/>
          <w:szCs w:val="24"/>
        </w:rPr>
      </w:pPr>
      <w:r w:rsidRPr="000A51F3">
        <w:rPr>
          <w:rFonts w:ascii="Times New Roman" w:hAnsi="Times New Roman" w:cs="Times New Roman"/>
          <w:position w:val="-12"/>
          <w:sz w:val="24"/>
          <w:szCs w:val="24"/>
        </w:rPr>
        <w:object w:dxaOrig="2820" w:dyaOrig="360">
          <v:shape id="_x0000_i1034" type="#_x0000_t75" style="width:142.5pt;height:18pt" o:ole="">
            <v:imagedata r:id="rId30" o:title=""/>
          </v:shape>
          <o:OLEObject Type="Embed" ProgID="Equation.DSMT4" ShapeID="_x0000_i1034" DrawAspect="Content" ObjectID="_1553159842" r:id="rId31"/>
        </w:object>
      </w:r>
      <w:r>
        <w:rPr>
          <w:rFonts w:ascii="Times New Roman" w:hAnsi="Times New Roman" w:cs="Times New Roman"/>
          <w:sz w:val="24"/>
          <w:szCs w:val="24"/>
        </w:rPr>
        <w:t xml:space="preserve"> </w:t>
      </w:r>
      <w:r>
        <w:rPr>
          <w:rFonts w:ascii="Times New Roman" w:hAnsi="Times New Roman" w:cs="Times New Roman"/>
          <w:sz w:val="24"/>
          <w:szCs w:val="24"/>
        </w:rPr>
        <w:tab/>
        <w:t>(</w:t>
      </w:r>
      <w:r w:rsidR="000B4FE3">
        <w:rPr>
          <w:rFonts w:ascii="Times New Roman" w:hAnsi="Times New Roman" w:cs="Times New Roman"/>
          <w:sz w:val="24"/>
          <w:szCs w:val="24"/>
        </w:rPr>
        <w:t>5.3</w:t>
      </w:r>
      <w:r>
        <w:rPr>
          <w:rFonts w:ascii="Times New Roman" w:hAnsi="Times New Roman" w:cs="Times New Roman"/>
          <w:sz w:val="24"/>
          <w:szCs w:val="24"/>
        </w:rPr>
        <w:t>)</w:t>
      </w:r>
    </w:p>
    <w:p w:rsidR="000418E3" w:rsidRDefault="000418E3"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We should think of this as implying that the economic damage caused by the terrorism incident being examined is equivalent to a loss of 1 per cent of welfare-generating consumption in 2014.  Looked at like this, we can see that (</w:t>
      </w:r>
      <w:r w:rsidR="007E37EA">
        <w:rPr>
          <w:rFonts w:ascii="Times New Roman" w:hAnsi="Times New Roman" w:cs="Times New Roman"/>
          <w:sz w:val="24"/>
          <w:szCs w:val="24"/>
        </w:rPr>
        <w:t>5.1</w:t>
      </w:r>
      <w:r>
        <w:rPr>
          <w:rFonts w:ascii="Times New Roman" w:hAnsi="Times New Roman" w:cs="Times New Roman"/>
          <w:sz w:val="24"/>
          <w:szCs w:val="24"/>
        </w:rPr>
        <w:t xml:space="preserve">) is a similar approach to measuring welfare as </w:t>
      </w:r>
      <w:r w:rsidRPr="00C15FFC">
        <w:rPr>
          <w:rFonts w:ascii="Times New Roman" w:hAnsi="Times New Roman" w:cs="Times New Roman"/>
          <w:sz w:val="24"/>
          <w:szCs w:val="24"/>
        </w:rPr>
        <w:t xml:space="preserve">Compensating </w:t>
      </w:r>
      <w:r>
        <w:rPr>
          <w:rFonts w:ascii="Times New Roman" w:hAnsi="Times New Roman" w:cs="Times New Roman"/>
          <w:sz w:val="24"/>
          <w:szCs w:val="24"/>
        </w:rPr>
        <w:t>V</w:t>
      </w:r>
      <w:r w:rsidRPr="00C15FFC">
        <w:rPr>
          <w:rFonts w:ascii="Times New Roman" w:hAnsi="Times New Roman" w:cs="Times New Roman"/>
          <w:sz w:val="24"/>
          <w:szCs w:val="24"/>
        </w:rPr>
        <w:t>ariation</w:t>
      </w:r>
      <w:r>
        <w:rPr>
          <w:rFonts w:ascii="Times New Roman" w:hAnsi="Times New Roman" w:cs="Times New Roman"/>
          <w:sz w:val="24"/>
          <w:szCs w:val="24"/>
        </w:rPr>
        <w:t xml:space="preserve"> (CV) and E</w:t>
      </w:r>
      <w:r w:rsidRPr="00C15FFC">
        <w:rPr>
          <w:rFonts w:ascii="Times New Roman" w:hAnsi="Times New Roman" w:cs="Times New Roman"/>
          <w:sz w:val="24"/>
          <w:szCs w:val="24"/>
        </w:rPr>
        <w:t xml:space="preserve">quivalent </w:t>
      </w:r>
      <w:r>
        <w:rPr>
          <w:rFonts w:ascii="Times New Roman" w:hAnsi="Times New Roman" w:cs="Times New Roman"/>
          <w:sz w:val="24"/>
          <w:szCs w:val="24"/>
        </w:rPr>
        <w:t>V</w:t>
      </w:r>
      <w:r w:rsidRPr="00C15FFC">
        <w:rPr>
          <w:rFonts w:ascii="Times New Roman" w:hAnsi="Times New Roman" w:cs="Times New Roman"/>
          <w:sz w:val="24"/>
          <w:szCs w:val="24"/>
        </w:rPr>
        <w:t>ariation</w:t>
      </w:r>
      <w:r>
        <w:rPr>
          <w:rFonts w:ascii="Times New Roman" w:hAnsi="Times New Roman" w:cs="Times New Roman"/>
          <w:sz w:val="24"/>
          <w:szCs w:val="24"/>
        </w:rPr>
        <w:t xml:space="preserve"> (EV).  These measures summarize the welfare effect of a change in the economic environment by calculating what would be a comparable loss of money or income that could </w:t>
      </w:r>
      <w:r w:rsidR="007E37EA">
        <w:rPr>
          <w:rFonts w:ascii="Times New Roman" w:hAnsi="Times New Roman" w:cs="Times New Roman"/>
          <w:sz w:val="24"/>
          <w:szCs w:val="24"/>
        </w:rPr>
        <w:t>otherwise</w:t>
      </w:r>
      <w:r>
        <w:rPr>
          <w:rFonts w:ascii="Times New Roman" w:hAnsi="Times New Roman" w:cs="Times New Roman"/>
          <w:sz w:val="24"/>
          <w:szCs w:val="24"/>
        </w:rPr>
        <w:t xml:space="preserve"> </w:t>
      </w:r>
      <w:r w:rsidR="007E37EA">
        <w:rPr>
          <w:rFonts w:ascii="Times New Roman" w:hAnsi="Times New Roman" w:cs="Times New Roman"/>
          <w:sz w:val="24"/>
          <w:szCs w:val="24"/>
        </w:rPr>
        <w:t xml:space="preserve">have been devoted </w:t>
      </w:r>
      <w:r>
        <w:rPr>
          <w:rFonts w:ascii="Times New Roman" w:hAnsi="Times New Roman" w:cs="Times New Roman"/>
          <w:sz w:val="24"/>
          <w:szCs w:val="24"/>
        </w:rPr>
        <w:t>to pleasure-generating consumption (utility).  For example, we would need a 1 per cent boost in the present value of income to allow us to increase consumption and wealth sufficiently to compensate for the damage encapsulated in (</w:t>
      </w:r>
      <w:r w:rsidR="007E37EA">
        <w:rPr>
          <w:rFonts w:ascii="Times New Roman" w:hAnsi="Times New Roman" w:cs="Times New Roman"/>
          <w:sz w:val="24"/>
          <w:szCs w:val="24"/>
        </w:rPr>
        <w:t>5.3</w:t>
      </w:r>
      <w:r>
        <w:rPr>
          <w:rFonts w:ascii="Times New Roman" w:hAnsi="Times New Roman" w:cs="Times New Roman"/>
          <w:sz w:val="24"/>
          <w:szCs w:val="24"/>
        </w:rPr>
        <w:t>).</w:t>
      </w:r>
      <w:r>
        <w:rPr>
          <w:rStyle w:val="FootnoteReference"/>
          <w:rFonts w:cs="Times New Roman"/>
          <w:sz w:val="24"/>
          <w:szCs w:val="24"/>
        </w:rPr>
        <w:footnoteReference w:id="18"/>
      </w:r>
      <w:r>
        <w:rPr>
          <w:rFonts w:ascii="Times New Roman" w:hAnsi="Times New Roman" w:cs="Times New Roman"/>
          <w:sz w:val="24"/>
          <w:szCs w:val="24"/>
        </w:rPr>
        <w:t xml:space="preserve">  </w:t>
      </w:r>
    </w:p>
    <w:p w:rsidR="0021748C" w:rsidRDefault="0021748C">
      <w:pPr>
        <w:spacing w:before="0" w:after="200" w:line="276" w:lineRule="auto"/>
        <w:rPr>
          <w:rFonts w:ascii="Times New Roman" w:hAnsi="Times New Roman" w:cs="Times New Roman"/>
          <w:b/>
          <w:sz w:val="24"/>
          <w:szCs w:val="24"/>
        </w:rPr>
      </w:pPr>
      <w:r>
        <w:rPr>
          <w:rFonts w:ascii="Times New Roman" w:hAnsi="Times New Roman" w:cs="Times New Roman"/>
          <w:b/>
          <w:sz w:val="24"/>
          <w:szCs w:val="24"/>
        </w:rPr>
        <w:br w:type="page"/>
      </w:r>
    </w:p>
    <w:p w:rsidR="000418E3" w:rsidRDefault="000418E3" w:rsidP="000418E3">
      <w:pPr>
        <w:pStyle w:val="ListParagraph"/>
        <w:ind w:left="0"/>
        <w:contextualSpacing w:val="0"/>
        <w:rPr>
          <w:rFonts w:ascii="Times New Roman" w:hAnsi="Times New Roman" w:cs="Times New Roman"/>
          <w:b/>
          <w:sz w:val="24"/>
          <w:szCs w:val="24"/>
        </w:rPr>
      </w:pPr>
      <w:r>
        <w:rPr>
          <w:rFonts w:ascii="Times New Roman" w:hAnsi="Times New Roman" w:cs="Times New Roman"/>
          <w:b/>
          <w:sz w:val="24"/>
          <w:szCs w:val="24"/>
        </w:rPr>
        <w:lastRenderedPageBreak/>
        <w:t>6.  Estimating of the elasticity coefficients, E</w:t>
      </w:r>
      <w:r w:rsidR="00673C6A">
        <w:rPr>
          <w:rFonts w:ascii="Times New Roman" w:hAnsi="Times New Roman" w:cs="Times New Roman"/>
          <w:b/>
          <w:sz w:val="24"/>
          <w:szCs w:val="24"/>
          <w:vertAlign w:val="subscript"/>
        </w:rPr>
        <w:t>A</w:t>
      </w:r>
      <w:r>
        <w:rPr>
          <w:rFonts w:ascii="Times New Roman" w:hAnsi="Times New Roman" w:cs="Times New Roman"/>
          <w:b/>
          <w:sz w:val="24"/>
          <w:szCs w:val="24"/>
        </w:rPr>
        <w:t>(s,d,v), using USAGE-TERM</w:t>
      </w:r>
    </w:p>
    <w:p w:rsidR="000418E3" w:rsidRDefault="000418E3" w:rsidP="000418E3">
      <w:pPr>
        <w:pStyle w:val="ListParagraph"/>
        <w:ind w:left="0"/>
        <w:contextualSpacing w:val="0"/>
        <w:rPr>
          <w:rFonts w:ascii="Times New Roman" w:hAnsi="Times New Roman" w:cs="Times New Roman"/>
          <w:sz w:val="24"/>
          <w:szCs w:val="24"/>
        </w:rPr>
      </w:pPr>
      <w:r w:rsidRPr="00EE4EBC">
        <w:rPr>
          <w:rFonts w:ascii="Times New Roman" w:hAnsi="Times New Roman" w:cs="Times New Roman"/>
          <w:sz w:val="24"/>
          <w:szCs w:val="24"/>
        </w:rPr>
        <w:t xml:space="preserve">From a conceptual point of view, the most obvious </w:t>
      </w:r>
      <w:r>
        <w:rPr>
          <w:rFonts w:ascii="Times New Roman" w:hAnsi="Times New Roman" w:cs="Times New Roman"/>
          <w:sz w:val="24"/>
          <w:szCs w:val="24"/>
        </w:rPr>
        <w:t xml:space="preserve">method for </w:t>
      </w:r>
      <w:r w:rsidRPr="00EE4EBC">
        <w:rPr>
          <w:rFonts w:ascii="Times New Roman" w:hAnsi="Times New Roman" w:cs="Times New Roman"/>
          <w:sz w:val="24"/>
          <w:szCs w:val="24"/>
        </w:rPr>
        <w:t>estimat</w:t>
      </w:r>
      <w:r>
        <w:rPr>
          <w:rFonts w:ascii="Times New Roman" w:hAnsi="Times New Roman" w:cs="Times New Roman"/>
          <w:sz w:val="24"/>
          <w:szCs w:val="24"/>
        </w:rPr>
        <w:t>ing</w:t>
      </w:r>
      <w:r w:rsidRPr="00EE4EBC">
        <w:rPr>
          <w:rFonts w:ascii="Times New Roman" w:hAnsi="Times New Roman" w:cs="Times New Roman"/>
          <w:sz w:val="24"/>
          <w:szCs w:val="24"/>
        </w:rPr>
        <w:t xml:space="preserve"> </w:t>
      </w:r>
      <w:r>
        <w:rPr>
          <w:rFonts w:ascii="Times New Roman" w:hAnsi="Times New Roman" w:cs="Times New Roman"/>
          <w:sz w:val="24"/>
          <w:szCs w:val="24"/>
        </w:rPr>
        <w:t>the E coefficients is to set up a 436</w:t>
      </w:r>
      <w:r w:rsidR="0030168C">
        <w:rPr>
          <w:rFonts w:ascii="Times New Roman" w:hAnsi="Times New Roman" w:cs="Times New Roman"/>
          <w:sz w:val="24"/>
          <w:szCs w:val="24"/>
        </w:rPr>
        <w:t>-</w:t>
      </w:r>
      <w:r>
        <w:rPr>
          <w:rFonts w:ascii="Times New Roman" w:hAnsi="Times New Roman" w:cs="Times New Roman"/>
          <w:sz w:val="24"/>
          <w:szCs w:val="24"/>
        </w:rPr>
        <w:t xml:space="preserve">region version of USAGE-TERM and then perform 14 by </w:t>
      </w:r>
      <w:r w:rsidR="00BE2A9D">
        <w:rPr>
          <w:rFonts w:ascii="Times New Roman" w:hAnsi="Times New Roman" w:cs="Times New Roman"/>
          <w:sz w:val="24"/>
          <w:szCs w:val="24"/>
        </w:rPr>
        <w:t>170</w:t>
      </w:r>
      <w:r>
        <w:rPr>
          <w:rFonts w:ascii="Times New Roman" w:hAnsi="Times New Roman" w:cs="Times New Roman"/>
          <w:sz w:val="24"/>
          <w:szCs w:val="24"/>
        </w:rPr>
        <w:t xml:space="preserve"> </w:t>
      </w:r>
      <w:r w:rsidR="0030168C">
        <w:rPr>
          <w:rFonts w:ascii="Times New Roman" w:hAnsi="Times New Roman" w:cs="Times New Roman"/>
          <w:sz w:val="24"/>
          <w:szCs w:val="24"/>
        </w:rPr>
        <w:t xml:space="preserve">by 2 </w:t>
      </w:r>
      <w:r>
        <w:rPr>
          <w:rFonts w:ascii="Times New Roman" w:hAnsi="Times New Roman" w:cs="Times New Roman"/>
          <w:sz w:val="24"/>
          <w:szCs w:val="24"/>
        </w:rPr>
        <w:t xml:space="preserve">simulations: 14 shocks applied to </w:t>
      </w:r>
      <w:r w:rsidR="00BE2A9D">
        <w:rPr>
          <w:rFonts w:ascii="Times New Roman" w:hAnsi="Times New Roman" w:cs="Times New Roman"/>
          <w:sz w:val="24"/>
          <w:szCs w:val="24"/>
        </w:rPr>
        <w:t>170</w:t>
      </w:r>
      <w:r w:rsidR="000C6C0B">
        <w:rPr>
          <w:rFonts w:ascii="Times New Roman" w:hAnsi="Times New Roman" w:cs="Times New Roman"/>
          <w:sz w:val="24"/>
          <w:szCs w:val="24"/>
        </w:rPr>
        <w:t xml:space="preserve"> </w:t>
      </w:r>
      <w:r>
        <w:rPr>
          <w:rFonts w:ascii="Times New Roman" w:hAnsi="Times New Roman" w:cs="Times New Roman"/>
          <w:sz w:val="24"/>
          <w:szCs w:val="24"/>
        </w:rPr>
        <w:t>regions</w:t>
      </w:r>
      <w:r w:rsidR="000C6C0B">
        <w:rPr>
          <w:rFonts w:ascii="Times New Roman" w:hAnsi="Times New Roman" w:cs="Times New Roman"/>
          <w:sz w:val="24"/>
          <w:szCs w:val="24"/>
        </w:rPr>
        <w:t xml:space="preserve"> of interest</w:t>
      </w:r>
      <w:r w:rsidR="0030168C">
        <w:rPr>
          <w:rFonts w:ascii="Times New Roman" w:hAnsi="Times New Roman" w:cs="Times New Roman"/>
          <w:sz w:val="24"/>
          <w:szCs w:val="24"/>
        </w:rPr>
        <w:t xml:space="preserve"> by 2 sets of assumptions (Keynesian or Neoclassical)</w:t>
      </w:r>
      <w:r>
        <w:rPr>
          <w:rFonts w:ascii="Times New Roman" w:hAnsi="Times New Roman" w:cs="Times New Roman"/>
          <w:sz w:val="24"/>
          <w:szCs w:val="24"/>
        </w:rPr>
        <w:t xml:space="preserve">.  Results from these simulations could be recorded for our </w:t>
      </w:r>
      <w:r w:rsidR="000C6C0B">
        <w:rPr>
          <w:rFonts w:ascii="Times New Roman" w:hAnsi="Times New Roman" w:cs="Times New Roman"/>
          <w:sz w:val="24"/>
          <w:szCs w:val="24"/>
        </w:rPr>
        <w:t>10</w:t>
      </w:r>
      <w:r>
        <w:rPr>
          <w:rFonts w:ascii="Times New Roman" w:hAnsi="Times New Roman" w:cs="Times New Roman"/>
          <w:sz w:val="24"/>
          <w:szCs w:val="24"/>
        </w:rPr>
        <w:t xml:space="preserve"> economic implication variables.  Elasticities would then be formed by dividing results by shocks.  For this project we have chosen to work at a 23-industry level with the solution covering 20 years.  Even with this quite high level of industry aggregation and with time truncated to 20 years, computa</w:t>
      </w:r>
      <w:r w:rsidR="00106A47">
        <w:rPr>
          <w:rFonts w:ascii="Times New Roman" w:hAnsi="Times New Roman" w:cs="Times New Roman"/>
          <w:sz w:val="24"/>
          <w:szCs w:val="24"/>
        </w:rPr>
        <w:t>tion with a 436-region model is</w:t>
      </w:r>
      <w:r>
        <w:rPr>
          <w:rFonts w:ascii="Times New Roman" w:hAnsi="Times New Roman" w:cs="Times New Roman"/>
          <w:sz w:val="24"/>
          <w:szCs w:val="24"/>
        </w:rPr>
        <w:t xml:space="preserve"> infeasible.  Consequently to estimate the elasticities for equation (</w:t>
      </w:r>
      <w:r w:rsidR="00276D72">
        <w:rPr>
          <w:rFonts w:ascii="Times New Roman" w:hAnsi="Times New Roman" w:cs="Times New Roman"/>
          <w:sz w:val="24"/>
          <w:szCs w:val="24"/>
        </w:rPr>
        <w:t>3.1</w:t>
      </w:r>
      <w:r>
        <w:rPr>
          <w:rFonts w:ascii="Times New Roman" w:hAnsi="Times New Roman" w:cs="Times New Roman"/>
          <w:sz w:val="24"/>
          <w:szCs w:val="24"/>
        </w:rPr>
        <w:t xml:space="preserve">), we must find a different way of handling the regional dimension.  </w:t>
      </w:r>
    </w:p>
    <w:p w:rsidR="000418E3" w:rsidRDefault="000418E3"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 xml:space="preserve">The next method we considered was to create </w:t>
      </w:r>
      <w:r w:rsidR="00BE2A9D">
        <w:rPr>
          <w:rFonts w:ascii="Times New Roman" w:hAnsi="Times New Roman" w:cs="Times New Roman"/>
          <w:sz w:val="24"/>
          <w:szCs w:val="24"/>
        </w:rPr>
        <w:t>170</w:t>
      </w:r>
      <w:r>
        <w:rPr>
          <w:rFonts w:ascii="Times New Roman" w:hAnsi="Times New Roman" w:cs="Times New Roman"/>
          <w:sz w:val="24"/>
          <w:szCs w:val="24"/>
        </w:rPr>
        <w:t xml:space="preserve"> 4-region models, each identifying </w:t>
      </w:r>
      <w:r w:rsidR="00106A47">
        <w:rPr>
          <w:rFonts w:ascii="Times New Roman" w:hAnsi="Times New Roman" w:cs="Times New Roman"/>
          <w:sz w:val="24"/>
          <w:szCs w:val="24"/>
        </w:rPr>
        <w:t xml:space="preserve">one of the </w:t>
      </w:r>
      <w:r w:rsidR="00BE2A9D">
        <w:rPr>
          <w:rFonts w:ascii="Times New Roman" w:hAnsi="Times New Roman" w:cs="Times New Roman"/>
          <w:sz w:val="24"/>
          <w:szCs w:val="24"/>
        </w:rPr>
        <w:t>170</w:t>
      </w:r>
      <w:r w:rsidR="00106A47">
        <w:rPr>
          <w:rFonts w:ascii="Times New Roman" w:hAnsi="Times New Roman" w:cs="Times New Roman"/>
          <w:sz w:val="24"/>
          <w:szCs w:val="24"/>
        </w:rPr>
        <w:t xml:space="preserve"> </w:t>
      </w:r>
      <w:r w:rsidR="00B835CD">
        <w:rPr>
          <w:rFonts w:ascii="Times New Roman" w:hAnsi="Times New Roman" w:cs="Times New Roman"/>
          <w:sz w:val="24"/>
          <w:szCs w:val="24"/>
        </w:rPr>
        <w:t>congressional</w:t>
      </w:r>
      <w:r>
        <w:rPr>
          <w:rFonts w:ascii="Times New Roman" w:hAnsi="Times New Roman" w:cs="Times New Roman"/>
          <w:sz w:val="24"/>
          <w:szCs w:val="24"/>
        </w:rPr>
        <w:t xml:space="preserve"> district</w:t>
      </w:r>
      <w:r w:rsidR="00106A47">
        <w:rPr>
          <w:rFonts w:ascii="Times New Roman" w:hAnsi="Times New Roman" w:cs="Times New Roman"/>
          <w:sz w:val="24"/>
          <w:szCs w:val="24"/>
        </w:rPr>
        <w:t>s of interest</w:t>
      </w:r>
      <w:r>
        <w:rPr>
          <w:rFonts w:ascii="Times New Roman" w:hAnsi="Times New Roman" w:cs="Times New Roman"/>
          <w:sz w:val="24"/>
          <w:szCs w:val="24"/>
        </w:rPr>
        <w:t xml:space="preserve"> as a </w:t>
      </w:r>
      <w:r w:rsidR="00276D72">
        <w:rPr>
          <w:rFonts w:ascii="Times New Roman" w:hAnsi="Times New Roman" w:cs="Times New Roman"/>
          <w:sz w:val="24"/>
          <w:szCs w:val="24"/>
        </w:rPr>
        <w:t>t</w:t>
      </w:r>
      <w:r>
        <w:rPr>
          <w:rFonts w:ascii="Times New Roman" w:hAnsi="Times New Roman" w:cs="Times New Roman"/>
          <w:sz w:val="24"/>
          <w:szCs w:val="24"/>
        </w:rPr>
        <w:t xml:space="preserve">arget region together with 3 other regions that we refer to as Rest of city, Rest of state and Rest of U.S.  Then, with each of the </w:t>
      </w:r>
      <w:r w:rsidR="00BE2A9D">
        <w:rPr>
          <w:rFonts w:ascii="Times New Roman" w:hAnsi="Times New Roman" w:cs="Times New Roman"/>
          <w:sz w:val="24"/>
          <w:szCs w:val="24"/>
        </w:rPr>
        <w:t>170</w:t>
      </w:r>
      <w:r>
        <w:rPr>
          <w:rFonts w:ascii="Times New Roman" w:hAnsi="Times New Roman" w:cs="Times New Roman"/>
          <w:sz w:val="24"/>
          <w:szCs w:val="24"/>
        </w:rPr>
        <w:t xml:space="preserve"> models we could conduct </w:t>
      </w:r>
      <w:r w:rsidR="00276D72">
        <w:rPr>
          <w:rFonts w:ascii="Times New Roman" w:hAnsi="Times New Roman" w:cs="Times New Roman"/>
          <w:sz w:val="24"/>
          <w:szCs w:val="24"/>
        </w:rPr>
        <w:t>28</w:t>
      </w:r>
      <w:r>
        <w:rPr>
          <w:rFonts w:ascii="Times New Roman" w:hAnsi="Times New Roman" w:cs="Times New Roman"/>
          <w:sz w:val="24"/>
          <w:szCs w:val="24"/>
        </w:rPr>
        <w:t xml:space="preserve"> simulations </w:t>
      </w:r>
      <w:r w:rsidR="00276D72">
        <w:rPr>
          <w:rFonts w:ascii="Times New Roman" w:hAnsi="Times New Roman" w:cs="Times New Roman"/>
          <w:sz w:val="24"/>
          <w:szCs w:val="24"/>
        </w:rPr>
        <w:t xml:space="preserve">(14 under each of 2 assumptions) </w:t>
      </w:r>
      <w:r>
        <w:rPr>
          <w:rFonts w:ascii="Times New Roman" w:hAnsi="Times New Roman" w:cs="Times New Roman"/>
          <w:sz w:val="24"/>
          <w:szCs w:val="24"/>
        </w:rPr>
        <w:t xml:space="preserve">to determine elasticities of the </w:t>
      </w:r>
      <w:r w:rsidR="00106A47">
        <w:rPr>
          <w:rFonts w:ascii="Times New Roman" w:hAnsi="Times New Roman" w:cs="Times New Roman"/>
          <w:sz w:val="24"/>
          <w:szCs w:val="24"/>
        </w:rPr>
        <w:t>10</w:t>
      </w:r>
      <w:r>
        <w:rPr>
          <w:rFonts w:ascii="Times New Roman" w:hAnsi="Times New Roman" w:cs="Times New Roman"/>
          <w:sz w:val="24"/>
          <w:szCs w:val="24"/>
        </w:rPr>
        <w:t xml:space="preserve"> economic implication variables with respect to the shocks.  Computations with the first model would reveal E</w:t>
      </w:r>
      <w:r w:rsidR="00276D72">
        <w:rPr>
          <w:rFonts w:ascii="Times New Roman" w:hAnsi="Times New Roman" w:cs="Times New Roman"/>
          <w:sz w:val="24"/>
          <w:szCs w:val="24"/>
          <w:vertAlign w:val="subscript"/>
        </w:rPr>
        <w:t>A</w:t>
      </w:r>
      <w:r>
        <w:rPr>
          <w:rFonts w:ascii="Times New Roman" w:hAnsi="Times New Roman" w:cs="Times New Roman"/>
          <w:sz w:val="24"/>
          <w:szCs w:val="24"/>
        </w:rPr>
        <w:t xml:space="preserve">(s,1,v) for </w:t>
      </w:r>
      <w:r w:rsidR="00276D72">
        <w:rPr>
          <w:rFonts w:ascii="Times New Roman" w:hAnsi="Times New Roman" w:cs="Times New Roman"/>
          <w:sz w:val="24"/>
          <w:szCs w:val="24"/>
        </w:rPr>
        <w:t xml:space="preserve">both As and </w:t>
      </w:r>
      <w:r>
        <w:rPr>
          <w:rFonts w:ascii="Times New Roman" w:hAnsi="Times New Roman" w:cs="Times New Roman"/>
          <w:sz w:val="24"/>
          <w:szCs w:val="24"/>
        </w:rPr>
        <w:t>all s and v.  Computations with the second model would reveal E</w:t>
      </w:r>
      <w:r w:rsidR="00276D72">
        <w:rPr>
          <w:rFonts w:ascii="Times New Roman" w:hAnsi="Times New Roman" w:cs="Times New Roman"/>
          <w:sz w:val="24"/>
          <w:szCs w:val="24"/>
          <w:vertAlign w:val="subscript"/>
        </w:rPr>
        <w:t>A</w:t>
      </w:r>
      <w:r>
        <w:rPr>
          <w:rFonts w:ascii="Times New Roman" w:hAnsi="Times New Roman" w:cs="Times New Roman"/>
          <w:sz w:val="24"/>
          <w:szCs w:val="24"/>
        </w:rPr>
        <w:t>(s,2,v), and so on.  In this way, we could build up estimates of E</w:t>
      </w:r>
      <w:r w:rsidR="00276D72">
        <w:rPr>
          <w:rFonts w:ascii="Times New Roman" w:hAnsi="Times New Roman" w:cs="Times New Roman"/>
          <w:sz w:val="24"/>
          <w:szCs w:val="24"/>
          <w:vertAlign w:val="subscript"/>
        </w:rPr>
        <w:t>A</w:t>
      </w:r>
      <w:r>
        <w:rPr>
          <w:rFonts w:ascii="Times New Roman" w:hAnsi="Times New Roman" w:cs="Times New Roman"/>
          <w:sz w:val="24"/>
          <w:szCs w:val="24"/>
        </w:rPr>
        <w:t xml:space="preserve">(s,d,v) for each of the </w:t>
      </w:r>
      <w:r w:rsidR="00BE2A9D">
        <w:rPr>
          <w:rFonts w:ascii="Times New Roman" w:hAnsi="Times New Roman" w:cs="Times New Roman"/>
          <w:sz w:val="24"/>
          <w:szCs w:val="24"/>
        </w:rPr>
        <w:t>170</w:t>
      </w:r>
      <w:r>
        <w:rPr>
          <w:rFonts w:ascii="Times New Roman" w:hAnsi="Times New Roman" w:cs="Times New Roman"/>
          <w:sz w:val="24"/>
          <w:szCs w:val="24"/>
        </w:rPr>
        <w:t xml:space="preserve"> values of d.  Computations with a 23-industry, 4-region, 20-year model are relatively straightforward.  However, we judged that it would be unmanageable to build </w:t>
      </w:r>
      <w:r w:rsidR="00BE2A9D">
        <w:rPr>
          <w:rFonts w:ascii="Times New Roman" w:hAnsi="Times New Roman" w:cs="Times New Roman"/>
          <w:sz w:val="24"/>
          <w:szCs w:val="24"/>
        </w:rPr>
        <w:t>170</w:t>
      </w:r>
      <w:r>
        <w:rPr>
          <w:rFonts w:ascii="Times New Roman" w:hAnsi="Times New Roman" w:cs="Times New Roman"/>
          <w:sz w:val="24"/>
          <w:szCs w:val="24"/>
        </w:rPr>
        <w:t xml:space="preserve"> models each with 4 regions, 23 industries and 20 years and then process the outputs from </w:t>
      </w:r>
      <w:r w:rsidR="00276D72">
        <w:rPr>
          <w:rFonts w:ascii="Times New Roman" w:hAnsi="Times New Roman" w:cs="Times New Roman"/>
          <w:sz w:val="24"/>
          <w:szCs w:val="24"/>
        </w:rPr>
        <w:t xml:space="preserve">28 </w:t>
      </w:r>
      <w:r>
        <w:rPr>
          <w:rFonts w:ascii="Times New Roman" w:hAnsi="Times New Roman" w:cs="Times New Roman"/>
          <w:sz w:val="24"/>
          <w:szCs w:val="24"/>
        </w:rPr>
        <w:t xml:space="preserve">simulations with each model.  This approach would involve </w:t>
      </w:r>
      <w:r w:rsidR="00B5562E">
        <w:rPr>
          <w:rFonts w:ascii="Times New Roman" w:hAnsi="Times New Roman" w:cs="Times New Roman"/>
          <w:sz w:val="24"/>
          <w:szCs w:val="24"/>
        </w:rPr>
        <w:t>about</w:t>
      </w:r>
      <w:r>
        <w:rPr>
          <w:rFonts w:ascii="Times New Roman" w:hAnsi="Times New Roman" w:cs="Times New Roman"/>
          <w:sz w:val="24"/>
          <w:szCs w:val="24"/>
        </w:rPr>
        <w:t xml:space="preserve"> </w:t>
      </w:r>
      <w:r w:rsidR="00B5562E">
        <w:rPr>
          <w:rFonts w:ascii="Times New Roman" w:hAnsi="Times New Roman" w:cs="Times New Roman"/>
          <w:sz w:val="24"/>
          <w:szCs w:val="24"/>
        </w:rPr>
        <w:t>190</w:t>
      </w:r>
      <w:r>
        <w:rPr>
          <w:rFonts w:ascii="Times New Roman" w:hAnsi="Times New Roman" w:cs="Times New Roman"/>
          <w:sz w:val="24"/>
          <w:szCs w:val="24"/>
        </w:rPr>
        <w:t xml:space="preserve"> thousand</w:t>
      </w:r>
      <w:r>
        <w:rPr>
          <w:rStyle w:val="FootnoteReference"/>
          <w:rFonts w:cs="Times New Roman"/>
          <w:sz w:val="24"/>
          <w:szCs w:val="24"/>
        </w:rPr>
        <w:footnoteReference w:id="19"/>
      </w:r>
      <w:r>
        <w:rPr>
          <w:rFonts w:ascii="Times New Roman" w:hAnsi="Times New Roman" w:cs="Times New Roman"/>
          <w:sz w:val="24"/>
          <w:szCs w:val="24"/>
        </w:rPr>
        <w:t xml:space="preserve"> annual solutions which, inevitably, would need to be repeated many times in the process of ironing out bugs and moving to a usable set of elasticities.   </w:t>
      </w:r>
    </w:p>
    <w:p w:rsidR="000418E3" w:rsidRDefault="000418E3"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 xml:space="preserve">This brought us to a third method, and the one that we implemented.  Instead of creating </w:t>
      </w:r>
      <w:r w:rsidR="00E25AA4">
        <w:rPr>
          <w:rFonts w:ascii="Times New Roman" w:hAnsi="Times New Roman" w:cs="Times New Roman"/>
          <w:sz w:val="24"/>
          <w:szCs w:val="24"/>
        </w:rPr>
        <w:t>170</w:t>
      </w:r>
      <w:r>
        <w:rPr>
          <w:rFonts w:ascii="Times New Roman" w:hAnsi="Times New Roman" w:cs="Times New Roman"/>
          <w:sz w:val="24"/>
          <w:szCs w:val="24"/>
        </w:rPr>
        <w:t xml:space="preserve"> 4-region models, we created only 4 such models.  As explained in the next subsection, we use results from these 4 models to generate elasticity estimates for terrorism incidents in all </w:t>
      </w:r>
      <w:r w:rsidR="00E25AA4">
        <w:rPr>
          <w:rFonts w:ascii="Times New Roman" w:hAnsi="Times New Roman" w:cs="Times New Roman"/>
          <w:sz w:val="24"/>
          <w:szCs w:val="24"/>
        </w:rPr>
        <w:t>170</w:t>
      </w:r>
      <w:r>
        <w:rPr>
          <w:rFonts w:ascii="Times New Roman" w:hAnsi="Times New Roman" w:cs="Times New Roman"/>
          <w:sz w:val="24"/>
          <w:szCs w:val="24"/>
        </w:rPr>
        <w:t xml:space="preserve"> </w:t>
      </w:r>
      <w:r w:rsidR="00B835CD">
        <w:rPr>
          <w:rFonts w:ascii="Times New Roman" w:hAnsi="Times New Roman" w:cs="Times New Roman"/>
          <w:sz w:val="24"/>
          <w:szCs w:val="24"/>
        </w:rPr>
        <w:t>congressional</w:t>
      </w:r>
      <w:r>
        <w:rPr>
          <w:rFonts w:ascii="Times New Roman" w:hAnsi="Times New Roman" w:cs="Times New Roman"/>
          <w:sz w:val="24"/>
          <w:szCs w:val="24"/>
        </w:rPr>
        <w:t xml:space="preserve"> districts</w:t>
      </w:r>
      <w:r w:rsidR="004400FE">
        <w:rPr>
          <w:rFonts w:ascii="Times New Roman" w:hAnsi="Times New Roman" w:cs="Times New Roman"/>
          <w:sz w:val="24"/>
          <w:szCs w:val="24"/>
        </w:rPr>
        <w:t xml:space="preserve"> of interest</w:t>
      </w:r>
      <w:r>
        <w:rPr>
          <w:rFonts w:ascii="Times New Roman" w:hAnsi="Times New Roman" w:cs="Times New Roman"/>
          <w:sz w:val="24"/>
          <w:szCs w:val="24"/>
        </w:rPr>
        <w:t xml:space="preserve">.  </w:t>
      </w:r>
    </w:p>
    <w:p w:rsidR="000418E3" w:rsidRDefault="000418E3" w:rsidP="000418E3">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 xml:space="preserve">The target </w:t>
      </w:r>
      <w:r w:rsidR="00B835CD">
        <w:rPr>
          <w:rFonts w:ascii="Times New Roman" w:hAnsi="Times New Roman" w:cs="Times New Roman"/>
          <w:sz w:val="24"/>
          <w:szCs w:val="24"/>
        </w:rPr>
        <w:t>congressional</w:t>
      </w:r>
      <w:r>
        <w:rPr>
          <w:rFonts w:ascii="Times New Roman" w:hAnsi="Times New Roman" w:cs="Times New Roman"/>
          <w:sz w:val="24"/>
          <w:szCs w:val="24"/>
        </w:rPr>
        <w:t xml:space="preserve"> districts in our 4 USAGE-TERM models are FL24 in Miami, AZ07 in Phoenix, </w:t>
      </w:r>
      <w:r w:rsidR="00276D72">
        <w:rPr>
          <w:rFonts w:ascii="Times New Roman" w:hAnsi="Times New Roman" w:cs="Times New Roman"/>
          <w:sz w:val="24"/>
          <w:szCs w:val="24"/>
        </w:rPr>
        <w:t xml:space="preserve">NY14 in New York </w:t>
      </w:r>
      <w:r>
        <w:rPr>
          <w:rFonts w:ascii="Times New Roman" w:hAnsi="Times New Roman" w:cs="Times New Roman"/>
          <w:sz w:val="24"/>
          <w:szCs w:val="24"/>
        </w:rPr>
        <w:t>and</w:t>
      </w:r>
      <w:r w:rsidR="00276D72">
        <w:rPr>
          <w:rFonts w:ascii="Times New Roman" w:hAnsi="Times New Roman" w:cs="Times New Roman"/>
          <w:sz w:val="24"/>
          <w:szCs w:val="24"/>
        </w:rPr>
        <w:t xml:space="preserve"> WA09 in Seattle</w:t>
      </w:r>
      <w:r>
        <w:rPr>
          <w:rFonts w:ascii="Times New Roman" w:hAnsi="Times New Roman" w:cs="Times New Roman"/>
          <w:sz w:val="24"/>
          <w:szCs w:val="24"/>
        </w:rPr>
        <w:t xml:space="preserve">.  We judged that this selection gives a reasonable coverage of U.S. city types: medium to large; east coast, west coast and central.  In each of our 4 models we used a distance algorithm to determine the </w:t>
      </w:r>
      <w:r w:rsidR="00B835CD">
        <w:rPr>
          <w:rFonts w:ascii="Times New Roman" w:hAnsi="Times New Roman" w:cs="Times New Roman"/>
          <w:sz w:val="24"/>
          <w:szCs w:val="24"/>
        </w:rPr>
        <w:t>congressional</w:t>
      </w:r>
      <w:r>
        <w:rPr>
          <w:rFonts w:ascii="Times New Roman" w:hAnsi="Times New Roman" w:cs="Times New Roman"/>
          <w:sz w:val="24"/>
          <w:szCs w:val="24"/>
        </w:rPr>
        <w:t xml:space="preserve"> districts that make up “Rest of city”, “Rest of State” and “Rest of U.S.”  Rest of city consists of those </w:t>
      </w:r>
      <w:r w:rsidR="00B835CD">
        <w:rPr>
          <w:rFonts w:ascii="Times New Roman" w:hAnsi="Times New Roman" w:cs="Times New Roman"/>
          <w:sz w:val="24"/>
          <w:szCs w:val="24"/>
        </w:rPr>
        <w:t>congressional</w:t>
      </w:r>
      <w:r>
        <w:rPr>
          <w:rFonts w:ascii="Times New Roman" w:hAnsi="Times New Roman" w:cs="Times New Roman"/>
          <w:sz w:val="24"/>
          <w:szCs w:val="24"/>
        </w:rPr>
        <w:t xml:space="preserve"> districts, excluding the target region, whose geographic cent</w:t>
      </w:r>
      <w:r w:rsidR="00B31E61">
        <w:rPr>
          <w:rFonts w:ascii="Times New Roman" w:hAnsi="Times New Roman" w:cs="Times New Roman"/>
          <w:sz w:val="24"/>
          <w:szCs w:val="24"/>
        </w:rPr>
        <w:t>re</w:t>
      </w:r>
      <w:r>
        <w:rPr>
          <w:rStyle w:val="FootnoteReference"/>
          <w:rFonts w:cs="Times New Roman"/>
          <w:sz w:val="24"/>
          <w:szCs w:val="24"/>
        </w:rPr>
        <w:footnoteReference w:id="20"/>
      </w:r>
      <w:r>
        <w:rPr>
          <w:rFonts w:ascii="Times New Roman" w:hAnsi="Times New Roman" w:cs="Times New Roman"/>
          <w:sz w:val="24"/>
          <w:szCs w:val="24"/>
        </w:rPr>
        <w:t xml:space="preserve"> is no more than </w:t>
      </w:r>
      <w:r w:rsidR="00614B6D">
        <w:rPr>
          <w:rFonts w:ascii="Times New Roman" w:hAnsi="Times New Roman" w:cs="Times New Roman"/>
          <w:sz w:val="24"/>
          <w:szCs w:val="24"/>
        </w:rPr>
        <w:t>25</w:t>
      </w:r>
      <w:r>
        <w:rPr>
          <w:rFonts w:ascii="Times New Roman" w:hAnsi="Times New Roman" w:cs="Times New Roman"/>
          <w:sz w:val="24"/>
          <w:szCs w:val="24"/>
        </w:rPr>
        <w:t xml:space="preserve"> miles from that of the target region.  Together the target region and the Rest of city form the Target city.  </w:t>
      </w:r>
      <w:r w:rsidR="00614B6D">
        <w:rPr>
          <w:rFonts w:ascii="Times New Roman" w:hAnsi="Times New Roman" w:cs="Times New Roman"/>
          <w:sz w:val="24"/>
          <w:szCs w:val="24"/>
        </w:rPr>
        <w:t xml:space="preserve">In most cases, </w:t>
      </w:r>
      <w:r>
        <w:rPr>
          <w:rFonts w:ascii="Times New Roman" w:hAnsi="Times New Roman" w:cs="Times New Roman"/>
          <w:sz w:val="24"/>
          <w:szCs w:val="24"/>
        </w:rPr>
        <w:t xml:space="preserve">Rest of state consists of those </w:t>
      </w:r>
      <w:r w:rsidR="00B835CD">
        <w:rPr>
          <w:rFonts w:ascii="Times New Roman" w:hAnsi="Times New Roman" w:cs="Times New Roman"/>
          <w:sz w:val="24"/>
          <w:szCs w:val="24"/>
        </w:rPr>
        <w:t>congressional</w:t>
      </w:r>
      <w:r>
        <w:rPr>
          <w:rFonts w:ascii="Times New Roman" w:hAnsi="Times New Roman" w:cs="Times New Roman"/>
          <w:sz w:val="24"/>
          <w:szCs w:val="24"/>
        </w:rPr>
        <w:t xml:space="preserve"> districts whose geographic center is between </w:t>
      </w:r>
      <w:r w:rsidR="00614B6D">
        <w:rPr>
          <w:rFonts w:ascii="Times New Roman" w:hAnsi="Times New Roman" w:cs="Times New Roman"/>
          <w:sz w:val="24"/>
          <w:szCs w:val="24"/>
        </w:rPr>
        <w:t>25</w:t>
      </w:r>
      <w:r>
        <w:rPr>
          <w:rFonts w:ascii="Times New Roman" w:hAnsi="Times New Roman" w:cs="Times New Roman"/>
          <w:sz w:val="24"/>
          <w:szCs w:val="24"/>
        </w:rPr>
        <w:t xml:space="preserve"> and 1</w:t>
      </w:r>
      <w:r w:rsidR="00614B6D">
        <w:rPr>
          <w:rFonts w:ascii="Times New Roman" w:hAnsi="Times New Roman" w:cs="Times New Roman"/>
          <w:sz w:val="24"/>
          <w:szCs w:val="24"/>
        </w:rPr>
        <w:t>5</w:t>
      </w:r>
      <w:r>
        <w:rPr>
          <w:rFonts w:ascii="Times New Roman" w:hAnsi="Times New Roman" w:cs="Times New Roman"/>
          <w:sz w:val="24"/>
          <w:szCs w:val="24"/>
        </w:rPr>
        <w:t xml:space="preserve">0 miles from that of the target region.  All other </w:t>
      </w:r>
      <w:r w:rsidR="00B835CD">
        <w:rPr>
          <w:rFonts w:ascii="Times New Roman" w:hAnsi="Times New Roman" w:cs="Times New Roman"/>
          <w:sz w:val="24"/>
          <w:szCs w:val="24"/>
        </w:rPr>
        <w:t>congressional</w:t>
      </w:r>
      <w:r>
        <w:rPr>
          <w:rFonts w:ascii="Times New Roman" w:hAnsi="Times New Roman" w:cs="Times New Roman"/>
          <w:sz w:val="24"/>
          <w:szCs w:val="24"/>
        </w:rPr>
        <w:t xml:space="preserve"> districts form Rest of U.S.  </w:t>
      </w:r>
      <w:r w:rsidR="00B31E61" w:rsidRPr="00B31E61">
        <w:rPr>
          <w:rFonts w:ascii="Times New Roman" w:hAnsi="Times New Roman" w:cs="Times New Roman"/>
          <w:sz w:val="24"/>
          <w:szCs w:val="24"/>
        </w:rPr>
        <w:t xml:space="preserve">We made </w:t>
      </w:r>
      <w:r w:rsidR="00614B6D">
        <w:rPr>
          <w:rFonts w:ascii="Times New Roman" w:hAnsi="Times New Roman" w:cs="Times New Roman"/>
          <w:sz w:val="24"/>
          <w:szCs w:val="24"/>
        </w:rPr>
        <w:t xml:space="preserve">an </w:t>
      </w:r>
      <w:r w:rsidR="00B31E61" w:rsidRPr="00B31E61">
        <w:rPr>
          <w:rFonts w:ascii="Times New Roman" w:hAnsi="Times New Roman" w:cs="Times New Roman"/>
          <w:sz w:val="24"/>
          <w:szCs w:val="24"/>
        </w:rPr>
        <w:t xml:space="preserve">exception to the rule for </w:t>
      </w:r>
      <w:r w:rsidR="00614B6D">
        <w:rPr>
          <w:rFonts w:ascii="Times New Roman" w:hAnsi="Times New Roman" w:cs="Times New Roman"/>
          <w:sz w:val="24"/>
          <w:szCs w:val="24"/>
        </w:rPr>
        <w:t xml:space="preserve">Rest of state </w:t>
      </w:r>
      <w:r w:rsidR="00B31E61" w:rsidRPr="00B31E61">
        <w:rPr>
          <w:rFonts w:ascii="Times New Roman" w:hAnsi="Times New Roman" w:cs="Times New Roman"/>
          <w:sz w:val="24"/>
          <w:szCs w:val="24"/>
        </w:rPr>
        <w:t xml:space="preserve">in the densely populated North east of the U.S. </w:t>
      </w:r>
      <w:r w:rsidR="00B31E61">
        <w:rPr>
          <w:rFonts w:ascii="Times New Roman" w:hAnsi="Times New Roman" w:cs="Times New Roman"/>
          <w:sz w:val="24"/>
          <w:szCs w:val="24"/>
        </w:rPr>
        <w:t xml:space="preserve"> </w:t>
      </w:r>
      <w:r w:rsidR="00B31E61" w:rsidRPr="00B31E61">
        <w:rPr>
          <w:rFonts w:ascii="Times New Roman" w:hAnsi="Times New Roman" w:cs="Times New Roman"/>
          <w:sz w:val="24"/>
          <w:szCs w:val="24"/>
        </w:rPr>
        <w:t xml:space="preserve">There, Rest of state </w:t>
      </w:r>
      <w:r w:rsidR="00614B6D">
        <w:rPr>
          <w:rFonts w:ascii="Times New Roman" w:hAnsi="Times New Roman" w:cs="Times New Roman"/>
          <w:sz w:val="24"/>
          <w:szCs w:val="24"/>
        </w:rPr>
        <w:t xml:space="preserve">is the set of </w:t>
      </w:r>
      <w:r w:rsidR="00B835CD">
        <w:rPr>
          <w:rFonts w:ascii="Times New Roman" w:hAnsi="Times New Roman" w:cs="Times New Roman"/>
          <w:sz w:val="24"/>
          <w:szCs w:val="24"/>
        </w:rPr>
        <w:t>congressional</w:t>
      </w:r>
      <w:r w:rsidR="00B31E61" w:rsidRPr="00B31E61">
        <w:rPr>
          <w:rFonts w:ascii="Times New Roman" w:hAnsi="Times New Roman" w:cs="Times New Roman"/>
          <w:sz w:val="24"/>
          <w:szCs w:val="24"/>
        </w:rPr>
        <w:t xml:space="preserve"> districts whose geographic centre is between </w:t>
      </w:r>
      <w:r w:rsidR="00614B6D">
        <w:rPr>
          <w:rFonts w:ascii="Times New Roman" w:hAnsi="Times New Roman" w:cs="Times New Roman"/>
          <w:sz w:val="24"/>
          <w:szCs w:val="24"/>
        </w:rPr>
        <w:t>25</w:t>
      </w:r>
      <w:r w:rsidR="00B31E61" w:rsidRPr="00B31E61">
        <w:rPr>
          <w:rFonts w:ascii="Times New Roman" w:hAnsi="Times New Roman" w:cs="Times New Roman"/>
          <w:sz w:val="24"/>
          <w:szCs w:val="24"/>
        </w:rPr>
        <w:t xml:space="preserve"> and </w:t>
      </w:r>
      <w:r w:rsidR="00614B6D">
        <w:rPr>
          <w:rFonts w:ascii="Times New Roman" w:hAnsi="Times New Roman" w:cs="Times New Roman"/>
          <w:sz w:val="24"/>
          <w:szCs w:val="24"/>
        </w:rPr>
        <w:t>75</w:t>
      </w:r>
      <w:r w:rsidR="00B31E61" w:rsidRPr="00B31E61">
        <w:rPr>
          <w:rFonts w:ascii="Times New Roman" w:hAnsi="Times New Roman" w:cs="Times New Roman"/>
          <w:sz w:val="24"/>
          <w:szCs w:val="24"/>
        </w:rPr>
        <w:t xml:space="preserve"> miles from that of the target region.</w:t>
      </w:r>
      <w:r w:rsidR="00B31E61">
        <w:rPr>
          <w:rFonts w:ascii="Times New Roman" w:hAnsi="Times New Roman" w:cs="Times New Roman"/>
          <w:sz w:val="24"/>
          <w:szCs w:val="24"/>
        </w:rPr>
        <w:t xml:space="preserve">  </w:t>
      </w:r>
      <w:r w:rsidR="00B61890">
        <w:rPr>
          <w:rFonts w:ascii="Times New Roman" w:hAnsi="Times New Roman" w:cs="Times New Roman"/>
          <w:sz w:val="24"/>
          <w:szCs w:val="24"/>
        </w:rPr>
        <w:t xml:space="preserve">Application of these rules leads to the definitions in Table </w:t>
      </w:r>
      <w:r w:rsidR="0091054F">
        <w:rPr>
          <w:rFonts w:ascii="Times New Roman" w:hAnsi="Times New Roman" w:cs="Times New Roman"/>
          <w:sz w:val="24"/>
          <w:szCs w:val="24"/>
        </w:rPr>
        <w:t>6.1</w:t>
      </w:r>
      <w:r w:rsidR="00B61890">
        <w:rPr>
          <w:rFonts w:ascii="Times New Roman" w:hAnsi="Times New Roman" w:cs="Times New Roman"/>
          <w:sz w:val="24"/>
          <w:szCs w:val="24"/>
        </w:rPr>
        <w:t xml:space="preserve">.  As can be seen from the Table, there are some cases in which there is no Rest of city: the target region and the </w:t>
      </w:r>
      <w:r w:rsidR="00276D72">
        <w:rPr>
          <w:rFonts w:ascii="Times New Roman" w:hAnsi="Times New Roman" w:cs="Times New Roman"/>
          <w:sz w:val="24"/>
          <w:szCs w:val="24"/>
        </w:rPr>
        <w:t>T</w:t>
      </w:r>
      <w:r w:rsidR="00B61890">
        <w:rPr>
          <w:rFonts w:ascii="Times New Roman" w:hAnsi="Times New Roman" w:cs="Times New Roman"/>
          <w:sz w:val="24"/>
          <w:szCs w:val="24"/>
        </w:rPr>
        <w:t xml:space="preserve">arget city are the same.  For these cases our 4-region model would have only 3 regions.  </w:t>
      </w:r>
    </w:p>
    <w:p w:rsidR="004B40A3" w:rsidRPr="004378A5" w:rsidRDefault="004B40A3" w:rsidP="004B40A3">
      <w:pPr>
        <w:jc w:val="center"/>
        <w:rPr>
          <w:rFonts w:ascii="Times New Roman" w:hAnsi="Times New Roman" w:cs="Times New Roman"/>
          <w:b/>
          <w:i/>
          <w:sz w:val="24"/>
          <w:szCs w:val="24"/>
        </w:rPr>
      </w:pPr>
      <w:r w:rsidRPr="004378A5">
        <w:rPr>
          <w:rFonts w:ascii="Times New Roman" w:hAnsi="Times New Roman" w:cs="Times New Roman"/>
          <w:b/>
          <w:i/>
          <w:sz w:val="24"/>
          <w:szCs w:val="24"/>
        </w:rPr>
        <w:lastRenderedPageBreak/>
        <w:t xml:space="preserve">Table </w:t>
      </w:r>
      <w:r>
        <w:rPr>
          <w:rFonts w:ascii="Times New Roman" w:hAnsi="Times New Roman" w:cs="Times New Roman"/>
          <w:b/>
          <w:i/>
          <w:sz w:val="24"/>
          <w:szCs w:val="24"/>
        </w:rPr>
        <w:t>6.1</w:t>
      </w:r>
      <w:r w:rsidRPr="004378A5">
        <w:rPr>
          <w:rFonts w:ascii="Times New Roman" w:hAnsi="Times New Roman" w:cs="Times New Roman"/>
          <w:b/>
          <w:i/>
          <w:sz w:val="24"/>
          <w:szCs w:val="24"/>
        </w:rPr>
        <w:t xml:space="preserve">.  </w:t>
      </w:r>
      <w:r>
        <w:rPr>
          <w:rFonts w:ascii="Times New Roman" w:hAnsi="Times New Roman" w:cs="Times New Roman"/>
          <w:b/>
          <w:i/>
          <w:sz w:val="24"/>
          <w:szCs w:val="24"/>
        </w:rPr>
        <w:t xml:space="preserve">Target </w:t>
      </w:r>
      <w:r w:rsidR="00B835CD">
        <w:rPr>
          <w:rFonts w:ascii="Times New Roman" w:hAnsi="Times New Roman" w:cs="Times New Roman"/>
          <w:b/>
          <w:i/>
          <w:sz w:val="24"/>
          <w:szCs w:val="24"/>
        </w:rPr>
        <w:t>congressional</w:t>
      </w:r>
      <w:r>
        <w:rPr>
          <w:rFonts w:ascii="Times New Roman" w:hAnsi="Times New Roman" w:cs="Times New Roman"/>
          <w:b/>
          <w:i/>
          <w:sz w:val="24"/>
          <w:szCs w:val="24"/>
        </w:rPr>
        <w:t xml:space="preserve"> districts of interest with corresponding </w:t>
      </w:r>
      <w:r w:rsidR="00B835CD">
        <w:rPr>
          <w:rFonts w:ascii="Times New Roman" w:hAnsi="Times New Roman" w:cs="Times New Roman"/>
          <w:b/>
          <w:i/>
          <w:sz w:val="24"/>
          <w:szCs w:val="24"/>
        </w:rPr>
        <w:t>congressional</w:t>
      </w:r>
      <w:r>
        <w:rPr>
          <w:rFonts w:ascii="Times New Roman" w:hAnsi="Times New Roman" w:cs="Times New Roman"/>
          <w:b/>
          <w:i/>
          <w:sz w:val="24"/>
          <w:szCs w:val="24"/>
        </w:rPr>
        <w:t xml:space="preserve"> districts in Rest of city and Rest of state</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1056"/>
        <w:gridCol w:w="1086"/>
        <w:gridCol w:w="2940"/>
        <w:gridCol w:w="3944"/>
      </w:tblGrid>
      <w:tr w:rsidR="004B40A3" w:rsidTr="00900B10">
        <w:tc>
          <w:tcPr>
            <w:tcW w:w="1078" w:type="dxa"/>
            <w:tcBorders>
              <w:top w:val="single" w:sz="18" w:space="0" w:color="595959" w:themeColor="text1" w:themeTint="A6"/>
              <w:bottom w:val="single" w:sz="18" w:space="0" w:color="595959" w:themeColor="text1" w:themeTint="A6"/>
              <w:right w:val="single" w:sz="18" w:space="0" w:color="595959" w:themeColor="text1" w:themeTint="A6"/>
            </w:tcBorders>
          </w:tcPr>
          <w:p w:rsidR="004B40A3" w:rsidRPr="004378A5" w:rsidRDefault="004B40A3" w:rsidP="00900B10">
            <w:pPr>
              <w:jc w:val="center"/>
              <w:rPr>
                <w:rFonts w:ascii="Times New Roman" w:hAnsi="Times New Roman" w:cs="Times New Roman"/>
                <w:b/>
              </w:rPr>
            </w:pPr>
          </w:p>
        </w:tc>
        <w:tc>
          <w:tcPr>
            <w:tcW w:w="1094" w:type="dxa"/>
            <w:tcBorders>
              <w:top w:val="single" w:sz="18" w:space="0" w:color="595959" w:themeColor="text1" w:themeTint="A6"/>
              <w:bottom w:val="single" w:sz="18" w:space="0" w:color="595959" w:themeColor="text1" w:themeTint="A6"/>
              <w:right w:val="single" w:sz="18" w:space="0" w:color="595959" w:themeColor="text1" w:themeTint="A6"/>
            </w:tcBorders>
          </w:tcPr>
          <w:p w:rsidR="004B40A3" w:rsidRPr="004378A5" w:rsidRDefault="004B40A3" w:rsidP="00900B10">
            <w:pPr>
              <w:jc w:val="center"/>
              <w:rPr>
                <w:rFonts w:ascii="Times New Roman" w:hAnsi="Times New Roman" w:cs="Times New Roman"/>
                <w:b/>
              </w:rPr>
            </w:pPr>
            <w:r w:rsidRPr="004378A5">
              <w:rPr>
                <w:rFonts w:ascii="Times New Roman" w:hAnsi="Times New Roman" w:cs="Times New Roman"/>
                <w:b/>
              </w:rPr>
              <w:t>Target</w:t>
            </w:r>
          </w:p>
          <w:p w:rsidR="004B40A3" w:rsidRPr="004378A5" w:rsidRDefault="004B40A3" w:rsidP="00900B10">
            <w:pPr>
              <w:jc w:val="center"/>
              <w:rPr>
                <w:rFonts w:ascii="Times New Roman" w:hAnsi="Times New Roman" w:cs="Times New Roman"/>
                <w:b/>
              </w:rPr>
            </w:pPr>
            <w:r w:rsidRPr="004378A5">
              <w:rPr>
                <w:rFonts w:ascii="Times New Roman" w:hAnsi="Times New Roman" w:cs="Times New Roman"/>
                <w:b/>
              </w:rPr>
              <w:t>region</w:t>
            </w:r>
          </w:p>
        </w:tc>
        <w:tc>
          <w:tcPr>
            <w:tcW w:w="3016" w:type="dxa"/>
            <w:tc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cBorders>
          </w:tcPr>
          <w:p w:rsidR="004B40A3" w:rsidRPr="004378A5" w:rsidRDefault="004B40A3" w:rsidP="00900B10">
            <w:pPr>
              <w:jc w:val="center"/>
              <w:rPr>
                <w:rFonts w:ascii="Times New Roman" w:hAnsi="Times New Roman" w:cs="Times New Roman"/>
                <w:b/>
              </w:rPr>
            </w:pPr>
            <w:r w:rsidRPr="004378A5">
              <w:rPr>
                <w:rFonts w:ascii="Times New Roman" w:hAnsi="Times New Roman" w:cs="Times New Roman"/>
                <w:b/>
              </w:rPr>
              <w:t>Rest of city</w:t>
            </w:r>
          </w:p>
        </w:tc>
        <w:tc>
          <w:tcPr>
            <w:tcW w:w="4054" w:type="dxa"/>
            <w:tcBorders>
              <w:top w:val="single" w:sz="18" w:space="0" w:color="595959" w:themeColor="text1" w:themeTint="A6"/>
              <w:left w:val="single" w:sz="18" w:space="0" w:color="595959" w:themeColor="text1" w:themeTint="A6"/>
              <w:bottom w:val="single" w:sz="18" w:space="0" w:color="595959" w:themeColor="text1" w:themeTint="A6"/>
            </w:tcBorders>
          </w:tcPr>
          <w:p w:rsidR="004B40A3" w:rsidRPr="004378A5" w:rsidRDefault="004B40A3" w:rsidP="00900B10">
            <w:pPr>
              <w:jc w:val="center"/>
              <w:rPr>
                <w:rFonts w:ascii="Times New Roman" w:hAnsi="Times New Roman" w:cs="Times New Roman"/>
                <w:b/>
              </w:rPr>
            </w:pPr>
            <w:r w:rsidRPr="004378A5">
              <w:rPr>
                <w:rFonts w:ascii="Times New Roman" w:hAnsi="Times New Roman" w:cs="Times New Roman"/>
                <w:b/>
              </w:rPr>
              <w:t>Rest of state</w:t>
            </w:r>
          </w:p>
        </w:tc>
      </w:tr>
      <w:tr w:rsidR="004B40A3" w:rsidTr="00900B10">
        <w:tc>
          <w:tcPr>
            <w:tcW w:w="1078" w:type="dxa"/>
            <w:tcBorders>
              <w:top w:val="single" w:sz="18" w:space="0" w:color="595959" w:themeColor="text1" w:themeTint="A6"/>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w:t>
            </w:r>
          </w:p>
        </w:tc>
        <w:tc>
          <w:tcPr>
            <w:tcW w:w="1094" w:type="dxa"/>
            <w:tcBorders>
              <w:top w:val="single" w:sz="18" w:space="0" w:color="595959" w:themeColor="text1" w:themeTint="A6"/>
              <w:right w:val="single" w:sz="18" w:space="0" w:color="595959" w:themeColor="text1" w:themeTint="A6"/>
            </w:tcBorders>
          </w:tcPr>
          <w:p w:rsidR="004B40A3" w:rsidRDefault="004B40A3" w:rsidP="00900B10">
            <w:pPr>
              <w:rPr>
                <w:sz w:val="18"/>
                <w:szCs w:val="18"/>
              </w:rPr>
            </w:pPr>
            <w:r>
              <w:rPr>
                <w:sz w:val="18"/>
                <w:szCs w:val="18"/>
              </w:rPr>
              <w:t>AL06</w:t>
            </w:r>
          </w:p>
        </w:tc>
        <w:tc>
          <w:tcPr>
            <w:tcW w:w="3016" w:type="dxa"/>
            <w:tcBorders>
              <w:top w:val="single" w:sz="18" w:space="0" w:color="595959" w:themeColor="text1" w:themeTint="A6"/>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p>
        </w:tc>
        <w:tc>
          <w:tcPr>
            <w:tcW w:w="4054" w:type="dxa"/>
            <w:tcBorders>
              <w:top w:val="single" w:sz="18" w:space="0" w:color="595959" w:themeColor="text1" w:themeTint="A6"/>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AL01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AL02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AL03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AL04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AL05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AL07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MS01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TN07</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2</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AZ02</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AZ03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AZ05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AZ06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AZ07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AZ08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AZ09</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3</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AZ05</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AZ06 AZ07 AZ09</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AZ01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AZ02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AZ03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AZ04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AZ08</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4</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AZ06</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AZ05 AZ07 AZ08 AZ09</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AZ01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AZ02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AZ03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AZ04</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5</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AZ07</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AZ05 AZ06 AZ08 AZ09</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AZ01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AZ02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AZ03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AZ04</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6</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AZ08</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AZ06 AZ07 AZ09</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AZ01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AZ02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AZ03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AZ04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AZ05</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7</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AZ09</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AZ05 AZ06 AZ07 AZ08</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AZ01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AZ02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AZ03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AZ04</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8</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CA06</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CA07</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CA22</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9</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CA07</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CA06 CA09</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CA22</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10</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CA08</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CA22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NV01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NV03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NV04</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11</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CA09</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CA07 CA10</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CA22</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12</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CA10</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CA09</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CA24</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13</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CA11</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CA12 CA13 CA15 CA17</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CA22</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14</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CA12</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CA11 CA13 CA14</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CA21</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15</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CA13</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CA11 CA12 CA14 CA15 CA17</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CA21</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16</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CA14</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CA12 CA13</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CA20</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17</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CA15</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CA11 CA13 CA17</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CA22</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18</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CA16</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CA24</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19</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CA17</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CA11 CA13 CA15 CA18 CA19</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CA22</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20</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CA19</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CA17</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CA24</w:t>
            </w:r>
            <w:r>
              <w:rPr>
                <w:rFonts w:ascii="Times New Roman" w:hAnsi="Times New Roman" w:cs="Times New Roman"/>
                <w:color w:val="000000"/>
                <w:sz w:val="18"/>
                <w:szCs w:val="18"/>
              </w:rPr>
              <w:t xml:space="preserve">           </w:t>
            </w:r>
          </w:p>
        </w:tc>
      </w:tr>
    </w:tbl>
    <w:p w:rsidR="004B40A3" w:rsidRDefault="004B40A3" w:rsidP="004B40A3">
      <w:pPr>
        <w:ind w:right="95"/>
        <w:jc w:val="right"/>
        <w:rPr>
          <w:rFonts w:ascii="Times New Roman" w:hAnsi="Times New Roman" w:cs="Times New Roman"/>
          <w:b/>
          <w:i/>
          <w:sz w:val="24"/>
          <w:szCs w:val="24"/>
        </w:rPr>
      </w:pPr>
      <w:r>
        <w:rPr>
          <w:rFonts w:ascii="Times New Roman" w:hAnsi="Times New Roman" w:cs="Times New Roman"/>
          <w:b/>
          <w:i/>
          <w:sz w:val="24"/>
          <w:szCs w:val="24"/>
        </w:rPr>
        <w:lastRenderedPageBreak/>
        <w:t>Table 6.1 continues …</w:t>
      </w:r>
    </w:p>
    <w:p w:rsidR="004B40A3" w:rsidRDefault="004B40A3" w:rsidP="004B40A3">
      <w:pPr>
        <w:rPr>
          <w:rFonts w:ascii="Times New Roman" w:hAnsi="Times New Roman" w:cs="Times New Roman"/>
          <w:b/>
          <w:i/>
          <w:sz w:val="24"/>
          <w:szCs w:val="24"/>
        </w:rPr>
      </w:pPr>
      <w:r>
        <w:rPr>
          <w:rFonts w:ascii="Times New Roman" w:hAnsi="Times New Roman" w:cs="Times New Roman"/>
          <w:b/>
          <w:i/>
          <w:sz w:val="24"/>
          <w:szCs w:val="24"/>
        </w:rPr>
        <w:t>… Table 6.1 continued</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1056"/>
        <w:gridCol w:w="1086"/>
        <w:gridCol w:w="2940"/>
        <w:gridCol w:w="3944"/>
      </w:tblGrid>
      <w:tr w:rsidR="004B40A3" w:rsidRPr="004378A5" w:rsidTr="00900B10">
        <w:tc>
          <w:tcPr>
            <w:tcW w:w="1078" w:type="dxa"/>
            <w:tcBorders>
              <w:top w:val="single" w:sz="18" w:space="0" w:color="595959" w:themeColor="text1" w:themeTint="A6"/>
              <w:bottom w:val="single" w:sz="18" w:space="0" w:color="595959" w:themeColor="text1" w:themeTint="A6"/>
              <w:right w:val="single" w:sz="18" w:space="0" w:color="595959" w:themeColor="text1" w:themeTint="A6"/>
            </w:tcBorders>
          </w:tcPr>
          <w:p w:rsidR="004B40A3" w:rsidRPr="004378A5" w:rsidRDefault="004B40A3" w:rsidP="00900B10">
            <w:pPr>
              <w:jc w:val="center"/>
              <w:rPr>
                <w:rFonts w:ascii="Times New Roman" w:hAnsi="Times New Roman" w:cs="Times New Roman"/>
                <w:b/>
              </w:rPr>
            </w:pPr>
          </w:p>
        </w:tc>
        <w:tc>
          <w:tcPr>
            <w:tcW w:w="1094" w:type="dxa"/>
            <w:tcBorders>
              <w:top w:val="single" w:sz="18" w:space="0" w:color="595959" w:themeColor="text1" w:themeTint="A6"/>
              <w:bottom w:val="single" w:sz="18" w:space="0" w:color="595959" w:themeColor="text1" w:themeTint="A6"/>
              <w:right w:val="single" w:sz="18" w:space="0" w:color="595959" w:themeColor="text1" w:themeTint="A6"/>
            </w:tcBorders>
          </w:tcPr>
          <w:p w:rsidR="004B40A3" w:rsidRPr="004378A5" w:rsidRDefault="004B40A3" w:rsidP="00900B10">
            <w:pPr>
              <w:jc w:val="center"/>
              <w:rPr>
                <w:rFonts w:ascii="Times New Roman" w:hAnsi="Times New Roman" w:cs="Times New Roman"/>
                <w:b/>
              </w:rPr>
            </w:pPr>
            <w:r w:rsidRPr="004378A5">
              <w:rPr>
                <w:rFonts w:ascii="Times New Roman" w:hAnsi="Times New Roman" w:cs="Times New Roman"/>
                <w:b/>
              </w:rPr>
              <w:t>Target</w:t>
            </w:r>
          </w:p>
          <w:p w:rsidR="004B40A3" w:rsidRPr="004378A5" w:rsidRDefault="004B40A3" w:rsidP="00900B10">
            <w:pPr>
              <w:jc w:val="center"/>
              <w:rPr>
                <w:rFonts w:ascii="Times New Roman" w:hAnsi="Times New Roman" w:cs="Times New Roman"/>
                <w:b/>
              </w:rPr>
            </w:pPr>
            <w:r w:rsidRPr="004378A5">
              <w:rPr>
                <w:rFonts w:ascii="Times New Roman" w:hAnsi="Times New Roman" w:cs="Times New Roman"/>
                <w:b/>
              </w:rPr>
              <w:t>region</w:t>
            </w:r>
          </w:p>
        </w:tc>
        <w:tc>
          <w:tcPr>
            <w:tcW w:w="3016" w:type="dxa"/>
            <w:tc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cBorders>
          </w:tcPr>
          <w:p w:rsidR="004B40A3" w:rsidRPr="004378A5" w:rsidRDefault="004B40A3" w:rsidP="00900B10">
            <w:pPr>
              <w:jc w:val="center"/>
              <w:rPr>
                <w:rFonts w:ascii="Times New Roman" w:hAnsi="Times New Roman" w:cs="Times New Roman"/>
                <w:b/>
              </w:rPr>
            </w:pPr>
            <w:r w:rsidRPr="004378A5">
              <w:rPr>
                <w:rFonts w:ascii="Times New Roman" w:hAnsi="Times New Roman" w:cs="Times New Roman"/>
                <w:b/>
              </w:rPr>
              <w:t>Rest of city</w:t>
            </w:r>
          </w:p>
        </w:tc>
        <w:tc>
          <w:tcPr>
            <w:tcW w:w="4054" w:type="dxa"/>
            <w:tcBorders>
              <w:top w:val="single" w:sz="18" w:space="0" w:color="595959" w:themeColor="text1" w:themeTint="A6"/>
              <w:left w:val="single" w:sz="18" w:space="0" w:color="595959" w:themeColor="text1" w:themeTint="A6"/>
              <w:bottom w:val="single" w:sz="18" w:space="0" w:color="595959" w:themeColor="text1" w:themeTint="A6"/>
            </w:tcBorders>
          </w:tcPr>
          <w:p w:rsidR="004B40A3" w:rsidRPr="004378A5" w:rsidRDefault="004B40A3" w:rsidP="00900B10">
            <w:pPr>
              <w:jc w:val="center"/>
              <w:rPr>
                <w:rFonts w:ascii="Times New Roman" w:hAnsi="Times New Roman" w:cs="Times New Roman"/>
                <w:b/>
              </w:rPr>
            </w:pPr>
            <w:r w:rsidRPr="004378A5">
              <w:rPr>
                <w:rFonts w:ascii="Times New Roman" w:hAnsi="Times New Roman" w:cs="Times New Roman"/>
                <w:b/>
              </w:rPr>
              <w:t>Rest of state</w:t>
            </w:r>
          </w:p>
        </w:tc>
      </w:tr>
      <w:tr w:rsidR="004B40A3" w:rsidRPr="004378A5"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21</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CA23</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CA49</w:t>
            </w:r>
            <w:r>
              <w:rPr>
                <w:rFonts w:ascii="Times New Roman" w:hAnsi="Times New Roman" w:cs="Times New Roman"/>
                <w:color w:val="000000"/>
                <w:sz w:val="18"/>
                <w:szCs w:val="18"/>
              </w:rPr>
              <w:t xml:space="preserve">     </w:t>
            </w:r>
          </w:p>
        </w:tc>
      </w:tr>
      <w:tr w:rsidR="004B40A3" w:rsidRPr="004378A5"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22</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CA27</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CA25 CA28 CA29 CA32 CA34 CA35 CA38 CA39 CA40 CA46</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CA53</w:t>
            </w:r>
            <w:r>
              <w:rPr>
                <w:rFonts w:ascii="Times New Roman" w:hAnsi="Times New Roman" w:cs="Times New Roman"/>
                <w:color w:val="000000"/>
                <w:sz w:val="18"/>
                <w:szCs w:val="18"/>
              </w:rPr>
              <w:t xml:space="preserve">         </w:t>
            </w:r>
          </w:p>
        </w:tc>
      </w:tr>
      <w:tr w:rsidR="004B40A3" w:rsidRPr="004378A5"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23</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CA28</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CA25 CA27 CA29 CA30 CA32 CA34 CA37 CA38 CA40 CA43 CA44</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CA53</w:t>
            </w:r>
            <w:r>
              <w:rPr>
                <w:rFonts w:ascii="Times New Roman" w:hAnsi="Times New Roman" w:cs="Times New Roman"/>
                <w:color w:val="000000"/>
                <w:sz w:val="18"/>
                <w:szCs w:val="18"/>
              </w:rPr>
              <w:t xml:space="preserve">          </w:t>
            </w:r>
          </w:p>
        </w:tc>
      </w:tr>
      <w:tr w:rsidR="004B40A3" w:rsidRPr="004378A5"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24</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CA29</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CA25 CA27 CA28 CA30 CA33 CA34 CA37 CA38 CA40 CA43 CA44</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25</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CA30</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CA25 CA28 CA29 CA33 CA34 CA37 CA40 CA43 CA44</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26</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CA31</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CA35 CA41 CA42</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NV01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NV03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27</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CA32</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CA27 CA28 CA34 CA35 CA37 CA38 CA39 CA40 CA43 CA44 CA45 CA46 CA48</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28</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CA33</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CA26 CA29 CA30 CA37 CA43</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29</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CA34</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CA27 CA28 CA29 CA30 CA32 CA37 CA38 CA39 CA40 CA43 CA44 CA46</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30</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CA35</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CA27 CA31 CA32 CA38 CA39 CA41 CA45 CA46</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NV03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31</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CA36</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AZ04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NV01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NV03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32</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CA37</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CA28 CA29 CA30 CA32 CA33 CA34 CA38 CA40 CA43 CA44</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33</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CA38</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CA27 CA28 CA29 CA32 CA34 CA35 CA37 CA39 CA40 CA43 CA44 CA45 CA46 CA48</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lastRenderedPageBreak/>
              <w:t>34</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CA39</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CA27 CA32 CA34 CA35 CA38 CA40 CA44 CA45 CA46 CA48</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CA53</w:t>
            </w:r>
            <w:r>
              <w:rPr>
                <w:rFonts w:ascii="Times New Roman" w:hAnsi="Times New Roman" w:cs="Times New Roman"/>
                <w:color w:val="000000"/>
                <w:sz w:val="18"/>
                <w:szCs w:val="18"/>
              </w:rPr>
              <w:t xml:space="preserve">         </w:t>
            </w:r>
          </w:p>
        </w:tc>
      </w:tr>
    </w:tbl>
    <w:p w:rsidR="004B40A3" w:rsidRDefault="004B40A3" w:rsidP="004B40A3">
      <w:pPr>
        <w:ind w:right="95"/>
        <w:jc w:val="right"/>
        <w:rPr>
          <w:rFonts w:ascii="Times New Roman" w:hAnsi="Times New Roman" w:cs="Times New Roman"/>
          <w:b/>
          <w:i/>
          <w:sz w:val="24"/>
          <w:szCs w:val="24"/>
        </w:rPr>
      </w:pPr>
      <w:r>
        <w:rPr>
          <w:rFonts w:ascii="Times New Roman" w:hAnsi="Times New Roman" w:cs="Times New Roman"/>
          <w:b/>
          <w:i/>
          <w:sz w:val="24"/>
          <w:szCs w:val="24"/>
        </w:rPr>
        <w:t>Table 6.1 continues …</w:t>
      </w:r>
    </w:p>
    <w:p w:rsidR="004B40A3" w:rsidRDefault="004B40A3">
      <w:pPr>
        <w:spacing w:before="0" w:after="200" w:line="276" w:lineRule="auto"/>
        <w:rPr>
          <w:rFonts w:ascii="Times New Roman" w:hAnsi="Times New Roman" w:cs="Times New Roman"/>
          <w:b/>
          <w:i/>
          <w:sz w:val="24"/>
          <w:szCs w:val="24"/>
        </w:rPr>
      </w:pPr>
      <w:r>
        <w:rPr>
          <w:rFonts w:ascii="Times New Roman" w:hAnsi="Times New Roman" w:cs="Times New Roman"/>
          <w:b/>
          <w:i/>
          <w:sz w:val="24"/>
          <w:szCs w:val="24"/>
        </w:rPr>
        <w:br w:type="page"/>
      </w:r>
    </w:p>
    <w:p w:rsidR="004B40A3" w:rsidRDefault="004B40A3" w:rsidP="004B40A3">
      <w:pPr>
        <w:spacing w:before="0" w:after="200" w:line="276" w:lineRule="auto"/>
        <w:rPr>
          <w:rFonts w:ascii="Times New Roman" w:hAnsi="Times New Roman" w:cs="Times New Roman"/>
          <w:b/>
          <w:i/>
          <w:sz w:val="24"/>
          <w:szCs w:val="24"/>
        </w:rPr>
      </w:pPr>
    </w:p>
    <w:p w:rsidR="004B40A3" w:rsidRDefault="004B40A3" w:rsidP="004B40A3">
      <w:pPr>
        <w:rPr>
          <w:rFonts w:ascii="Times New Roman" w:hAnsi="Times New Roman" w:cs="Times New Roman"/>
          <w:b/>
          <w:i/>
          <w:sz w:val="24"/>
          <w:szCs w:val="24"/>
        </w:rPr>
      </w:pPr>
      <w:r>
        <w:rPr>
          <w:rFonts w:ascii="Times New Roman" w:hAnsi="Times New Roman" w:cs="Times New Roman"/>
          <w:b/>
          <w:i/>
          <w:sz w:val="24"/>
          <w:szCs w:val="24"/>
        </w:rPr>
        <w:t>… Table 6.1 continued</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1056"/>
        <w:gridCol w:w="1086"/>
        <w:gridCol w:w="2940"/>
        <w:gridCol w:w="3944"/>
      </w:tblGrid>
      <w:tr w:rsidR="004B40A3" w:rsidRPr="004378A5" w:rsidTr="00900B10">
        <w:tc>
          <w:tcPr>
            <w:tcW w:w="1078" w:type="dxa"/>
            <w:tcBorders>
              <w:top w:val="single" w:sz="18" w:space="0" w:color="595959" w:themeColor="text1" w:themeTint="A6"/>
              <w:bottom w:val="single" w:sz="18" w:space="0" w:color="595959" w:themeColor="text1" w:themeTint="A6"/>
              <w:right w:val="single" w:sz="18" w:space="0" w:color="595959" w:themeColor="text1" w:themeTint="A6"/>
            </w:tcBorders>
          </w:tcPr>
          <w:p w:rsidR="004B40A3" w:rsidRPr="004378A5" w:rsidRDefault="004B40A3" w:rsidP="00900B10">
            <w:pPr>
              <w:jc w:val="center"/>
              <w:rPr>
                <w:rFonts w:ascii="Times New Roman" w:hAnsi="Times New Roman" w:cs="Times New Roman"/>
                <w:b/>
              </w:rPr>
            </w:pPr>
          </w:p>
        </w:tc>
        <w:tc>
          <w:tcPr>
            <w:tcW w:w="1094" w:type="dxa"/>
            <w:tcBorders>
              <w:top w:val="single" w:sz="18" w:space="0" w:color="595959" w:themeColor="text1" w:themeTint="A6"/>
              <w:bottom w:val="single" w:sz="18" w:space="0" w:color="595959" w:themeColor="text1" w:themeTint="A6"/>
              <w:right w:val="single" w:sz="18" w:space="0" w:color="595959" w:themeColor="text1" w:themeTint="A6"/>
            </w:tcBorders>
          </w:tcPr>
          <w:p w:rsidR="004B40A3" w:rsidRPr="004378A5" w:rsidRDefault="004B40A3" w:rsidP="00900B10">
            <w:pPr>
              <w:jc w:val="center"/>
              <w:rPr>
                <w:rFonts w:ascii="Times New Roman" w:hAnsi="Times New Roman" w:cs="Times New Roman"/>
                <w:b/>
              </w:rPr>
            </w:pPr>
            <w:r w:rsidRPr="004378A5">
              <w:rPr>
                <w:rFonts w:ascii="Times New Roman" w:hAnsi="Times New Roman" w:cs="Times New Roman"/>
                <w:b/>
              </w:rPr>
              <w:t>Target</w:t>
            </w:r>
          </w:p>
          <w:p w:rsidR="004B40A3" w:rsidRPr="004378A5" w:rsidRDefault="004B40A3" w:rsidP="00900B10">
            <w:pPr>
              <w:jc w:val="center"/>
              <w:rPr>
                <w:rFonts w:ascii="Times New Roman" w:hAnsi="Times New Roman" w:cs="Times New Roman"/>
                <w:b/>
              </w:rPr>
            </w:pPr>
            <w:r w:rsidRPr="004378A5">
              <w:rPr>
                <w:rFonts w:ascii="Times New Roman" w:hAnsi="Times New Roman" w:cs="Times New Roman"/>
                <w:b/>
              </w:rPr>
              <w:t>region</w:t>
            </w:r>
          </w:p>
        </w:tc>
        <w:tc>
          <w:tcPr>
            <w:tcW w:w="3016" w:type="dxa"/>
            <w:tc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cBorders>
          </w:tcPr>
          <w:p w:rsidR="004B40A3" w:rsidRPr="004378A5" w:rsidRDefault="004B40A3" w:rsidP="00900B10">
            <w:pPr>
              <w:jc w:val="center"/>
              <w:rPr>
                <w:rFonts w:ascii="Times New Roman" w:hAnsi="Times New Roman" w:cs="Times New Roman"/>
                <w:b/>
              </w:rPr>
            </w:pPr>
            <w:r w:rsidRPr="004378A5">
              <w:rPr>
                <w:rFonts w:ascii="Times New Roman" w:hAnsi="Times New Roman" w:cs="Times New Roman"/>
                <w:b/>
              </w:rPr>
              <w:t>Rest of city</w:t>
            </w:r>
          </w:p>
        </w:tc>
        <w:tc>
          <w:tcPr>
            <w:tcW w:w="4054" w:type="dxa"/>
            <w:tcBorders>
              <w:top w:val="single" w:sz="18" w:space="0" w:color="595959" w:themeColor="text1" w:themeTint="A6"/>
              <w:left w:val="single" w:sz="18" w:space="0" w:color="595959" w:themeColor="text1" w:themeTint="A6"/>
              <w:bottom w:val="single" w:sz="18" w:space="0" w:color="595959" w:themeColor="text1" w:themeTint="A6"/>
            </w:tcBorders>
          </w:tcPr>
          <w:p w:rsidR="004B40A3" w:rsidRPr="004378A5" w:rsidRDefault="004B40A3" w:rsidP="00900B10">
            <w:pPr>
              <w:jc w:val="center"/>
              <w:rPr>
                <w:rFonts w:ascii="Times New Roman" w:hAnsi="Times New Roman" w:cs="Times New Roman"/>
                <w:b/>
              </w:rPr>
            </w:pPr>
            <w:r w:rsidRPr="004378A5">
              <w:rPr>
                <w:rFonts w:ascii="Times New Roman" w:hAnsi="Times New Roman" w:cs="Times New Roman"/>
                <w:b/>
              </w:rPr>
              <w:t>Rest of state</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35</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CA41</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CA31 CA35 CA42 CA45</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NV03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36</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CA43</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CA28 CA29 CA30 CA32 CA33 CA34 CA37 CA38 CA40 CA44 CA46</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37</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CA44</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CA28 CA29 CA30 CA32 CA34 CA37 CA38 CA39 CA40 CA43 CA46 CA48</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38</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CA46</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CA27 CA32 CA34 CA35 CA38 CA39 CA40 CA43 CA44 CA45 CA48</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39</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CA47</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40</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CA48</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CA32 CA38 CA39 CA40 CA44 CA45 CA46</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41</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CA52</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CA53</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CA51</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42</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CA53</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CA52</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CA29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CA49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CA51</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43</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CO01</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CO06 CO07</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CO02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CO03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CO04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CO05</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44</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CO05</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CO01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CO02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CO03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CO04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CO06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CO07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NM03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45</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DC98</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MD03 MD04 MD07 VA08 VA11</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MD01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VA10</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46</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FL04</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FL02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SC01</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47</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FL09</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FL03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FL20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FL21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FL22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FL23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FL24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FL26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FL27</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48</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FL10</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FL03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FL20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FL21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FL22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FL23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GA01</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49</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FL23</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FL21 FL22 FL24</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FL07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FL20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FL26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FL27</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50</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FL24</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FL23 FL27</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FL07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FL20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FL21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FL22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FL26</w:t>
            </w:r>
            <w:r>
              <w:rPr>
                <w:rFonts w:ascii="Times New Roman" w:hAnsi="Times New Roman" w:cs="Times New Roman"/>
                <w:color w:val="000000"/>
                <w:sz w:val="18"/>
                <w:szCs w:val="18"/>
              </w:rPr>
              <w:t xml:space="preserve">             </w:t>
            </w:r>
          </w:p>
        </w:tc>
      </w:tr>
    </w:tbl>
    <w:p w:rsidR="004B40A3" w:rsidRDefault="004B40A3" w:rsidP="004B40A3">
      <w:pPr>
        <w:ind w:right="95"/>
        <w:jc w:val="right"/>
        <w:rPr>
          <w:rFonts w:ascii="Times New Roman" w:hAnsi="Times New Roman" w:cs="Times New Roman"/>
          <w:b/>
          <w:i/>
          <w:sz w:val="24"/>
          <w:szCs w:val="24"/>
        </w:rPr>
      </w:pPr>
      <w:r>
        <w:rPr>
          <w:rFonts w:ascii="Times New Roman" w:hAnsi="Times New Roman" w:cs="Times New Roman"/>
          <w:b/>
          <w:i/>
          <w:sz w:val="24"/>
          <w:szCs w:val="24"/>
        </w:rPr>
        <w:lastRenderedPageBreak/>
        <w:t>Table 6.1 continues …</w:t>
      </w:r>
    </w:p>
    <w:p w:rsidR="004B40A3" w:rsidRDefault="004B40A3" w:rsidP="004B40A3">
      <w:pPr>
        <w:rPr>
          <w:rFonts w:ascii="Times New Roman" w:hAnsi="Times New Roman" w:cs="Times New Roman"/>
          <w:b/>
          <w:i/>
          <w:sz w:val="24"/>
          <w:szCs w:val="24"/>
        </w:rPr>
      </w:pPr>
      <w:r w:rsidRPr="00790C03">
        <w:rPr>
          <w:rFonts w:ascii="Times New Roman" w:hAnsi="Times New Roman" w:cs="Times New Roman"/>
          <w:b/>
          <w:i/>
          <w:sz w:val="24"/>
          <w:szCs w:val="24"/>
          <w:u w:val="single"/>
        </w:rPr>
        <w:br w:type="page"/>
      </w:r>
      <w:r w:rsidRPr="00E9794F">
        <w:rPr>
          <w:rFonts w:ascii="Times New Roman" w:hAnsi="Times New Roman" w:cs="Times New Roman"/>
          <w:b/>
          <w:i/>
          <w:sz w:val="24"/>
          <w:szCs w:val="24"/>
        </w:rPr>
        <w:lastRenderedPageBreak/>
        <w:t xml:space="preserve">… </w:t>
      </w:r>
      <w:r>
        <w:rPr>
          <w:rFonts w:ascii="Times New Roman" w:hAnsi="Times New Roman" w:cs="Times New Roman"/>
          <w:b/>
          <w:i/>
          <w:sz w:val="24"/>
          <w:szCs w:val="24"/>
        </w:rPr>
        <w:t>Table 6.1 continued</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1056"/>
        <w:gridCol w:w="1086"/>
        <w:gridCol w:w="2940"/>
        <w:gridCol w:w="3944"/>
      </w:tblGrid>
      <w:tr w:rsidR="004B40A3" w:rsidRPr="004378A5" w:rsidTr="00900B10">
        <w:tc>
          <w:tcPr>
            <w:tcW w:w="1078" w:type="dxa"/>
            <w:tcBorders>
              <w:top w:val="single" w:sz="18" w:space="0" w:color="595959" w:themeColor="text1" w:themeTint="A6"/>
              <w:bottom w:val="single" w:sz="18" w:space="0" w:color="595959" w:themeColor="text1" w:themeTint="A6"/>
              <w:right w:val="single" w:sz="18" w:space="0" w:color="595959" w:themeColor="text1" w:themeTint="A6"/>
            </w:tcBorders>
          </w:tcPr>
          <w:p w:rsidR="004B40A3" w:rsidRPr="004378A5" w:rsidRDefault="004B40A3" w:rsidP="00900B10">
            <w:pPr>
              <w:jc w:val="center"/>
              <w:rPr>
                <w:rFonts w:ascii="Times New Roman" w:hAnsi="Times New Roman" w:cs="Times New Roman"/>
                <w:b/>
              </w:rPr>
            </w:pPr>
          </w:p>
        </w:tc>
        <w:tc>
          <w:tcPr>
            <w:tcW w:w="1094" w:type="dxa"/>
            <w:tcBorders>
              <w:top w:val="single" w:sz="18" w:space="0" w:color="595959" w:themeColor="text1" w:themeTint="A6"/>
              <w:bottom w:val="single" w:sz="18" w:space="0" w:color="595959" w:themeColor="text1" w:themeTint="A6"/>
              <w:right w:val="single" w:sz="18" w:space="0" w:color="595959" w:themeColor="text1" w:themeTint="A6"/>
            </w:tcBorders>
          </w:tcPr>
          <w:p w:rsidR="004B40A3" w:rsidRPr="004378A5" w:rsidRDefault="004B40A3" w:rsidP="00900B10">
            <w:pPr>
              <w:jc w:val="center"/>
              <w:rPr>
                <w:rFonts w:ascii="Times New Roman" w:hAnsi="Times New Roman" w:cs="Times New Roman"/>
                <w:b/>
              </w:rPr>
            </w:pPr>
            <w:r w:rsidRPr="004378A5">
              <w:rPr>
                <w:rFonts w:ascii="Times New Roman" w:hAnsi="Times New Roman" w:cs="Times New Roman"/>
                <w:b/>
              </w:rPr>
              <w:t>Target</w:t>
            </w:r>
          </w:p>
          <w:p w:rsidR="004B40A3" w:rsidRPr="004378A5" w:rsidRDefault="004B40A3" w:rsidP="00900B10">
            <w:pPr>
              <w:jc w:val="center"/>
              <w:rPr>
                <w:rFonts w:ascii="Times New Roman" w:hAnsi="Times New Roman" w:cs="Times New Roman"/>
                <w:b/>
              </w:rPr>
            </w:pPr>
            <w:r w:rsidRPr="004378A5">
              <w:rPr>
                <w:rFonts w:ascii="Times New Roman" w:hAnsi="Times New Roman" w:cs="Times New Roman"/>
                <w:b/>
              </w:rPr>
              <w:t>region</w:t>
            </w:r>
          </w:p>
        </w:tc>
        <w:tc>
          <w:tcPr>
            <w:tcW w:w="3016" w:type="dxa"/>
            <w:tc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cBorders>
          </w:tcPr>
          <w:p w:rsidR="004B40A3" w:rsidRPr="004378A5" w:rsidRDefault="004B40A3" w:rsidP="00900B10">
            <w:pPr>
              <w:jc w:val="center"/>
              <w:rPr>
                <w:rFonts w:ascii="Times New Roman" w:hAnsi="Times New Roman" w:cs="Times New Roman"/>
                <w:b/>
              </w:rPr>
            </w:pPr>
            <w:r w:rsidRPr="004378A5">
              <w:rPr>
                <w:rFonts w:ascii="Times New Roman" w:hAnsi="Times New Roman" w:cs="Times New Roman"/>
                <w:b/>
              </w:rPr>
              <w:t>Rest of city</w:t>
            </w:r>
          </w:p>
        </w:tc>
        <w:tc>
          <w:tcPr>
            <w:tcW w:w="4054" w:type="dxa"/>
            <w:tcBorders>
              <w:top w:val="single" w:sz="18" w:space="0" w:color="595959" w:themeColor="text1" w:themeTint="A6"/>
              <w:left w:val="single" w:sz="18" w:space="0" w:color="595959" w:themeColor="text1" w:themeTint="A6"/>
              <w:bottom w:val="single" w:sz="18" w:space="0" w:color="595959" w:themeColor="text1" w:themeTint="A6"/>
            </w:tcBorders>
          </w:tcPr>
          <w:p w:rsidR="004B40A3" w:rsidRPr="004378A5" w:rsidRDefault="004B40A3" w:rsidP="00900B10">
            <w:pPr>
              <w:jc w:val="center"/>
              <w:rPr>
                <w:rFonts w:ascii="Times New Roman" w:hAnsi="Times New Roman" w:cs="Times New Roman"/>
                <w:b/>
              </w:rPr>
            </w:pPr>
            <w:r w:rsidRPr="004378A5">
              <w:rPr>
                <w:rFonts w:ascii="Times New Roman" w:hAnsi="Times New Roman" w:cs="Times New Roman"/>
                <w:b/>
              </w:rPr>
              <w:t>Rest of state</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51</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FL27</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FL24</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FL08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FL19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FL20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FL21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FL22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FL23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FL26</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52</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GA04</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GA05 GA06 GA07</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AL02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AL03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AL05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AL06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SC02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SC03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SC04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53</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GA05</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GA04 GA06 GA07 GA13</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AL02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AL03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AL04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AL05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AL06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SC03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SC04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TN06</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54</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GA06</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GA04 GA05 GA07 GA11 GA13</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AL02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AL03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AL04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AL05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AL06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SC02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SC03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SC04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TN06</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55</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GA07</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GA04 GA05 GA06</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AL03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AL05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AL06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SC02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SC03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SC04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TN06</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56</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ID02</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57</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IL01</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IL02 IL03 IL04 IL05 IL07 IL11</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IL06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WI06</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58</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IL02</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IL01 IL03</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IL06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WI06</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59</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IL03</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IL01 IL02 IL04 IL05 IL07 IL08 IL09 IL11</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IL06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WI06</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60</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IL05</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IL01 IL03 IL04 IL06 IL07 IL08 IL09 IL10 IL11</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IL02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WI08</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61</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IL06</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IL05 IL08 IL09 IL10 IL14</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IL01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WI08</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62</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IL07</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IL01 IL03 IL04 IL05 IL08 IL09 IL10 IL11</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IL02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WI08</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63</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IL11</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IL01 IL03 IL04 IL05 IL07 IL08 IL14</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IL02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WI06</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64</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IN03</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IL01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KY03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KY04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OH15</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65</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IN04</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IL01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KY02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KY03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WI04</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66</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KS04</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KS01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KS02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OK01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OK03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OK04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OK05</w:t>
            </w:r>
            <w:r>
              <w:rPr>
                <w:rFonts w:ascii="Times New Roman" w:hAnsi="Times New Roman" w:cs="Times New Roman"/>
                <w:color w:val="000000"/>
                <w:sz w:val="18"/>
                <w:szCs w:val="18"/>
              </w:rPr>
              <w:t xml:space="preserve">                 </w:t>
            </w:r>
          </w:p>
        </w:tc>
      </w:tr>
    </w:tbl>
    <w:p w:rsidR="00900B10" w:rsidRDefault="00900B10" w:rsidP="00900B10">
      <w:pPr>
        <w:ind w:right="95"/>
        <w:jc w:val="right"/>
        <w:rPr>
          <w:rFonts w:ascii="Times New Roman" w:hAnsi="Times New Roman" w:cs="Times New Roman"/>
          <w:b/>
          <w:i/>
          <w:sz w:val="24"/>
          <w:szCs w:val="24"/>
        </w:rPr>
      </w:pPr>
      <w:r>
        <w:rPr>
          <w:rFonts w:ascii="Times New Roman" w:hAnsi="Times New Roman" w:cs="Times New Roman"/>
          <w:b/>
          <w:i/>
          <w:sz w:val="24"/>
          <w:szCs w:val="24"/>
        </w:rPr>
        <w:t>Table 6.1 continues …</w:t>
      </w:r>
    </w:p>
    <w:p w:rsidR="00900B10" w:rsidRDefault="00900B10" w:rsidP="00900B10">
      <w:r w:rsidRPr="00790C03">
        <w:rPr>
          <w:rFonts w:ascii="Times New Roman" w:hAnsi="Times New Roman" w:cs="Times New Roman"/>
          <w:b/>
          <w:i/>
          <w:sz w:val="24"/>
          <w:szCs w:val="24"/>
          <w:u w:val="single"/>
        </w:rPr>
        <w:br w:type="page"/>
      </w:r>
      <w:r w:rsidRPr="00E9794F">
        <w:rPr>
          <w:rFonts w:ascii="Times New Roman" w:hAnsi="Times New Roman" w:cs="Times New Roman"/>
          <w:b/>
          <w:i/>
          <w:sz w:val="24"/>
          <w:szCs w:val="24"/>
        </w:rPr>
        <w:lastRenderedPageBreak/>
        <w:t xml:space="preserve">… </w:t>
      </w:r>
      <w:r>
        <w:rPr>
          <w:rFonts w:ascii="Times New Roman" w:hAnsi="Times New Roman" w:cs="Times New Roman"/>
          <w:b/>
          <w:i/>
          <w:sz w:val="24"/>
          <w:szCs w:val="24"/>
        </w:rPr>
        <w:t>Table 6.1 continued</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1056"/>
        <w:gridCol w:w="1086"/>
        <w:gridCol w:w="2940"/>
        <w:gridCol w:w="3944"/>
      </w:tblGrid>
      <w:tr w:rsidR="00900B10" w:rsidRPr="004378A5" w:rsidTr="00900B10">
        <w:tc>
          <w:tcPr>
            <w:tcW w:w="1078" w:type="dxa"/>
            <w:tcBorders>
              <w:top w:val="single" w:sz="18" w:space="0" w:color="595959" w:themeColor="text1" w:themeTint="A6"/>
              <w:bottom w:val="single" w:sz="18" w:space="0" w:color="595959" w:themeColor="text1" w:themeTint="A6"/>
              <w:right w:val="single" w:sz="18" w:space="0" w:color="595959" w:themeColor="text1" w:themeTint="A6"/>
            </w:tcBorders>
          </w:tcPr>
          <w:p w:rsidR="00900B10" w:rsidRPr="004378A5" w:rsidRDefault="00900B10" w:rsidP="00900B10">
            <w:pPr>
              <w:jc w:val="center"/>
              <w:rPr>
                <w:rFonts w:ascii="Times New Roman" w:hAnsi="Times New Roman" w:cs="Times New Roman"/>
                <w:b/>
              </w:rPr>
            </w:pPr>
          </w:p>
        </w:tc>
        <w:tc>
          <w:tcPr>
            <w:tcW w:w="1094" w:type="dxa"/>
            <w:tcBorders>
              <w:top w:val="single" w:sz="18" w:space="0" w:color="595959" w:themeColor="text1" w:themeTint="A6"/>
              <w:bottom w:val="single" w:sz="18" w:space="0" w:color="595959" w:themeColor="text1" w:themeTint="A6"/>
              <w:right w:val="single" w:sz="18" w:space="0" w:color="595959" w:themeColor="text1" w:themeTint="A6"/>
            </w:tcBorders>
          </w:tcPr>
          <w:p w:rsidR="00900B10" w:rsidRPr="004378A5" w:rsidRDefault="00900B10" w:rsidP="00900B10">
            <w:pPr>
              <w:jc w:val="center"/>
              <w:rPr>
                <w:rFonts w:ascii="Times New Roman" w:hAnsi="Times New Roman" w:cs="Times New Roman"/>
                <w:b/>
              </w:rPr>
            </w:pPr>
            <w:r w:rsidRPr="004378A5">
              <w:rPr>
                <w:rFonts w:ascii="Times New Roman" w:hAnsi="Times New Roman" w:cs="Times New Roman"/>
                <w:b/>
              </w:rPr>
              <w:t>Target</w:t>
            </w:r>
          </w:p>
          <w:p w:rsidR="00900B10" w:rsidRPr="004378A5" w:rsidRDefault="00900B10" w:rsidP="00900B10">
            <w:pPr>
              <w:jc w:val="center"/>
              <w:rPr>
                <w:rFonts w:ascii="Times New Roman" w:hAnsi="Times New Roman" w:cs="Times New Roman"/>
                <w:b/>
              </w:rPr>
            </w:pPr>
            <w:r w:rsidRPr="004378A5">
              <w:rPr>
                <w:rFonts w:ascii="Times New Roman" w:hAnsi="Times New Roman" w:cs="Times New Roman"/>
                <w:b/>
              </w:rPr>
              <w:t>region</w:t>
            </w:r>
          </w:p>
        </w:tc>
        <w:tc>
          <w:tcPr>
            <w:tcW w:w="3016" w:type="dxa"/>
            <w:tc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cBorders>
          </w:tcPr>
          <w:p w:rsidR="00900B10" w:rsidRPr="004378A5" w:rsidRDefault="00900B10" w:rsidP="00900B10">
            <w:pPr>
              <w:jc w:val="center"/>
              <w:rPr>
                <w:rFonts w:ascii="Times New Roman" w:hAnsi="Times New Roman" w:cs="Times New Roman"/>
                <w:b/>
              </w:rPr>
            </w:pPr>
            <w:r w:rsidRPr="004378A5">
              <w:rPr>
                <w:rFonts w:ascii="Times New Roman" w:hAnsi="Times New Roman" w:cs="Times New Roman"/>
                <w:b/>
              </w:rPr>
              <w:t>Rest of city</w:t>
            </w:r>
          </w:p>
        </w:tc>
        <w:tc>
          <w:tcPr>
            <w:tcW w:w="4054" w:type="dxa"/>
            <w:tcBorders>
              <w:top w:val="single" w:sz="18" w:space="0" w:color="595959" w:themeColor="text1" w:themeTint="A6"/>
              <w:left w:val="single" w:sz="18" w:space="0" w:color="595959" w:themeColor="text1" w:themeTint="A6"/>
              <w:bottom w:val="single" w:sz="18" w:space="0" w:color="595959" w:themeColor="text1" w:themeTint="A6"/>
            </w:tcBorders>
          </w:tcPr>
          <w:p w:rsidR="00900B10" w:rsidRPr="004378A5" w:rsidRDefault="00900B10" w:rsidP="00900B10">
            <w:pPr>
              <w:jc w:val="center"/>
              <w:rPr>
                <w:rFonts w:ascii="Times New Roman" w:hAnsi="Times New Roman" w:cs="Times New Roman"/>
                <w:b/>
              </w:rPr>
            </w:pPr>
            <w:r w:rsidRPr="004378A5">
              <w:rPr>
                <w:rFonts w:ascii="Times New Roman" w:hAnsi="Times New Roman" w:cs="Times New Roman"/>
                <w:b/>
              </w:rPr>
              <w:t>Rest of state</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67</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KY03</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IL15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KY01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KY02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KY04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KY05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KY06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TN06</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68</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KY06</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IN05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KY02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KY03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KY04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KY05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WV03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69</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LA02</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AL01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LA01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LA03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LA05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LA06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MS03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MS04</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70</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LA06</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LA01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LA02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LA03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LA04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LA05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MS02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MS03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MS04</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71</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MA04</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MA05 MA07 MA08 RI01</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CT02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ME01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MA06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MA09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NH01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NH02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RI02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VT00</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72</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MA05</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MA03 MA04 MA06 MA07 MA08</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CT02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ME01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MA09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NH01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NH02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RI01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RI02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VT00</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73</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MA07</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MA04 MA05 MA06 MA08</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CT02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ME01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MA09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NH01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NH02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RI01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RI02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VT00</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74</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MA08</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MA04 MA05 MA06 MA07</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CT02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ME01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MA09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NH01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NH02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RI01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RI02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VT00</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75</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MD02</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MD03 MD04</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DE00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VA11</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76</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MD03</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MD02 MD04 MD07 DC98</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DE00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VA11</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77</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MD04</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MD02 MD03 MD07 DC98</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DE00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VA11</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78</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MD07</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MD03 MD04 MD08 DC98</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MD01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VA11</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79</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MD08</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MD07</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MD01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WV02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DC98</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80</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ME01</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ME02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NH01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NH02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VT00</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81</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MI03</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IL01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WI04</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82</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MN03</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MN05 MN06</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IA01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MN01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MN02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MN04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MN07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MN08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WI07</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83</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MN04</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MN05</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IA01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MN01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MN02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MN03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MN06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MN08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WI07</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84</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MN05</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MN03 MN04</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IA01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MN01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MN02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MN06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MN07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MN08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WI07</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85</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MO01</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MO02</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IL12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MO03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MO08</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86</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MO02</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MO01</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IL12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MO03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MO04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MO08</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87</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MO05</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IA02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KS02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KS03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MO03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MO04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MO06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MO07</w:t>
            </w:r>
            <w:r>
              <w:rPr>
                <w:rFonts w:ascii="Times New Roman" w:hAnsi="Times New Roman" w:cs="Times New Roman"/>
                <w:color w:val="000000"/>
                <w:sz w:val="18"/>
                <w:szCs w:val="18"/>
              </w:rPr>
              <w:t xml:space="preserve">                </w:t>
            </w:r>
          </w:p>
        </w:tc>
      </w:tr>
    </w:tbl>
    <w:p w:rsidR="00900B10" w:rsidRDefault="00900B10" w:rsidP="00900B10">
      <w:pPr>
        <w:ind w:right="95"/>
        <w:jc w:val="right"/>
        <w:rPr>
          <w:rFonts w:ascii="Times New Roman" w:hAnsi="Times New Roman" w:cs="Times New Roman"/>
          <w:b/>
          <w:i/>
          <w:sz w:val="24"/>
          <w:szCs w:val="24"/>
        </w:rPr>
      </w:pPr>
      <w:r>
        <w:rPr>
          <w:rFonts w:ascii="Times New Roman" w:hAnsi="Times New Roman" w:cs="Times New Roman"/>
          <w:b/>
          <w:i/>
          <w:sz w:val="24"/>
          <w:szCs w:val="24"/>
        </w:rPr>
        <w:lastRenderedPageBreak/>
        <w:t>Table 6.1 continues …</w:t>
      </w:r>
    </w:p>
    <w:p w:rsidR="00900B10" w:rsidRDefault="00900B10" w:rsidP="00900B10">
      <w:pPr>
        <w:rPr>
          <w:rFonts w:ascii="Times New Roman" w:hAnsi="Times New Roman" w:cs="Times New Roman"/>
          <w:b/>
          <w:i/>
          <w:sz w:val="24"/>
          <w:szCs w:val="24"/>
        </w:rPr>
      </w:pPr>
      <w:r w:rsidRPr="00790C03">
        <w:rPr>
          <w:rFonts w:ascii="Times New Roman" w:hAnsi="Times New Roman" w:cs="Times New Roman"/>
          <w:b/>
          <w:i/>
          <w:sz w:val="24"/>
          <w:szCs w:val="24"/>
          <w:u w:val="single"/>
        </w:rPr>
        <w:br w:type="page"/>
      </w:r>
      <w:r w:rsidRPr="00E9794F">
        <w:rPr>
          <w:rFonts w:ascii="Times New Roman" w:hAnsi="Times New Roman" w:cs="Times New Roman"/>
          <w:b/>
          <w:i/>
          <w:sz w:val="24"/>
          <w:szCs w:val="24"/>
        </w:rPr>
        <w:lastRenderedPageBreak/>
        <w:t xml:space="preserve">… </w:t>
      </w:r>
      <w:r>
        <w:rPr>
          <w:rFonts w:ascii="Times New Roman" w:hAnsi="Times New Roman" w:cs="Times New Roman"/>
          <w:b/>
          <w:i/>
          <w:sz w:val="24"/>
          <w:szCs w:val="24"/>
        </w:rPr>
        <w:t>Table 6.1 continued</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1059"/>
        <w:gridCol w:w="1086"/>
        <w:gridCol w:w="2938"/>
        <w:gridCol w:w="3943"/>
      </w:tblGrid>
      <w:tr w:rsidR="00900B10" w:rsidRPr="004378A5" w:rsidTr="00900B10">
        <w:tc>
          <w:tcPr>
            <w:tcW w:w="1078" w:type="dxa"/>
            <w:tcBorders>
              <w:top w:val="single" w:sz="18" w:space="0" w:color="595959" w:themeColor="text1" w:themeTint="A6"/>
              <w:bottom w:val="single" w:sz="18" w:space="0" w:color="595959" w:themeColor="text1" w:themeTint="A6"/>
              <w:right w:val="single" w:sz="18" w:space="0" w:color="595959" w:themeColor="text1" w:themeTint="A6"/>
            </w:tcBorders>
          </w:tcPr>
          <w:p w:rsidR="00900B10" w:rsidRPr="004378A5" w:rsidRDefault="00900B10" w:rsidP="00900B10">
            <w:pPr>
              <w:jc w:val="center"/>
              <w:rPr>
                <w:rFonts w:ascii="Times New Roman" w:hAnsi="Times New Roman" w:cs="Times New Roman"/>
                <w:b/>
              </w:rPr>
            </w:pPr>
          </w:p>
        </w:tc>
        <w:tc>
          <w:tcPr>
            <w:tcW w:w="1094" w:type="dxa"/>
            <w:tcBorders>
              <w:top w:val="single" w:sz="18" w:space="0" w:color="595959" w:themeColor="text1" w:themeTint="A6"/>
              <w:bottom w:val="single" w:sz="18" w:space="0" w:color="595959" w:themeColor="text1" w:themeTint="A6"/>
              <w:right w:val="single" w:sz="18" w:space="0" w:color="595959" w:themeColor="text1" w:themeTint="A6"/>
            </w:tcBorders>
          </w:tcPr>
          <w:p w:rsidR="00900B10" w:rsidRPr="004378A5" w:rsidRDefault="00900B10" w:rsidP="00900B10">
            <w:pPr>
              <w:jc w:val="center"/>
              <w:rPr>
                <w:rFonts w:ascii="Times New Roman" w:hAnsi="Times New Roman" w:cs="Times New Roman"/>
                <w:b/>
              </w:rPr>
            </w:pPr>
            <w:r w:rsidRPr="004378A5">
              <w:rPr>
                <w:rFonts w:ascii="Times New Roman" w:hAnsi="Times New Roman" w:cs="Times New Roman"/>
                <w:b/>
              </w:rPr>
              <w:t>Target</w:t>
            </w:r>
          </w:p>
          <w:p w:rsidR="00900B10" w:rsidRPr="004378A5" w:rsidRDefault="00900B10" w:rsidP="00900B10">
            <w:pPr>
              <w:jc w:val="center"/>
              <w:rPr>
                <w:rFonts w:ascii="Times New Roman" w:hAnsi="Times New Roman" w:cs="Times New Roman"/>
                <w:b/>
              </w:rPr>
            </w:pPr>
            <w:r w:rsidRPr="004378A5">
              <w:rPr>
                <w:rFonts w:ascii="Times New Roman" w:hAnsi="Times New Roman" w:cs="Times New Roman"/>
                <w:b/>
              </w:rPr>
              <w:t>region</w:t>
            </w:r>
          </w:p>
        </w:tc>
        <w:tc>
          <w:tcPr>
            <w:tcW w:w="3016" w:type="dxa"/>
            <w:tc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cBorders>
          </w:tcPr>
          <w:p w:rsidR="00900B10" w:rsidRPr="004378A5" w:rsidRDefault="00900B10" w:rsidP="00900B10">
            <w:pPr>
              <w:jc w:val="center"/>
              <w:rPr>
                <w:rFonts w:ascii="Times New Roman" w:hAnsi="Times New Roman" w:cs="Times New Roman"/>
                <w:b/>
              </w:rPr>
            </w:pPr>
            <w:r w:rsidRPr="004378A5">
              <w:rPr>
                <w:rFonts w:ascii="Times New Roman" w:hAnsi="Times New Roman" w:cs="Times New Roman"/>
                <w:b/>
              </w:rPr>
              <w:t>Rest of city</w:t>
            </w:r>
          </w:p>
        </w:tc>
        <w:tc>
          <w:tcPr>
            <w:tcW w:w="4054" w:type="dxa"/>
            <w:tcBorders>
              <w:top w:val="single" w:sz="18" w:space="0" w:color="595959" w:themeColor="text1" w:themeTint="A6"/>
              <w:left w:val="single" w:sz="18" w:space="0" w:color="595959" w:themeColor="text1" w:themeTint="A6"/>
              <w:bottom w:val="single" w:sz="18" w:space="0" w:color="595959" w:themeColor="text1" w:themeTint="A6"/>
            </w:tcBorders>
          </w:tcPr>
          <w:p w:rsidR="00900B10" w:rsidRPr="004378A5" w:rsidRDefault="00900B10" w:rsidP="00900B10">
            <w:pPr>
              <w:jc w:val="center"/>
              <w:rPr>
                <w:rFonts w:ascii="Times New Roman" w:hAnsi="Times New Roman" w:cs="Times New Roman"/>
                <w:b/>
              </w:rPr>
            </w:pPr>
            <w:r w:rsidRPr="004378A5">
              <w:rPr>
                <w:rFonts w:ascii="Times New Roman" w:hAnsi="Times New Roman" w:cs="Times New Roman"/>
                <w:b/>
              </w:rPr>
              <w:t>Rest of state</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88</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NC01</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NC02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SC07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DC98</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89</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NC09</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NC12</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GA09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SC01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SC02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SC03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SC04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SC05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SC06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SC07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WV03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90</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NC12</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NC09</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NC01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SC07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VA07</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91</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NC13</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NC01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SC07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VA07</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92</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NE01</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IA03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NE02</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93</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NE02</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IA03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KS02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KS03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NE01</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94</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NJ08</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 xml:space="preserve">NJ06 NJ09 NJ10 NJ11 NY05 NY06 NY07 NY08 NY09 NY10 NY11 NY12 NY13 NY14 NY15 NY16 NY17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CT03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95</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NJ09</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 xml:space="preserve">NJ08 NJ10 NJ11 NY05 NY06 NY07 NY08 NY09 NY10 NY11 NY12 NY13 NY14 NY15 NY16 NY17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CT03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96</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NJ10</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 xml:space="preserve">NJ06 NJ08 NJ09 NJ11 NJ12 NY05 NY06 NY07 NY08 NY09 NY10 NY11 NY12 NY13 NY14 NY15 NY16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CT03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97</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NM01</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NM02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NM03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TX16</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98</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NV01</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NV03</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AZ04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CA36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NV04</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99</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NV02</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NV04</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100</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NY05</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 xml:space="preserve">NJ06 NJ08 NJ09 NJ10 NY03 NY04 NY06 NY07 NY08 NY09 NY10 NY11 NY12 NY13 NY14 NY15 NY16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CT03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101</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NY06</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 xml:space="preserve">NJ08 NJ09 NJ10 NY03 NY04 NY05 NY07 NY08 NY09 NY10 NY11 NY12 NY13 NY14 NY15 NY16 NY17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CT01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102</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NY07</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NJ06 NJ08 NJ09 NJ10 NY03 NY04 NY05 NY06 NY08 NY09 NY10 NY11 NY12 NY13 NY14 NY15 NY16 NY17</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CT03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103</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NY08</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 xml:space="preserve">NJ06 NJ08 NJ09 NJ10 NY03 NY04 NY05 NY06 NY07 NY09 NY10 NY11 NY12 NY13 NY14 NY15 NY16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CT03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104</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NY09</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 xml:space="preserve">NJ06 NJ08 NJ09 NJ10 NY03 NY04 NY05 NY06 NY07 NY08 NY10 NY11 NY12 NY13 NY14 NY15 NY16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CT03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PA13</w:t>
            </w:r>
            <w:r>
              <w:rPr>
                <w:rFonts w:ascii="Times New Roman" w:hAnsi="Times New Roman" w:cs="Times New Roman"/>
                <w:color w:val="000000"/>
                <w:sz w:val="18"/>
                <w:szCs w:val="18"/>
              </w:rPr>
              <w:t xml:space="preserve">           </w:t>
            </w:r>
          </w:p>
        </w:tc>
      </w:tr>
    </w:tbl>
    <w:p w:rsidR="00900B10" w:rsidRDefault="00900B10" w:rsidP="00900B10">
      <w:pPr>
        <w:ind w:right="95"/>
        <w:jc w:val="right"/>
        <w:rPr>
          <w:rFonts w:ascii="Times New Roman" w:hAnsi="Times New Roman" w:cs="Times New Roman"/>
          <w:b/>
          <w:i/>
          <w:sz w:val="24"/>
          <w:szCs w:val="24"/>
        </w:rPr>
      </w:pPr>
      <w:r>
        <w:rPr>
          <w:rFonts w:ascii="Times New Roman" w:hAnsi="Times New Roman" w:cs="Times New Roman"/>
          <w:b/>
          <w:i/>
          <w:sz w:val="24"/>
          <w:szCs w:val="24"/>
        </w:rPr>
        <w:t>Table 6.1 continues …</w:t>
      </w:r>
    </w:p>
    <w:p w:rsidR="00900B10" w:rsidRDefault="00900B10" w:rsidP="00900B10">
      <w:pPr>
        <w:rPr>
          <w:rFonts w:ascii="Times New Roman" w:hAnsi="Times New Roman" w:cs="Times New Roman"/>
          <w:b/>
          <w:i/>
          <w:sz w:val="24"/>
          <w:szCs w:val="24"/>
        </w:rPr>
      </w:pPr>
      <w:r w:rsidRPr="00E9794F">
        <w:rPr>
          <w:rFonts w:ascii="Times New Roman" w:hAnsi="Times New Roman" w:cs="Times New Roman"/>
          <w:b/>
          <w:i/>
          <w:sz w:val="24"/>
          <w:szCs w:val="24"/>
        </w:rPr>
        <w:lastRenderedPageBreak/>
        <w:t xml:space="preserve">… </w:t>
      </w:r>
      <w:r>
        <w:rPr>
          <w:rFonts w:ascii="Times New Roman" w:hAnsi="Times New Roman" w:cs="Times New Roman"/>
          <w:b/>
          <w:i/>
          <w:sz w:val="24"/>
          <w:szCs w:val="24"/>
        </w:rPr>
        <w:t>Table 6.1 continued</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1059"/>
        <w:gridCol w:w="1086"/>
        <w:gridCol w:w="2938"/>
        <w:gridCol w:w="3943"/>
      </w:tblGrid>
      <w:tr w:rsidR="00900B10" w:rsidRPr="004378A5" w:rsidTr="00900B10">
        <w:tc>
          <w:tcPr>
            <w:tcW w:w="1078" w:type="dxa"/>
            <w:tcBorders>
              <w:top w:val="single" w:sz="18" w:space="0" w:color="595959" w:themeColor="text1" w:themeTint="A6"/>
              <w:bottom w:val="single" w:sz="18" w:space="0" w:color="595959" w:themeColor="text1" w:themeTint="A6"/>
              <w:right w:val="single" w:sz="18" w:space="0" w:color="595959" w:themeColor="text1" w:themeTint="A6"/>
            </w:tcBorders>
          </w:tcPr>
          <w:p w:rsidR="00900B10" w:rsidRPr="004378A5" w:rsidRDefault="00900B10" w:rsidP="00900B10">
            <w:pPr>
              <w:jc w:val="center"/>
              <w:rPr>
                <w:rFonts w:ascii="Times New Roman" w:hAnsi="Times New Roman" w:cs="Times New Roman"/>
                <w:b/>
              </w:rPr>
            </w:pPr>
          </w:p>
        </w:tc>
        <w:tc>
          <w:tcPr>
            <w:tcW w:w="1094" w:type="dxa"/>
            <w:tcBorders>
              <w:top w:val="single" w:sz="18" w:space="0" w:color="595959" w:themeColor="text1" w:themeTint="A6"/>
              <w:bottom w:val="single" w:sz="18" w:space="0" w:color="595959" w:themeColor="text1" w:themeTint="A6"/>
              <w:right w:val="single" w:sz="18" w:space="0" w:color="595959" w:themeColor="text1" w:themeTint="A6"/>
            </w:tcBorders>
          </w:tcPr>
          <w:p w:rsidR="00900B10" w:rsidRPr="004378A5" w:rsidRDefault="00900B10" w:rsidP="00900B10">
            <w:pPr>
              <w:jc w:val="center"/>
              <w:rPr>
                <w:rFonts w:ascii="Times New Roman" w:hAnsi="Times New Roman" w:cs="Times New Roman"/>
                <w:b/>
              </w:rPr>
            </w:pPr>
            <w:r w:rsidRPr="004378A5">
              <w:rPr>
                <w:rFonts w:ascii="Times New Roman" w:hAnsi="Times New Roman" w:cs="Times New Roman"/>
                <w:b/>
              </w:rPr>
              <w:t>Target</w:t>
            </w:r>
          </w:p>
          <w:p w:rsidR="00900B10" w:rsidRPr="004378A5" w:rsidRDefault="00900B10" w:rsidP="00900B10">
            <w:pPr>
              <w:jc w:val="center"/>
              <w:rPr>
                <w:rFonts w:ascii="Times New Roman" w:hAnsi="Times New Roman" w:cs="Times New Roman"/>
                <w:b/>
              </w:rPr>
            </w:pPr>
            <w:r w:rsidRPr="004378A5">
              <w:rPr>
                <w:rFonts w:ascii="Times New Roman" w:hAnsi="Times New Roman" w:cs="Times New Roman"/>
                <w:b/>
              </w:rPr>
              <w:t>region</w:t>
            </w:r>
          </w:p>
        </w:tc>
        <w:tc>
          <w:tcPr>
            <w:tcW w:w="3016" w:type="dxa"/>
            <w:tc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cBorders>
          </w:tcPr>
          <w:p w:rsidR="00900B10" w:rsidRPr="004378A5" w:rsidRDefault="00900B10" w:rsidP="00900B10">
            <w:pPr>
              <w:jc w:val="center"/>
              <w:rPr>
                <w:rFonts w:ascii="Times New Roman" w:hAnsi="Times New Roman" w:cs="Times New Roman"/>
                <w:b/>
              </w:rPr>
            </w:pPr>
            <w:r w:rsidRPr="004378A5">
              <w:rPr>
                <w:rFonts w:ascii="Times New Roman" w:hAnsi="Times New Roman" w:cs="Times New Roman"/>
                <w:b/>
              </w:rPr>
              <w:t>Rest of city</w:t>
            </w:r>
          </w:p>
        </w:tc>
        <w:tc>
          <w:tcPr>
            <w:tcW w:w="4054" w:type="dxa"/>
            <w:tcBorders>
              <w:top w:val="single" w:sz="18" w:space="0" w:color="595959" w:themeColor="text1" w:themeTint="A6"/>
              <w:left w:val="single" w:sz="18" w:space="0" w:color="595959" w:themeColor="text1" w:themeTint="A6"/>
              <w:bottom w:val="single" w:sz="18" w:space="0" w:color="595959" w:themeColor="text1" w:themeTint="A6"/>
            </w:tcBorders>
          </w:tcPr>
          <w:p w:rsidR="00900B10" w:rsidRPr="004378A5" w:rsidRDefault="00900B10" w:rsidP="00900B10">
            <w:pPr>
              <w:jc w:val="center"/>
              <w:rPr>
                <w:rFonts w:ascii="Times New Roman" w:hAnsi="Times New Roman" w:cs="Times New Roman"/>
                <w:b/>
              </w:rPr>
            </w:pPr>
            <w:r w:rsidRPr="004378A5">
              <w:rPr>
                <w:rFonts w:ascii="Times New Roman" w:hAnsi="Times New Roman" w:cs="Times New Roman"/>
                <w:b/>
              </w:rPr>
              <w:t>Rest of state</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105</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NY10</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NJ06 NJ08 NJ09 NJ10 NJ11 NY04 NY05 NY06 NY07 NY08 NY09 NY11 NY12 NY13 NY14 NY15 NY16 NY17</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CT03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106</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NY11</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 xml:space="preserve">NJ04 NJ06 NJ08 NJ09 NJ10 NJ11 NJ12 NY05 NY06 NY07 NY08 NY09 NY10 NY12 NY13 NY14 NY15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CT03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107</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NY12</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NJ06 NJ08 NJ09 NJ10 NY03 NY04 NY05 NY06 NY07 NY08 NY09 NY10 NY11 NY13 NY14 NY15 NY16 NY17</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CT01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108</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NY13</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 xml:space="preserve">NJ08 NJ09 NJ10 NY03 NY04 NY05 NY06 NY07 NY08 NY09 NY10 NY11 NY12 NY14 NY15 NY16 NY17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CT01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109</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NY14</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 xml:space="preserve">NJ08 NJ09 NJ10 NY03 NY04 NY05 NY06 NY07 NY08 NY09 NY10 NY11 NY12 NY13 NY15 NY16 NY17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CT01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110</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NY15</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 xml:space="preserve">NJ08 NJ09 NJ10 NY03 NY04 NY05 NY06 NY07 NY08 NY09 NY10 NY11 NY12 NY13 NY14 NY16 NY17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CT01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111</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NY16</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 xml:space="preserve">CT04 NJ08 NJ09 NJ10 NY03 NY04 NY05 NY06 NY07 NY08 NY09 NY10 NY12 NY13 NY14 NY15 NY17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CT01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CT05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PA08</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112</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NY25</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NY23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NY24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NY26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NY27</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113</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NY26</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NY23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NY27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OH14</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114</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OH01</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IN02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KY02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KY03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KY04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KY05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KY06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OH15</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115</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OH03</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OH12 OH15</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IN03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KY04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KY05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KY06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WV01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WV02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WV03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116</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OH09</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IN03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OH16</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117</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OH11</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MI07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WV01</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118</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OH12</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OH03 OH07</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MI09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WV01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WV02</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119</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OH13</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MI09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WV01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WV02</w:t>
            </w:r>
            <w:r>
              <w:rPr>
                <w:rFonts w:ascii="Times New Roman" w:hAnsi="Times New Roman" w:cs="Times New Roman"/>
                <w:color w:val="000000"/>
                <w:sz w:val="18"/>
                <w:szCs w:val="18"/>
              </w:rPr>
              <w:t xml:space="preserve">          </w:t>
            </w:r>
          </w:p>
        </w:tc>
      </w:tr>
    </w:tbl>
    <w:p w:rsidR="00900B10" w:rsidRDefault="00900B10" w:rsidP="00900B10">
      <w:pPr>
        <w:ind w:right="95"/>
        <w:jc w:val="right"/>
        <w:rPr>
          <w:rFonts w:ascii="Times New Roman" w:hAnsi="Times New Roman" w:cs="Times New Roman"/>
          <w:b/>
          <w:i/>
          <w:sz w:val="24"/>
          <w:szCs w:val="24"/>
        </w:rPr>
      </w:pPr>
      <w:r>
        <w:rPr>
          <w:rFonts w:ascii="Times New Roman" w:hAnsi="Times New Roman" w:cs="Times New Roman"/>
          <w:b/>
          <w:i/>
          <w:sz w:val="24"/>
          <w:szCs w:val="24"/>
        </w:rPr>
        <w:lastRenderedPageBreak/>
        <w:t>Table 6.1 continues …</w:t>
      </w:r>
    </w:p>
    <w:p w:rsidR="00900B10" w:rsidRDefault="00900B10" w:rsidP="00900B10">
      <w:pPr>
        <w:rPr>
          <w:rFonts w:ascii="Times New Roman" w:hAnsi="Times New Roman" w:cs="Times New Roman"/>
          <w:b/>
          <w:i/>
          <w:sz w:val="24"/>
          <w:szCs w:val="24"/>
        </w:rPr>
      </w:pPr>
      <w:r w:rsidRPr="00E9794F">
        <w:rPr>
          <w:rFonts w:ascii="Times New Roman" w:hAnsi="Times New Roman" w:cs="Times New Roman"/>
          <w:b/>
          <w:i/>
          <w:sz w:val="24"/>
          <w:szCs w:val="24"/>
        </w:rPr>
        <w:t xml:space="preserve">… </w:t>
      </w:r>
      <w:r>
        <w:rPr>
          <w:rFonts w:ascii="Times New Roman" w:hAnsi="Times New Roman" w:cs="Times New Roman"/>
          <w:b/>
          <w:i/>
          <w:sz w:val="24"/>
          <w:szCs w:val="24"/>
        </w:rPr>
        <w:t>Table 6.1 continued</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1059"/>
        <w:gridCol w:w="1086"/>
        <w:gridCol w:w="2938"/>
        <w:gridCol w:w="3943"/>
      </w:tblGrid>
      <w:tr w:rsidR="00900B10" w:rsidRPr="004378A5" w:rsidTr="00900B10">
        <w:tc>
          <w:tcPr>
            <w:tcW w:w="1078" w:type="dxa"/>
            <w:tcBorders>
              <w:top w:val="single" w:sz="18" w:space="0" w:color="595959" w:themeColor="text1" w:themeTint="A6"/>
              <w:bottom w:val="single" w:sz="18" w:space="0" w:color="595959" w:themeColor="text1" w:themeTint="A6"/>
              <w:right w:val="single" w:sz="18" w:space="0" w:color="595959" w:themeColor="text1" w:themeTint="A6"/>
            </w:tcBorders>
          </w:tcPr>
          <w:p w:rsidR="00900B10" w:rsidRPr="004378A5" w:rsidRDefault="00900B10" w:rsidP="00900B10">
            <w:pPr>
              <w:jc w:val="center"/>
              <w:rPr>
                <w:rFonts w:ascii="Times New Roman" w:hAnsi="Times New Roman" w:cs="Times New Roman"/>
                <w:b/>
              </w:rPr>
            </w:pPr>
          </w:p>
        </w:tc>
        <w:tc>
          <w:tcPr>
            <w:tcW w:w="1094" w:type="dxa"/>
            <w:tcBorders>
              <w:top w:val="single" w:sz="18" w:space="0" w:color="595959" w:themeColor="text1" w:themeTint="A6"/>
              <w:bottom w:val="single" w:sz="18" w:space="0" w:color="595959" w:themeColor="text1" w:themeTint="A6"/>
              <w:right w:val="single" w:sz="18" w:space="0" w:color="595959" w:themeColor="text1" w:themeTint="A6"/>
            </w:tcBorders>
          </w:tcPr>
          <w:p w:rsidR="00900B10" w:rsidRPr="004378A5" w:rsidRDefault="00900B10" w:rsidP="00900B10">
            <w:pPr>
              <w:jc w:val="center"/>
              <w:rPr>
                <w:rFonts w:ascii="Times New Roman" w:hAnsi="Times New Roman" w:cs="Times New Roman"/>
                <w:b/>
              </w:rPr>
            </w:pPr>
            <w:r w:rsidRPr="004378A5">
              <w:rPr>
                <w:rFonts w:ascii="Times New Roman" w:hAnsi="Times New Roman" w:cs="Times New Roman"/>
                <w:b/>
              </w:rPr>
              <w:t>Target</w:t>
            </w:r>
          </w:p>
          <w:p w:rsidR="00900B10" w:rsidRPr="004378A5" w:rsidRDefault="00900B10" w:rsidP="00900B10">
            <w:pPr>
              <w:jc w:val="center"/>
              <w:rPr>
                <w:rFonts w:ascii="Times New Roman" w:hAnsi="Times New Roman" w:cs="Times New Roman"/>
                <w:b/>
              </w:rPr>
            </w:pPr>
            <w:r w:rsidRPr="004378A5">
              <w:rPr>
                <w:rFonts w:ascii="Times New Roman" w:hAnsi="Times New Roman" w:cs="Times New Roman"/>
                <w:b/>
              </w:rPr>
              <w:t>region</w:t>
            </w:r>
          </w:p>
        </w:tc>
        <w:tc>
          <w:tcPr>
            <w:tcW w:w="3016" w:type="dxa"/>
            <w:tc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cBorders>
          </w:tcPr>
          <w:p w:rsidR="00900B10" w:rsidRPr="004378A5" w:rsidRDefault="00900B10" w:rsidP="00900B10">
            <w:pPr>
              <w:jc w:val="center"/>
              <w:rPr>
                <w:rFonts w:ascii="Times New Roman" w:hAnsi="Times New Roman" w:cs="Times New Roman"/>
                <w:b/>
              </w:rPr>
            </w:pPr>
            <w:r w:rsidRPr="004378A5">
              <w:rPr>
                <w:rFonts w:ascii="Times New Roman" w:hAnsi="Times New Roman" w:cs="Times New Roman"/>
                <w:b/>
              </w:rPr>
              <w:t>Rest of city</w:t>
            </w:r>
          </w:p>
        </w:tc>
        <w:tc>
          <w:tcPr>
            <w:tcW w:w="4054" w:type="dxa"/>
            <w:tcBorders>
              <w:top w:val="single" w:sz="18" w:space="0" w:color="595959" w:themeColor="text1" w:themeTint="A6"/>
              <w:left w:val="single" w:sz="18" w:space="0" w:color="595959" w:themeColor="text1" w:themeTint="A6"/>
              <w:bottom w:val="single" w:sz="18" w:space="0" w:color="595959" w:themeColor="text1" w:themeTint="A6"/>
            </w:tcBorders>
          </w:tcPr>
          <w:p w:rsidR="00900B10" w:rsidRPr="004378A5" w:rsidRDefault="00900B10" w:rsidP="00900B10">
            <w:pPr>
              <w:jc w:val="center"/>
              <w:rPr>
                <w:rFonts w:ascii="Times New Roman" w:hAnsi="Times New Roman" w:cs="Times New Roman"/>
                <w:b/>
              </w:rPr>
            </w:pPr>
            <w:r w:rsidRPr="004378A5">
              <w:rPr>
                <w:rFonts w:ascii="Times New Roman" w:hAnsi="Times New Roman" w:cs="Times New Roman"/>
                <w:b/>
              </w:rPr>
              <w:t>Rest of state</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120</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OH15</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OH03</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IN03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KY04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KY05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KY06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WV01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WV02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WV03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121</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OK01</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AR03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KS02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KS03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KS04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MO07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OK02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OK04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OK05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TX04</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122</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OK05</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KS04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OK01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OK02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OK03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OK04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123</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OR03</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OR01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OR04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OR05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WA10</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124</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PA01</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NJ01 PA02 PA06 PA08 PA13</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DE00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DC98</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125</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PA02</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NJ01 PA01 PA06 PA08 PA13</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DE00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DC98</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126</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PA07</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PA06 PA16</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DE00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DC98</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127</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PA13</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NJ01 PA01 PA02 PA06 PA08</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DE00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NJ12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NY15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DC98</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128</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PA14</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PA12 PA18</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MD06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OH16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WV01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WV02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WV03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129</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TN05</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AL04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AL05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AL06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GA14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KY01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KY02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KY03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MS01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TN08</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130</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TN09</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AL04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AR01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AR02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MS01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MS02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MO08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TN08</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131</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TX02</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TX07 TX18 TX29</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OK02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OK04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OK05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132</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TX03</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TX24 TX32</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OK02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OK04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OK05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133</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TX04</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AR04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LA04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OK01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OK02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OK04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OK05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134</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TX05</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LA04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OK02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TX36</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135</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TX06</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TX30</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OK04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TX36</w:t>
            </w:r>
            <w:r>
              <w:rPr>
                <w:rFonts w:ascii="Times New Roman" w:hAnsi="Times New Roman" w:cs="Times New Roman"/>
                <w:color w:val="000000"/>
                <w:sz w:val="18"/>
                <w:szCs w:val="18"/>
              </w:rPr>
              <w:t xml:space="preserve">         </w:t>
            </w:r>
          </w:p>
        </w:tc>
      </w:tr>
    </w:tbl>
    <w:p w:rsidR="00900B10" w:rsidRDefault="00900B10" w:rsidP="00900B10">
      <w:pPr>
        <w:ind w:right="95"/>
        <w:jc w:val="right"/>
        <w:rPr>
          <w:rFonts w:ascii="Times New Roman" w:hAnsi="Times New Roman" w:cs="Times New Roman"/>
          <w:b/>
          <w:i/>
          <w:sz w:val="24"/>
          <w:szCs w:val="24"/>
        </w:rPr>
      </w:pPr>
      <w:r>
        <w:rPr>
          <w:rFonts w:ascii="Times New Roman" w:hAnsi="Times New Roman" w:cs="Times New Roman"/>
          <w:b/>
          <w:i/>
          <w:sz w:val="24"/>
          <w:szCs w:val="24"/>
        </w:rPr>
        <w:lastRenderedPageBreak/>
        <w:t>Table 6.1 continues …</w:t>
      </w:r>
    </w:p>
    <w:p w:rsidR="00900B10" w:rsidRDefault="00900B10">
      <w:pPr>
        <w:spacing w:before="0" w:after="200" w:line="276" w:lineRule="auto"/>
        <w:rPr>
          <w:rFonts w:ascii="Times New Roman" w:hAnsi="Times New Roman" w:cs="Times New Roman"/>
          <w:b/>
          <w:i/>
          <w:sz w:val="24"/>
          <w:szCs w:val="24"/>
        </w:rPr>
      </w:pPr>
    </w:p>
    <w:p w:rsidR="00900B10" w:rsidRDefault="00900B10" w:rsidP="00900B10">
      <w:pPr>
        <w:rPr>
          <w:rFonts w:ascii="Times New Roman" w:hAnsi="Times New Roman" w:cs="Times New Roman"/>
          <w:b/>
          <w:i/>
          <w:sz w:val="24"/>
          <w:szCs w:val="24"/>
        </w:rPr>
      </w:pPr>
      <w:r w:rsidRPr="00E9794F">
        <w:rPr>
          <w:rFonts w:ascii="Times New Roman" w:hAnsi="Times New Roman" w:cs="Times New Roman"/>
          <w:b/>
          <w:i/>
          <w:sz w:val="24"/>
          <w:szCs w:val="24"/>
        </w:rPr>
        <w:t xml:space="preserve">… </w:t>
      </w:r>
      <w:r>
        <w:rPr>
          <w:rFonts w:ascii="Times New Roman" w:hAnsi="Times New Roman" w:cs="Times New Roman"/>
          <w:b/>
          <w:i/>
          <w:sz w:val="24"/>
          <w:szCs w:val="24"/>
        </w:rPr>
        <w:t>Table 6.1 continued</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1059"/>
        <w:gridCol w:w="1086"/>
        <w:gridCol w:w="2938"/>
        <w:gridCol w:w="3943"/>
      </w:tblGrid>
      <w:tr w:rsidR="00900B10" w:rsidRPr="004378A5" w:rsidTr="00900B10">
        <w:tc>
          <w:tcPr>
            <w:tcW w:w="1078" w:type="dxa"/>
            <w:tcBorders>
              <w:top w:val="single" w:sz="18" w:space="0" w:color="595959" w:themeColor="text1" w:themeTint="A6"/>
              <w:bottom w:val="single" w:sz="18" w:space="0" w:color="595959" w:themeColor="text1" w:themeTint="A6"/>
              <w:right w:val="single" w:sz="18" w:space="0" w:color="595959" w:themeColor="text1" w:themeTint="A6"/>
            </w:tcBorders>
          </w:tcPr>
          <w:p w:rsidR="00900B10" w:rsidRPr="004378A5" w:rsidRDefault="00900B10" w:rsidP="00900B10">
            <w:pPr>
              <w:jc w:val="center"/>
              <w:rPr>
                <w:rFonts w:ascii="Times New Roman" w:hAnsi="Times New Roman" w:cs="Times New Roman"/>
                <w:b/>
              </w:rPr>
            </w:pPr>
          </w:p>
        </w:tc>
        <w:tc>
          <w:tcPr>
            <w:tcW w:w="1094" w:type="dxa"/>
            <w:tcBorders>
              <w:top w:val="single" w:sz="18" w:space="0" w:color="595959" w:themeColor="text1" w:themeTint="A6"/>
              <w:bottom w:val="single" w:sz="18" w:space="0" w:color="595959" w:themeColor="text1" w:themeTint="A6"/>
              <w:right w:val="single" w:sz="18" w:space="0" w:color="595959" w:themeColor="text1" w:themeTint="A6"/>
            </w:tcBorders>
          </w:tcPr>
          <w:p w:rsidR="00900B10" w:rsidRPr="004378A5" w:rsidRDefault="00900B10" w:rsidP="00900B10">
            <w:pPr>
              <w:jc w:val="center"/>
              <w:rPr>
                <w:rFonts w:ascii="Times New Roman" w:hAnsi="Times New Roman" w:cs="Times New Roman"/>
                <w:b/>
              </w:rPr>
            </w:pPr>
            <w:r w:rsidRPr="004378A5">
              <w:rPr>
                <w:rFonts w:ascii="Times New Roman" w:hAnsi="Times New Roman" w:cs="Times New Roman"/>
                <w:b/>
              </w:rPr>
              <w:t>Target</w:t>
            </w:r>
          </w:p>
          <w:p w:rsidR="00900B10" w:rsidRPr="004378A5" w:rsidRDefault="00900B10" w:rsidP="00900B10">
            <w:pPr>
              <w:jc w:val="center"/>
              <w:rPr>
                <w:rFonts w:ascii="Times New Roman" w:hAnsi="Times New Roman" w:cs="Times New Roman"/>
                <w:b/>
              </w:rPr>
            </w:pPr>
            <w:r w:rsidRPr="004378A5">
              <w:rPr>
                <w:rFonts w:ascii="Times New Roman" w:hAnsi="Times New Roman" w:cs="Times New Roman"/>
                <w:b/>
              </w:rPr>
              <w:t>region</w:t>
            </w:r>
          </w:p>
        </w:tc>
        <w:tc>
          <w:tcPr>
            <w:tcW w:w="3016" w:type="dxa"/>
            <w:tc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cBorders>
          </w:tcPr>
          <w:p w:rsidR="00900B10" w:rsidRPr="004378A5" w:rsidRDefault="00900B10" w:rsidP="00900B10">
            <w:pPr>
              <w:jc w:val="center"/>
              <w:rPr>
                <w:rFonts w:ascii="Times New Roman" w:hAnsi="Times New Roman" w:cs="Times New Roman"/>
                <w:b/>
              </w:rPr>
            </w:pPr>
            <w:r w:rsidRPr="004378A5">
              <w:rPr>
                <w:rFonts w:ascii="Times New Roman" w:hAnsi="Times New Roman" w:cs="Times New Roman"/>
                <w:b/>
              </w:rPr>
              <w:t>Rest of city</w:t>
            </w:r>
          </w:p>
        </w:tc>
        <w:tc>
          <w:tcPr>
            <w:tcW w:w="4054" w:type="dxa"/>
            <w:tcBorders>
              <w:top w:val="single" w:sz="18" w:space="0" w:color="595959" w:themeColor="text1" w:themeTint="A6"/>
              <w:left w:val="single" w:sz="18" w:space="0" w:color="595959" w:themeColor="text1" w:themeTint="A6"/>
              <w:bottom w:val="single" w:sz="18" w:space="0" w:color="595959" w:themeColor="text1" w:themeTint="A6"/>
            </w:tcBorders>
          </w:tcPr>
          <w:p w:rsidR="00900B10" w:rsidRPr="004378A5" w:rsidRDefault="00900B10" w:rsidP="00900B10">
            <w:pPr>
              <w:jc w:val="center"/>
              <w:rPr>
                <w:rFonts w:ascii="Times New Roman" w:hAnsi="Times New Roman" w:cs="Times New Roman"/>
                <w:b/>
              </w:rPr>
            </w:pPr>
            <w:r w:rsidRPr="004378A5">
              <w:rPr>
                <w:rFonts w:ascii="Times New Roman" w:hAnsi="Times New Roman" w:cs="Times New Roman"/>
                <w:b/>
              </w:rPr>
              <w:t>Rest of state</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136</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TX07</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TX02 TX09 TX18 TX22 TX29</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TX01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TX36</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137</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TX08</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LA04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TX36</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138</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TX09</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TX07 TX18 TX22 TX29</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TX01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TX36</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139</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TX10</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TX01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TX36</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140</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TX12</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OK03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OK04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TX19</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141</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TX13</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OK03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OK04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TX19</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142</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TX14</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TX29</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LA03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LA04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TX36</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143</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TX16</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NM01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NM02</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144</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TX18</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TX02 TX07 TX09 TX29</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LA03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LA04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TX36</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145</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TX19</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TX11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146</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TX20</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TX10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TX35</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147</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TX21</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TX10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TX35</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148</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TX22</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TX07 TX09</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TX11</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149</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TX23</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TX11</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150</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TX24</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TX03 TX26 TX30 TX32 TX33</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OK02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OK04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OK05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TX31</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151</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TX26</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TX24 TX33</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OK02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OK04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OK05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TX32</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152</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TX27</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TX02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TX36</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153</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TX28</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TX15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TX35</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154</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TX29</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TX02 TX07 TX09 TX14 TX18</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LA03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LA04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TX36</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155</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TX30</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TX06 TX24 TX32 TX33</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OK02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OK04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OK05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TX35</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156</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TX33</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TX24 TX26 TX30 TX32</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OK02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OK04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OK05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TX35</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157</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TX35</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TX02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TX33</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lastRenderedPageBreak/>
              <w:t>158</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TX36</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LA03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LA04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LA05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TX29</w:t>
            </w:r>
            <w:r>
              <w:rPr>
                <w:rFonts w:ascii="Times New Roman" w:hAnsi="Times New Roman" w:cs="Times New Roman"/>
                <w:color w:val="000000"/>
                <w:sz w:val="18"/>
                <w:szCs w:val="18"/>
              </w:rPr>
              <w:t xml:space="preserve">            </w:t>
            </w:r>
          </w:p>
        </w:tc>
      </w:tr>
    </w:tbl>
    <w:p w:rsidR="00900B10" w:rsidRDefault="00900B10" w:rsidP="00900B10">
      <w:pPr>
        <w:ind w:right="95"/>
        <w:jc w:val="right"/>
        <w:rPr>
          <w:rFonts w:ascii="Times New Roman" w:hAnsi="Times New Roman" w:cs="Times New Roman"/>
          <w:b/>
          <w:i/>
          <w:sz w:val="24"/>
          <w:szCs w:val="24"/>
        </w:rPr>
      </w:pPr>
      <w:r>
        <w:rPr>
          <w:rFonts w:ascii="Times New Roman" w:hAnsi="Times New Roman" w:cs="Times New Roman"/>
          <w:b/>
          <w:i/>
          <w:sz w:val="24"/>
          <w:szCs w:val="24"/>
        </w:rPr>
        <w:t>Table 6.1 continues …</w:t>
      </w:r>
    </w:p>
    <w:p w:rsidR="00900B10" w:rsidRDefault="00900B10" w:rsidP="00900B10">
      <w:pPr>
        <w:rPr>
          <w:rFonts w:ascii="Times New Roman" w:hAnsi="Times New Roman" w:cs="Times New Roman"/>
          <w:b/>
          <w:i/>
          <w:sz w:val="24"/>
          <w:szCs w:val="24"/>
        </w:rPr>
      </w:pPr>
      <w:r w:rsidRPr="00E9794F">
        <w:rPr>
          <w:rFonts w:ascii="Times New Roman" w:hAnsi="Times New Roman" w:cs="Times New Roman"/>
          <w:b/>
          <w:i/>
          <w:sz w:val="24"/>
          <w:szCs w:val="24"/>
        </w:rPr>
        <w:t xml:space="preserve">… </w:t>
      </w:r>
      <w:r>
        <w:rPr>
          <w:rFonts w:ascii="Times New Roman" w:hAnsi="Times New Roman" w:cs="Times New Roman"/>
          <w:b/>
          <w:i/>
          <w:sz w:val="24"/>
          <w:szCs w:val="24"/>
        </w:rPr>
        <w:t>Table 6.1 continued</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1058"/>
        <w:gridCol w:w="1086"/>
        <w:gridCol w:w="2939"/>
        <w:gridCol w:w="3943"/>
      </w:tblGrid>
      <w:tr w:rsidR="00900B10" w:rsidRPr="004378A5" w:rsidTr="00900B10">
        <w:tc>
          <w:tcPr>
            <w:tcW w:w="1078" w:type="dxa"/>
            <w:tcBorders>
              <w:top w:val="single" w:sz="18" w:space="0" w:color="595959" w:themeColor="text1" w:themeTint="A6"/>
              <w:bottom w:val="single" w:sz="18" w:space="0" w:color="595959" w:themeColor="text1" w:themeTint="A6"/>
              <w:right w:val="single" w:sz="18" w:space="0" w:color="595959" w:themeColor="text1" w:themeTint="A6"/>
            </w:tcBorders>
          </w:tcPr>
          <w:p w:rsidR="00900B10" w:rsidRPr="004378A5" w:rsidRDefault="00900B10" w:rsidP="00900B10">
            <w:pPr>
              <w:jc w:val="center"/>
              <w:rPr>
                <w:rFonts w:ascii="Times New Roman" w:hAnsi="Times New Roman" w:cs="Times New Roman"/>
                <w:b/>
              </w:rPr>
            </w:pPr>
          </w:p>
        </w:tc>
        <w:tc>
          <w:tcPr>
            <w:tcW w:w="1094" w:type="dxa"/>
            <w:tcBorders>
              <w:top w:val="single" w:sz="18" w:space="0" w:color="595959" w:themeColor="text1" w:themeTint="A6"/>
              <w:bottom w:val="single" w:sz="18" w:space="0" w:color="595959" w:themeColor="text1" w:themeTint="A6"/>
              <w:right w:val="single" w:sz="18" w:space="0" w:color="595959" w:themeColor="text1" w:themeTint="A6"/>
            </w:tcBorders>
          </w:tcPr>
          <w:p w:rsidR="00900B10" w:rsidRPr="004378A5" w:rsidRDefault="00900B10" w:rsidP="00900B10">
            <w:pPr>
              <w:jc w:val="center"/>
              <w:rPr>
                <w:rFonts w:ascii="Times New Roman" w:hAnsi="Times New Roman" w:cs="Times New Roman"/>
                <w:b/>
              </w:rPr>
            </w:pPr>
            <w:r w:rsidRPr="004378A5">
              <w:rPr>
                <w:rFonts w:ascii="Times New Roman" w:hAnsi="Times New Roman" w:cs="Times New Roman"/>
                <w:b/>
              </w:rPr>
              <w:t>Target</w:t>
            </w:r>
          </w:p>
          <w:p w:rsidR="00900B10" w:rsidRPr="004378A5" w:rsidRDefault="00900B10" w:rsidP="00900B10">
            <w:pPr>
              <w:jc w:val="center"/>
              <w:rPr>
                <w:rFonts w:ascii="Times New Roman" w:hAnsi="Times New Roman" w:cs="Times New Roman"/>
                <w:b/>
              </w:rPr>
            </w:pPr>
            <w:r w:rsidRPr="004378A5">
              <w:rPr>
                <w:rFonts w:ascii="Times New Roman" w:hAnsi="Times New Roman" w:cs="Times New Roman"/>
                <w:b/>
              </w:rPr>
              <w:t>region</w:t>
            </w:r>
          </w:p>
        </w:tc>
        <w:tc>
          <w:tcPr>
            <w:tcW w:w="3016" w:type="dxa"/>
            <w:tc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cBorders>
          </w:tcPr>
          <w:p w:rsidR="00900B10" w:rsidRPr="004378A5" w:rsidRDefault="00900B10" w:rsidP="00900B10">
            <w:pPr>
              <w:jc w:val="center"/>
              <w:rPr>
                <w:rFonts w:ascii="Times New Roman" w:hAnsi="Times New Roman" w:cs="Times New Roman"/>
                <w:b/>
              </w:rPr>
            </w:pPr>
            <w:r w:rsidRPr="004378A5">
              <w:rPr>
                <w:rFonts w:ascii="Times New Roman" w:hAnsi="Times New Roman" w:cs="Times New Roman"/>
                <w:b/>
              </w:rPr>
              <w:t>Rest of city</w:t>
            </w:r>
          </w:p>
        </w:tc>
        <w:tc>
          <w:tcPr>
            <w:tcW w:w="4054" w:type="dxa"/>
            <w:tcBorders>
              <w:top w:val="single" w:sz="18" w:space="0" w:color="595959" w:themeColor="text1" w:themeTint="A6"/>
              <w:left w:val="single" w:sz="18" w:space="0" w:color="595959" w:themeColor="text1" w:themeTint="A6"/>
              <w:bottom w:val="single" w:sz="18" w:space="0" w:color="595959" w:themeColor="text1" w:themeTint="A6"/>
            </w:tcBorders>
          </w:tcPr>
          <w:p w:rsidR="00900B10" w:rsidRPr="004378A5" w:rsidRDefault="00900B10" w:rsidP="00900B10">
            <w:pPr>
              <w:jc w:val="center"/>
              <w:rPr>
                <w:rFonts w:ascii="Times New Roman" w:hAnsi="Times New Roman" w:cs="Times New Roman"/>
                <w:b/>
              </w:rPr>
            </w:pPr>
            <w:r w:rsidRPr="004378A5">
              <w:rPr>
                <w:rFonts w:ascii="Times New Roman" w:hAnsi="Times New Roman" w:cs="Times New Roman"/>
                <w:b/>
              </w:rPr>
              <w:t>Rest of state</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159</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VA02</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MD01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NC13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DC98</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160</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VA08</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VA11 DC98</w:t>
            </w:r>
            <w:r>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MD01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MD08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NC01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PA04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VA10</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161</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WA01</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WA02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WA10</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162</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WA02</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OR01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OR03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WA10</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163</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WA05</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ID01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WA04</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164</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WA06</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OR01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OR03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OR05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WA10</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165</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WA07</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WA09</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OR01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OR03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OR05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WA10</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166</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WA08</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OR01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OR03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WA10</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167</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WA09</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WA07</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OR01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OR03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OR05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WA10</w:t>
            </w:r>
            <w:r>
              <w:rPr>
                <w:rFonts w:ascii="Times New Roman" w:hAnsi="Times New Roman" w:cs="Times New Roman"/>
                <w:color w:val="000000"/>
                <w:sz w:val="18"/>
                <w:szCs w:val="18"/>
              </w:rPr>
              <w:t xml:space="preserve">               </w:t>
            </w:r>
          </w:p>
        </w:tc>
      </w:tr>
      <w:tr w:rsidR="004B40A3" w:rsidTr="00900B10">
        <w:tc>
          <w:tcPr>
            <w:tcW w:w="1078" w:type="dxa"/>
            <w:tcBorders>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168</w:t>
            </w:r>
          </w:p>
        </w:tc>
        <w:tc>
          <w:tcPr>
            <w:tcW w:w="1094" w:type="dxa"/>
            <w:tcBorders>
              <w:right w:val="single" w:sz="18" w:space="0" w:color="595959" w:themeColor="text1" w:themeTint="A6"/>
            </w:tcBorders>
          </w:tcPr>
          <w:p w:rsidR="004B40A3" w:rsidRDefault="004B40A3" w:rsidP="00900B10">
            <w:pPr>
              <w:rPr>
                <w:sz w:val="18"/>
                <w:szCs w:val="18"/>
              </w:rPr>
            </w:pPr>
            <w:r>
              <w:rPr>
                <w:sz w:val="18"/>
                <w:szCs w:val="18"/>
              </w:rPr>
              <w:t>WA10</w:t>
            </w:r>
          </w:p>
        </w:tc>
        <w:tc>
          <w:tcPr>
            <w:tcW w:w="3016" w:type="dxa"/>
            <w:tcBorders>
              <w:left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OR01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OR03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OR05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WA09</w:t>
            </w:r>
            <w:r>
              <w:rPr>
                <w:rFonts w:ascii="Times New Roman" w:hAnsi="Times New Roman" w:cs="Times New Roman"/>
                <w:color w:val="000000"/>
                <w:sz w:val="18"/>
                <w:szCs w:val="18"/>
              </w:rPr>
              <w:t xml:space="preserve">               </w:t>
            </w:r>
          </w:p>
        </w:tc>
      </w:tr>
      <w:tr w:rsidR="004B40A3" w:rsidTr="00900B10">
        <w:tc>
          <w:tcPr>
            <w:tcW w:w="1078" w:type="dxa"/>
            <w:tcBorders>
              <w:bottom w:val="single" w:sz="4" w:space="0" w:color="auto"/>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169</w:t>
            </w:r>
          </w:p>
        </w:tc>
        <w:tc>
          <w:tcPr>
            <w:tcW w:w="1094" w:type="dxa"/>
            <w:tcBorders>
              <w:bottom w:val="single" w:sz="4" w:space="0" w:color="auto"/>
              <w:right w:val="single" w:sz="18" w:space="0" w:color="595959" w:themeColor="text1" w:themeTint="A6"/>
            </w:tcBorders>
          </w:tcPr>
          <w:p w:rsidR="004B40A3" w:rsidRDefault="004B40A3" w:rsidP="00900B10">
            <w:pPr>
              <w:rPr>
                <w:sz w:val="18"/>
                <w:szCs w:val="18"/>
              </w:rPr>
            </w:pPr>
            <w:r>
              <w:rPr>
                <w:sz w:val="18"/>
                <w:szCs w:val="18"/>
              </w:rPr>
              <w:t>WI02</w:t>
            </w:r>
          </w:p>
        </w:tc>
        <w:tc>
          <w:tcPr>
            <w:tcW w:w="3016" w:type="dxa"/>
            <w:tcBorders>
              <w:left w:val="single" w:sz="18" w:space="0" w:color="595959" w:themeColor="text1" w:themeTint="A6"/>
              <w:bottom w:val="single" w:sz="4" w:space="0" w:color="auto"/>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bottom w:val="single" w:sz="4" w:space="0" w:color="auto"/>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IL01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IA01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IA02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WI08</w:t>
            </w:r>
            <w:r>
              <w:rPr>
                <w:rFonts w:ascii="Times New Roman" w:hAnsi="Times New Roman" w:cs="Times New Roman"/>
                <w:color w:val="000000"/>
                <w:sz w:val="18"/>
                <w:szCs w:val="18"/>
              </w:rPr>
              <w:t xml:space="preserve">        </w:t>
            </w:r>
          </w:p>
        </w:tc>
      </w:tr>
      <w:tr w:rsidR="004B40A3" w:rsidTr="00900B10">
        <w:tc>
          <w:tcPr>
            <w:tcW w:w="1078" w:type="dxa"/>
            <w:tcBorders>
              <w:bottom w:val="single" w:sz="18" w:space="0" w:color="595959" w:themeColor="text1" w:themeTint="A6"/>
              <w:right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170</w:t>
            </w:r>
          </w:p>
        </w:tc>
        <w:tc>
          <w:tcPr>
            <w:tcW w:w="1094" w:type="dxa"/>
            <w:tcBorders>
              <w:bottom w:val="single" w:sz="18" w:space="0" w:color="595959" w:themeColor="text1" w:themeTint="A6"/>
              <w:right w:val="single" w:sz="18" w:space="0" w:color="595959" w:themeColor="text1" w:themeTint="A6"/>
            </w:tcBorders>
          </w:tcPr>
          <w:p w:rsidR="004B40A3" w:rsidRDefault="004B40A3" w:rsidP="00900B10">
            <w:pPr>
              <w:rPr>
                <w:sz w:val="18"/>
                <w:szCs w:val="18"/>
              </w:rPr>
            </w:pPr>
            <w:r>
              <w:rPr>
                <w:sz w:val="18"/>
                <w:szCs w:val="18"/>
              </w:rPr>
              <w:t>WI04</w:t>
            </w:r>
          </w:p>
        </w:tc>
        <w:tc>
          <w:tcPr>
            <w:tcW w:w="3016" w:type="dxa"/>
            <w:tcBorders>
              <w:left w:val="single" w:sz="18" w:space="0" w:color="595959" w:themeColor="text1" w:themeTint="A6"/>
              <w:bottom w:val="single" w:sz="18" w:space="0" w:color="595959" w:themeColor="text1" w:themeTint="A6"/>
              <w:right w:val="single" w:sz="18" w:space="0" w:color="595959" w:themeColor="text1" w:themeTint="A6"/>
            </w:tcBorders>
          </w:tcPr>
          <w:p w:rsidR="004B40A3" w:rsidRPr="00C44FD5" w:rsidRDefault="004B40A3" w:rsidP="00900B10">
            <w:pPr>
              <w:rPr>
                <w:rFonts w:ascii="Times New Roman" w:hAnsi="Times New Roman" w:cs="Times New Roman"/>
                <w:color w:val="000000"/>
                <w:sz w:val="18"/>
                <w:szCs w:val="18"/>
              </w:rPr>
            </w:pPr>
            <w:r w:rsidRPr="00C44FD5">
              <w:rPr>
                <w:rFonts w:ascii="Times New Roman" w:hAnsi="Times New Roman" w:cs="Times New Roman"/>
                <w:color w:val="000000"/>
                <w:sz w:val="18"/>
                <w:szCs w:val="18"/>
              </w:rPr>
              <w:t>WI01</w:t>
            </w:r>
            <w:r>
              <w:rPr>
                <w:rFonts w:ascii="Times New Roman" w:hAnsi="Times New Roman" w:cs="Times New Roman"/>
                <w:color w:val="000000"/>
                <w:sz w:val="18"/>
                <w:szCs w:val="18"/>
              </w:rPr>
              <w:t xml:space="preserve">    </w:t>
            </w:r>
            <w:r w:rsidRPr="00C44FD5">
              <w:rPr>
                <w:rFonts w:ascii="Times New Roman" w:hAnsi="Times New Roman" w:cs="Times New Roman"/>
                <w:color w:val="000000"/>
                <w:sz w:val="18"/>
                <w:szCs w:val="18"/>
              </w:rPr>
              <w:t xml:space="preserve"> </w:t>
            </w:r>
          </w:p>
        </w:tc>
        <w:tc>
          <w:tcPr>
            <w:tcW w:w="4054" w:type="dxa"/>
            <w:tcBorders>
              <w:left w:val="single" w:sz="18" w:space="0" w:color="595959" w:themeColor="text1" w:themeTint="A6"/>
              <w:bottom w:val="single" w:sz="18" w:space="0" w:color="595959" w:themeColor="text1" w:themeTint="A6"/>
            </w:tcBorders>
          </w:tcPr>
          <w:p w:rsidR="004B40A3" w:rsidRPr="004378A5" w:rsidRDefault="004B40A3" w:rsidP="00900B10">
            <w:pPr>
              <w:rPr>
                <w:rFonts w:ascii="Times New Roman" w:hAnsi="Times New Roman" w:cs="Times New Roman"/>
                <w:color w:val="000000"/>
                <w:sz w:val="18"/>
                <w:szCs w:val="18"/>
              </w:rPr>
            </w:pPr>
            <w:r w:rsidRPr="004378A5">
              <w:rPr>
                <w:rFonts w:ascii="Times New Roman" w:hAnsi="Times New Roman" w:cs="Times New Roman"/>
                <w:color w:val="000000"/>
                <w:sz w:val="18"/>
                <w:szCs w:val="18"/>
              </w:rPr>
              <w:t>IL01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IL08</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IL09</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IL10</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IL17</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IN01</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IN04</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MI03</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MI06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WI02</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WI05</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WI06</w:t>
            </w:r>
            <w:r>
              <w:rPr>
                <w:rFonts w:ascii="Times New Roman" w:hAnsi="Times New Roman" w:cs="Times New Roman"/>
                <w:color w:val="000000"/>
                <w:sz w:val="18"/>
                <w:szCs w:val="18"/>
              </w:rPr>
              <w:t xml:space="preserve"> </w:t>
            </w:r>
            <w:r w:rsidRPr="004378A5">
              <w:rPr>
                <w:rFonts w:ascii="Times New Roman" w:hAnsi="Times New Roman" w:cs="Times New Roman"/>
                <w:color w:val="000000"/>
                <w:sz w:val="18"/>
                <w:szCs w:val="18"/>
              </w:rPr>
              <w:t>WI08</w:t>
            </w:r>
            <w:r>
              <w:rPr>
                <w:rFonts w:ascii="Times New Roman" w:hAnsi="Times New Roman" w:cs="Times New Roman"/>
                <w:color w:val="000000"/>
                <w:sz w:val="18"/>
                <w:szCs w:val="18"/>
              </w:rPr>
              <w:t xml:space="preserve">        </w:t>
            </w:r>
          </w:p>
        </w:tc>
      </w:tr>
    </w:tbl>
    <w:p w:rsidR="0021748C" w:rsidRDefault="0021748C" w:rsidP="0021748C">
      <w:pPr>
        <w:pStyle w:val="ListParagraph"/>
        <w:spacing w:before="240"/>
        <w:ind w:left="0"/>
        <w:contextualSpacing w:val="0"/>
        <w:rPr>
          <w:rFonts w:ascii="Times New Roman" w:hAnsi="Times New Roman" w:cs="Times New Roman"/>
          <w:sz w:val="24"/>
          <w:szCs w:val="24"/>
        </w:rPr>
      </w:pPr>
      <w:r>
        <w:rPr>
          <w:rFonts w:ascii="Times New Roman" w:hAnsi="Times New Roman" w:cs="Times New Roman"/>
          <w:sz w:val="24"/>
          <w:szCs w:val="24"/>
        </w:rPr>
        <w:t xml:space="preserve">In the event, none of the congressional districts with no Rest of city was used in our elasticity calculations.  More generally, the Table shows that while we use the expressions Rest of city and Rest of state, the regions to which we are referring are not literally the rest of city and the rest of state.  This should not cause any interpretation difficulties.  The 10 economic implication variables with which we are concerned (listed in section 1) refer only to the target region and the nation as a whole.  There is no ambiguity about the regional dimension of those concepts.   </w:t>
      </w:r>
    </w:p>
    <w:p w:rsidR="000418E3" w:rsidRDefault="000418E3" w:rsidP="000418E3">
      <w:pPr>
        <w:rPr>
          <w:rFonts w:ascii="Times New Roman" w:hAnsi="Times New Roman" w:cs="Times New Roman"/>
          <w:b/>
          <w:i/>
          <w:sz w:val="24"/>
          <w:szCs w:val="24"/>
        </w:rPr>
      </w:pPr>
      <w:r>
        <w:rPr>
          <w:rFonts w:ascii="Times New Roman" w:hAnsi="Times New Roman" w:cs="Times New Roman"/>
          <w:b/>
          <w:i/>
          <w:sz w:val="24"/>
          <w:szCs w:val="24"/>
        </w:rPr>
        <w:t>6</w:t>
      </w:r>
      <w:r w:rsidRPr="00A03BB8">
        <w:rPr>
          <w:rFonts w:ascii="Times New Roman" w:hAnsi="Times New Roman" w:cs="Times New Roman"/>
          <w:b/>
          <w:i/>
          <w:sz w:val="24"/>
          <w:szCs w:val="24"/>
        </w:rPr>
        <w:t>.</w:t>
      </w:r>
      <w:r>
        <w:rPr>
          <w:rFonts w:ascii="Times New Roman" w:hAnsi="Times New Roman" w:cs="Times New Roman"/>
          <w:b/>
          <w:i/>
          <w:sz w:val="24"/>
          <w:szCs w:val="24"/>
        </w:rPr>
        <w:t xml:space="preserve">1. </w:t>
      </w:r>
      <w:r w:rsidRPr="00A03BB8">
        <w:rPr>
          <w:rFonts w:ascii="Times New Roman" w:hAnsi="Times New Roman" w:cs="Times New Roman"/>
          <w:b/>
          <w:i/>
          <w:sz w:val="24"/>
          <w:szCs w:val="24"/>
        </w:rPr>
        <w:t xml:space="preserve"> </w:t>
      </w:r>
      <w:r>
        <w:rPr>
          <w:rFonts w:ascii="Times New Roman" w:hAnsi="Times New Roman" w:cs="Times New Roman"/>
          <w:b/>
          <w:i/>
          <w:sz w:val="24"/>
          <w:szCs w:val="24"/>
        </w:rPr>
        <w:t xml:space="preserve">Turning </w:t>
      </w:r>
      <w:r w:rsidR="00031FA8">
        <w:rPr>
          <w:rFonts w:ascii="Times New Roman" w:hAnsi="Times New Roman" w:cs="Times New Roman"/>
          <w:b/>
          <w:i/>
          <w:sz w:val="24"/>
          <w:szCs w:val="24"/>
        </w:rPr>
        <w:t>8</w:t>
      </w:r>
      <w:r>
        <w:rPr>
          <w:rFonts w:ascii="Times New Roman" w:hAnsi="Times New Roman" w:cs="Times New Roman"/>
          <w:b/>
          <w:i/>
          <w:sz w:val="24"/>
          <w:szCs w:val="24"/>
        </w:rPr>
        <w:t xml:space="preserve"> matrices into </w:t>
      </w:r>
      <w:r w:rsidR="00031FA8">
        <w:rPr>
          <w:rFonts w:ascii="Times New Roman" w:hAnsi="Times New Roman" w:cs="Times New Roman"/>
          <w:b/>
          <w:i/>
          <w:sz w:val="24"/>
          <w:szCs w:val="24"/>
        </w:rPr>
        <w:t>34</w:t>
      </w:r>
      <w:r w:rsidR="00F66BB7">
        <w:rPr>
          <w:rFonts w:ascii="Times New Roman" w:hAnsi="Times New Roman" w:cs="Times New Roman"/>
          <w:b/>
          <w:i/>
          <w:sz w:val="24"/>
          <w:szCs w:val="24"/>
        </w:rPr>
        <w:t>0</w:t>
      </w:r>
      <w:r>
        <w:rPr>
          <w:rFonts w:ascii="Times New Roman" w:hAnsi="Times New Roman" w:cs="Times New Roman"/>
          <w:b/>
          <w:i/>
          <w:sz w:val="24"/>
          <w:szCs w:val="24"/>
        </w:rPr>
        <w:t xml:space="preserve"> matrices: the theory of the relevant variable approach</w:t>
      </w:r>
    </w:p>
    <w:p w:rsidR="000418E3" w:rsidRDefault="005C3039" w:rsidP="000418E3">
      <w:pPr>
        <w:rPr>
          <w:rFonts w:ascii="Times New Roman" w:hAnsi="Times New Roman" w:cs="Times New Roman"/>
          <w:sz w:val="24"/>
          <w:szCs w:val="24"/>
        </w:rPr>
      </w:pPr>
      <w:r>
        <w:rPr>
          <w:rFonts w:ascii="Times New Roman" w:hAnsi="Times New Roman" w:cs="Times New Roman"/>
          <w:sz w:val="24"/>
          <w:szCs w:val="24"/>
        </w:rPr>
        <w:t>We</w:t>
      </w:r>
      <w:r w:rsidR="000418E3">
        <w:rPr>
          <w:rFonts w:ascii="Times New Roman" w:hAnsi="Times New Roman" w:cs="Times New Roman"/>
          <w:sz w:val="24"/>
          <w:szCs w:val="24"/>
        </w:rPr>
        <w:t xml:space="preserve"> used our 4 models to compute </w:t>
      </w:r>
      <w:r>
        <w:rPr>
          <w:rFonts w:ascii="Times New Roman" w:hAnsi="Times New Roman" w:cs="Times New Roman"/>
          <w:sz w:val="24"/>
          <w:szCs w:val="24"/>
        </w:rPr>
        <w:t>8</w:t>
      </w:r>
      <w:r w:rsidR="000418E3">
        <w:rPr>
          <w:rFonts w:ascii="Times New Roman" w:hAnsi="Times New Roman" w:cs="Times New Roman"/>
          <w:sz w:val="24"/>
          <w:szCs w:val="24"/>
        </w:rPr>
        <w:t xml:space="preserve"> matrices: E</w:t>
      </w:r>
      <w:r>
        <w:rPr>
          <w:rFonts w:ascii="Times New Roman" w:hAnsi="Times New Roman" w:cs="Times New Roman"/>
          <w:sz w:val="24"/>
          <w:szCs w:val="24"/>
          <w:vertAlign w:val="subscript"/>
        </w:rPr>
        <w:t>A</w:t>
      </w:r>
      <w:r w:rsidR="000418E3">
        <w:rPr>
          <w:rFonts w:ascii="Times New Roman" w:hAnsi="Times New Roman" w:cs="Times New Roman"/>
          <w:sz w:val="24"/>
          <w:szCs w:val="24"/>
        </w:rPr>
        <w:t>(</w:t>
      </w:r>
      <w:r w:rsidR="00031FA8">
        <w:rPr>
          <w:rFonts w:ascii="Times New Roman" w:hAnsi="Times New Roman" w:cs="Times New Roman"/>
          <w:sz w:val="24"/>
          <w:szCs w:val="24"/>
        </w:rPr>
        <w:sym w:font="Symbol" w:char="F0B7"/>
      </w:r>
      <w:r w:rsidR="000418E3">
        <w:rPr>
          <w:rFonts w:ascii="Times New Roman" w:hAnsi="Times New Roman" w:cs="Times New Roman"/>
          <w:sz w:val="24"/>
          <w:szCs w:val="24"/>
        </w:rPr>
        <w:t>,FL24,</w:t>
      </w:r>
      <w:r w:rsidR="00031FA8" w:rsidRPr="00031FA8">
        <w:rPr>
          <w:rFonts w:ascii="Times New Roman" w:hAnsi="Times New Roman" w:cs="Times New Roman"/>
          <w:sz w:val="24"/>
          <w:szCs w:val="24"/>
        </w:rPr>
        <w:t xml:space="preserve"> </w:t>
      </w:r>
      <w:r w:rsidR="00031FA8">
        <w:rPr>
          <w:rFonts w:ascii="Times New Roman" w:hAnsi="Times New Roman" w:cs="Times New Roman"/>
          <w:sz w:val="24"/>
          <w:szCs w:val="24"/>
        </w:rPr>
        <w:sym w:font="Symbol" w:char="F0B7"/>
      </w:r>
      <w:r w:rsidR="000418E3">
        <w:rPr>
          <w:rFonts w:ascii="Times New Roman" w:hAnsi="Times New Roman" w:cs="Times New Roman"/>
          <w:sz w:val="24"/>
          <w:szCs w:val="24"/>
        </w:rPr>
        <w:t>), E</w:t>
      </w:r>
      <w:r>
        <w:rPr>
          <w:rFonts w:ascii="Times New Roman" w:hAnsi="Times New Roman" w:cs="Times New Roman"/>
          <w:sz w:val="24"/>
          <w:szCs w:val="24"/>
          <w:vertAlign w:val="subscript"/>
        </w:rPr>
        <w:t>A</w:t>
      </w:r>
      <w:r w:rsidR="000418E3">
        <w:rPr>
          <w:rFonts w:ascii="Times New Roman" w:hAnsi="Times New Roman" w:cs="Times New Roman"/>
          <w:sz w:val="24"/>
          <w:szCs w:val="24"/>
        </w:rPr>
        <w:t>(</w:t>
      </w:r>
      <w:r w:rsidR="00031FA8">
        <w:rPr>
          <w:rFonts w:ascii="Times New Roman" w:hAnsi="Times New Roman" w:cs="Times New Roman"/>
          <w:sz w:val="24"/>
          <w:szCs w:val="24"/>
        </w:rPr>
        <w:sym w:font="Symbol" w:char="F0B7"/>
      </w:r>
      <w:r w:rsidR="000418E3">
        <w:rPr>
          <w:rFonts w:ascii="Times New Roman" w:hAnsi="Times New Roman" w:cs="Times New Roman"/>
          <w:sz w:val="24"/>
          <w:szCs w:val="24"/>
        </w:rPr>
        <w:t>,AZ07,</w:t>
      </w:r>
      <w:r w:rsidR="00031FA8" w:rsidRPr="00031FA8">
        <w:rPr>
          <w:rFonts w:ascii="Times New Roman" w:hAnsi="Times New Roman" w:cs="Times New Roman"/>
          <w:sz w:val="24"/>
          <w:szCs w:val="24"/>
        </w:rPr>
        <w:t xml:space="preserve"> </w:t>
      </w:r>
      <w:r w:rsidR="00031FA8">
        <w:rPr>
          <w:rFonts w:ascii="Times New Roman" w:hAnsi="Times New Roman" w:cs="Times New Roman"/>
          <w:sz w:val="24"/>
          <w:szCs w:val="24"/>
        </w:rPr>
        <w:sym w:font="Symbol" w:char="F0B7"/>
      </w:r>
      <w:r w:rsidR="000418E3">
        <w:rPr>
          <w:rFonts w:ascii="Times New Roman" w:hAnsi="Times New Roman" w:cs="Times New Roman"/>
          <w:sz w:val="24"/>
          <w:szCs w:val="24"/>
        </w:rPr>
        <w:t xml:space="preserve">), </w:t>
      </w:r>
      <w:r w:rsidR="00031FA8">
        <w:rPr>
          <w:rFonts w:ascii="Times New Roman" w:hAnsi="Times New Roman" w:cs="Times New Roman"/>
          <w:sz w:val="24"/>
          <w:szCs w:val="24"/>
        </w:rPr>
        <w:t>E</w:t>
      </w:r>
      <w:r w:rsidR="00031FA8">
        <w:rPr>
          <w:rFonts w:ascii="Times New Roman" w:hAnsi="Times New Roman" w:cs="Times New Roman"/>
          <w:sz w:val="24"/>
          <w:szCs w:val="24"/>
          <w:vertAlign w:val="subscript"/>
        </w:rPr>
        <w:t>A</w:t>
      </w:r>
      <w:r w:rsidR="00031FA8">
        <w:rPr>
          <w:rFonts w:ascii="Times New Roman" w:hAnsi="Times New Roman" w:cs="Times New Roman"/>
          <w:sz w:val="24"/>
          <w:szCs w:val="24"/>
        </w:rPr>
        <w:t>(</w:t>
      </w:r>
      <w:r w:rsidR="00031FA8">
        <w:rPr>
          <w:rFonts w:ascii="Times New Roman" w:hAnsi="Times New Roman" w:cs="Times New Roman"/>
          <w:sz w:val="24"/>
          <w:szCs w:val="24"/>
        </w:rPr>
        <w:sym w:font="Symbol" w:char="F0B7"/>
      </w:r>
      <w:r w:rsidR="00031FA8">
        <w:rPr>
          <w:rFonts w:ascii="Times New Roman" w:hAnsi="Times New Roman" w:cs="Times New Roman"/>
          <w:sz w:val="24"/>
          <w:szCs w:val="24"/>
        </w:rPr>
        <w:t xml:space="preserve">,NY14,v) </w:t>
      </w:r>
      <w:r w:rsidR="000418E3">
        <w:rPr>
          <w:rFonts w:ascii="Times New Roman" w:hAnsi="Times New Roman" w:cs="Times New Roman"/>
          <w:sz w:val="24"/>
          <w:szCs w:val="24"/>
        </w:rPr>
        <w:t xml:space="preserve">and </w:t>
      </w:r>
      <w:r w:rsidR="00031FA8">
        <w:rPr>
          <w:rFonts w:ascii="Times New Roman" w:hAnsi="Times New Roman" w:cs="Times New Roman"/>
          <w:sz w:val="24"/>
          <w:szCs w:val="24"/>
        </w:rPr>
        <w:t>E</w:t>
      </w:r>
      <w:r w:rsidR="00031FA8">
        <w:rPr>
          <w:rFonts w:ascii="Times New Roman" w:hAnsi="Times New Roman" w:cs="Times New Roman"/>
          <w:sz w:val="24"/>
          <w:szCs w:val="24"/>
          <w:vertAlign w:val="subscript"/>
        </w:rPr>
        <w:t>A</w:t>
      </w:r>
      <w:r w:rsidR="00031FA8">
        <w:rPr>
          <w:rFonts w:ascii="Times New Roman" w:hAnsi="Times New Roman" w:cs="Times New Roman"/>
          <w:sz w:val="24"/>
          <w:szCs w:val="24"/>
        </w:rPr>
        <w:t>(</w:t>
      </w:r>
      <w:r w:rsidR="00031FA8">
        <w:rPr>
          <w:rFonts w:ascii="Times New Roman" w:hAnsi="Times New Roman" w:cs="Times New Roman"/>
          <w:sz w:val="24"/>
          <w:szCs w:val="24"/>
        </w:rPr>
        <w:sym w:font="Symbol" w:char="F0B7"/>
      </w:r>
      <w:r w:rsidR="00031FA8">
        <w:rPr>
          <w:rFonts w:ascii="Times New Roman" w:hAnsi="Times New Roman" w:cs="Times New Roman"/>
          <w:sz w:val="24"/>
          <w:szCs w:val="24"/>
        </w:rPr>
        <w:t>,WA09,</w:t>
      </w:r>
      <w:r w:rsidR="00031FA8" w:rsidRPr="00031FA8">
        <w:rPr>
          <w:rFonts w:ascii="Times New Roman" w:hAnsi="Times New Roman" w:cs="Times New Roman"/>
          <w:sz w:val="24"/>
          <w:szCs w:val="24"/>
        </w:rPr>
        <w:t xml:space="preserve"> </w:t>
      </w:r>
      <w:r w:rsidR="00031FA8">
        <w:rPr>
          <w:rFonts w:ascii="Times New Roman" w:hAnsi="Times New Roman" w:cs="Times New Roman"/>
          <w:sz w:val="24"/>
          <w:szCs w:val="24"/>
        </w:rPr>
        <w:sym w:font="Symbol" w:char="F0B7"/>
      </w:r>
      <w:r w:rsidR="00031FA8">
        <w:rPr>
          <w:rFonts w:ascii="Times New Roman" w:hAnsi="Times New Roman" w:cs="Times New Roman"/>
          <w:sz w:val="24"/>
          <w:szCs w:val="24"/>
        </w:rPr>
        <w:t xml:space="preserve">) </w:t>
      </w:r>
      <w:r w:rsidR="000418E3">
        <w:rPr>
          <w:rFonts w:ascii="Times New Roman" w:hAnsi="Times New Roman" w:cs="Times New Roman"/>
          <w:sz w:val="24"/>
          <w:szCs w:val="24"/>
        </w:rPr>
        <w:t xml:space="preserve">for </w:t>
      </w:r>
      <w:r>
        <w:rPr>
          <w:rFonts w:ascii="Times New Roman" w:hAnsi="Times New Roman" w:cs="Times New Roman"/>
          <w:sz w:val="24"/>
          <w:szCs w:val="24"/>
        </w:rPr>
        <w:t>both assumptions A (Keynesian and Neoclassical)</w:t>
      </w:r>
      <w:r w:rsidR="000418E3">
        <w:rPr>
          <w:rFonts w:ascii="Times New Roman" w:hAnsi="Times New Roman" w:cs="Times New Roman"/>
          <w:sz w:val="24"/>
          <w:szCs w:val="24"/>
        </w:rPr>
        <w:t>.</w:t>
      </w:r>
      <w:r w:rsidR="00031FA8">
        <w:rPr>
          <w:rStyle w:val="FootnoteReference"/>
          <w:rFonts w:ascii="Times New Roman" w:hAnsi="Times New Roman" w:cs="Times New Roman"/>
          <w:sz w:val="24"/>
          <w:szCs w:val="24"/>
        </w:rPr>
        <w:footnoteReference w:id="21"/>
      </w:r>
      <w:r w:rsidR="000418E3">
        <w:rPr>
          <w:rFonts w:ascii="Times New Roman" w:hAnsi="Times New Roman" w:cs="Times New Roman"/>
          <w:sz w:val="24"/>
          <w:szCs w:val="24"/>
        </w:rPr>
        <w:t xml:space="preserve">  This was a large but manageable computational task requiring </w:t>
      </w:r>
      <w:r w:rsidR="005D29CC">
        <w:rPr>
          <w:rFonts w:ascii="Times New Roman" w:hAnsi="Times New Roman" w:cs="Times New Roman"/>
          <w:sz w:val="24"/>
          <w:szCs w:val="24"/>
        </w:rPr>
        <w:t>4480</w:t>
      </w:r>
      <w:r w:rsidR="000418E3">
        <w:rPr>
          <w:rFonts w:ascii="Times New Roman" w:hAnsi="Times New Roman" w:cs="Times New Roman"/>
          <w:sz w:val="24"/>
          <w:szCs w:val="24"/>
        </w:rPr>
        <w:t xml:space="preserve"> annual solutions (4 models times 20 years times 14 shocks times 2 runs</w:t>
      </w:r>
      <w:r>
        <w:rPr>
          <w:rFonts w:ascii="Times New Roman" w:hAnsi="Times New Roman" w:cs="Times New Roman"/>
          <w:sz w:val="24"/>
          <w:szCs w:val="24"/>
        </w:rPr>
        <w:t xml:space="preserve"> times 2 assumptions</w:t>
      </w:r>
      <w:r w:rsidR="000418E3">
        <w:rPr>
          <w:rFonts w:ascii="Times New Roman" w:hAnsi="Times New Roman" w:cs="Times New Roman"/>
          <w:sz w:val="24"/>
          <w:szCs w:val="24"/>
        </w:rPr>
        <w:t xml:space="preserve">), repeated several times to incorporate </w:t>
      </w:r>
      <w:r w:rsidR="000418E3">
        <w:rPr>
          <w:rFonts w:ascii="Times New Roman" w:hAnsi="Times New Roman" w:cs="Times New Roman"/>
          <w:sz w:val="24"/>
          <w:szCs w:val="24"/>
        </w:rPr>
        <w:lastRenderedPageBreak/>
        <w:t xml:space="preserve">refinements following analysis of preliminary results.  How </w:t>
      </w:r>
      <w:r w:rsidR="005D29CC">
        <w:rPr>
          <w:rFonts w:ascii="Times New Roman" w:hAnsi="Times New Roman" w:cs="Times New Roman"/>
          <w:sz w:val="24"/>
          <w:szCs w:val="24"/>
        </w:rPr>
        <w:t>should</w:t>
      </w:r>
      <w:r w:rsidR="000418E3">
        <w:rPr>
          <w:rFonts w:ascii="Times New Roman" w:hAnsi="Times New Roman" w:cs="Times New Roman"/>
          <w:sz w:val="24"/>
          <w:szCs w:val="24"/>
        </w:rPr>
        <w:t xml:space="preserve"> we use these </w:t>
      </w:r>
      <w:r w:rsidR="005D29CC">
        <w:rPr>
          <w:rFonts w:ascii="Times New Roman" w:hAnsi="Times New Roman" w:cs="Times New Roman"/>
          <w:sz w:val="24"/>
          <w:szCs w:val="24"/>
        </w:rPr>
        <w:t>8</w:t>
      </w:r>
      <w:r w:rsidR="000418E3">
        <w:rPr>
          <w:rFonts w:ascii="Times New Roman" w:hAnsi="Times New Roman" w:cs="Times New Roman"/>
          <w:sz w:val="24"/>
          <w:szCs w:val="24"/>
        </w:rPr>
        <w:t xml:space="preserve"> matrices to develop </w:t>
      </w:r>
      <w:r w:rsidR="005D29CC">
        <w:rPr>
          <w:rFonts w:ascii="Times New Roman" w:hAnsi="Times New Roman" w:cs="Times New Roman"/>
          <w:sz w:val="24"/>
          <w:szCs w:val="24"/>
        </w:rPr>
        <w:t xml:space="preserve">Keynesian and Neoclassical </w:t>
      </w:r>
      <w:r w:rsidR="000418E3">
        <w:rPr>
          <w:rFonts w:ascii="Times New Roman" w:hAnsi="Times New Roman" w:cs="Times New Roman"/>
          <w:sz w:val="24"/>
          <w:szCs w:val="24"/>
        </w:rPr>
        <w:t xml:space="preserve">matrices for all </w:t>
      </w:r>
      <w:r>
        <w:rPr>
          <w:rFonts w:ascii="Times New Roman" w:hAnsi="Times New Roman" w:cs="Times New Roman"/>
          <w:sz w:val="24"/>
          <w:szCs w:val="24"/>
        </w:rPr>
        <w:t>170</w:t>
      </w:r>
      <w:r w:rsidR="000418E3">
        <w:rPr>
          <w:rFonts w:ascii="Times New Roman" w:hAnsi="Times New Roman" w:cs="Times New Roman"/>
          <w:sz w:val="24"/>
          <w:szCs w:val="24"/>
        </w:rPr>
        <w:t xml:space="preserve">congressional districts?  </w:t>
      </w:r>
    </w:p>
    <w:p w:rsidR="000418E3" w:rsidRDefault="000418E3" w:rsidP="000418E3">
      <w:pPr>
        <w:rPr>
          <w:rFonts w:ascii="Times New Roman" w:hAnsi="Times New Roman" w:cs="Times New Roman"/>
          <w:sz w:val="24"/>
          <w:szCs w:val="24"/>
        </w:rPr>
      </w:pPr>
      <w:r>
        <w:rPr>
          <w:rFonts w:ascii="Times New Roman" w:hAnsi="Times New Roman" w:cs="Times New Roman"/>
          <w:sz w:val="24"/>
          <w:szCs w:val="24"/>
        </w:rPr>
        <w:t xml:space="preserve">One idea that can be quickly dismissed is that we should use the same </w:t>
      </w:r>
      <w:r w:rsidR="005D29CC">
        <w:rPr>
          <w:rFonts w:ascii="Times New Roman" w:hAnsi="Times New Roman" w:cs="Times New Roman"/>
          <w:sz w:val="24"/>
          <w:szCs w:val="24"/>
        </w:rPr>
        <w:t xml:space="preserve">Keynesian and Neoclassical </w:t>
      </w:r>
      <w:r>
        <w:rPr>
          <w:rFonts w:ascii="Times New Roman" w:hAnsi="Times New Roman" w:cs="Times New Roman"/>
          <w:sz w:val="24"/>
          <w:szCs w:val="24"/>
        </w:rPr>
        <w:t>matri</w:t>
      </w:r>
      <w:r w:rsidR="005D29CC">
        <w:rPr>
          <w:rFonts w:ascii="Times New Roman" w:hAnsi="Times New Roman" w:cs="Times New Roman"/>
          <w:sz w:val="24"/>
          <w:szCs w:val="24"/>
        </w:rPr>
        <w:t>ces</w:t>
      </w:r>
      <w:r>
        <w:rPr>
          <w:rFonts w:ascii="Times New Roman" w:hAnsi="Times New Roman" w:cs="Times New Roman"/>
          <w:sz w:val="24"/>
          <w:szCs w:val="24"/>
        </w:rPr>
        <w:t xml:space="preserve"> for each congressional district, some sort of average of </w:t>
      </w:r>
      <w:r w:rsidR="005D29CC">
        <w:rPr>
          <w:rFonts w:ascii="Times New Roman" w:hAnsi="Times New Roman" w:cs="Times New Roman"/>
          <w:sz w:val="24"/>
          <w:szCs w:val="24"/>
        </w:rPr>
        <w:t xml:space="preserve">matrices obtained </w:t>
      </w:r>
      <w:r w:rsidR="00153E35">
        <w:rPr>
          <w:rFonts w:ascii="Times New Roman" w:hAnsi="Times New Roman" w:cs="Times New Roman"/>
          <w:sz w:val="24"/>
          <w:szCs w:val="24"/>
        </w:rPr>
        <w:t xml:space="preserve">from the </w:t>
      </w:r>
      <w:r>
        <w:rPr>
          <w:rFonts w:ascii="Times New Roman" w:hAnsi="Times New Roman" w:cs="Times New Roman"/>
          <w:sz w:val="24"/>
          <w:szCs w:val="24"/>
        </w:rPr>
        <w:t>USAGE-TERM simulations</w:t>
      </w:r>
      <w:r w:rsidR="005D29CC">
        <w:rPr>
          <w:rFonts w:ascii="Times New Roman" w:hAnsi="Times New Roman" w:cs="Times New Roman"/>
          <w:sz w:val="24"/>
          <w:szCs w:val="24"/>
        </w:rPr>
        <w:t xml:space="preserve"> for the 4 models</w:t>
      </w:r>
      <w:r>
        <w:rPr>
          <w:rFonts w:ascii="Times New Roman" w:hAnsi="Times New Roman" w:cs="Times New Roman"/>
          <w:sz w:val="24"/>
          <w:szCs w:val="24"/>
        </w:rPr>
        <w:t xml:space="preserve">.  However it is clear that the matrices should vary across congressional districts.  For example, the effect on GDP of destruction of </w:t>
      </w:r>
      <w:r w:rsidRPr="00153E35">
        <w:rPr>
          <w:rFonts w:ascii="Times New Roman" w:hAnsi="Times New Roman" w:cs="Times New Roman"/>
          <w:i/>
          <w:sz w:val="24"/>
          <w:szCs w:val="24"/>
        </w:rPr>
        <w:t>x</w:t>
      </w:r>
      <w:r>
        <w:rPr>
          <w:rFonts w:ascii="Times New Roman" w:hAnsi="Times New Roman" w:cs="Times New Roman"/>
          <w:sz w:val="24"/>
          <w:szCs w:val="24"/>
        </w:rPr>
        <w:t xml:space="preserve"> per cent of the capital in a congressional district depends on the quantity of capital in that congressional district: the effect will be greater for districts that have a lot of capital than for district</w:t>
      </w:r>
      <w:r w:rsidR="00153E35">
        <w:rPr>
          <w:rFonts w:ascii="Times New Roman" w:hAnsi="Times New Roman" w:cs="Times New Roman"/>
          <w:sz w:val="24"/>
          <w:szCs w:val="24"/>
        </w:rPr>
        <w:t>s</w:t>
      </w:r>
      <w:r>
        <w:rPr>
          <w:rFonts w:ascii="Times New Roman" w:hAnsi="Times New Roman" w:cs="Times New Roman"/>
          <w:sz w:val="24"/>
          <w:szCs w:val="24"/>
        </w:rPr>
        <w:t xml:space="preserve"> that have only a small amount of capital.  </w:t>
      </w:r>
      <w:r w:rsidR="00031FA8">
        <w:rPr>
          <w:rFonts w:ascii="Times New Roman" w:hAnsi="Times New Roman" w:cs="Times New Roman"/>
          <w:sz w:val="24"/>
          <w:szCs w:val="24"/>
        </w:rPr>
        <w:t>We</w:t>
      </w:r>
      <w:r>
        <w:rPr>
          <w:rFonts w:ascii="Times New Roman" w:hAnsi="Times New Roman" w:cs="Times New Roman"/>
          <w:sz w:val="24"/>
          <w:szCs w:val="24"/>
        </w:rPr>
        <w:t xml:space="preserve"> would expect destruction of </w:t>
      </w:r>
      <w:r w:rsidRPr="00153E35">
        <w:rPr>
          <w:rFonts w:ascii="Times New Roman" w:hAnsi="Times New Roman" w:cs="Times New Roman"/>
          <w:i/>
          <w:sz w:val="24"/>
          <w:szCs w:val="24"/>
        </w:rPr>
        <w:t>x</w:t>
      </w:r>
      <w:r>
        <w:rPr>
          <w:rFonts w:ascii="Times New Roman" w:hAnsi="Times New Roman" w:cs="Times New Roman"/>
          <w:sz w:val="24"/>
          <w:szCs w:val="24"/>
        </w:rPr>
        <w:t xml:space="preserve"> per cent of the capital in a congressional district </w:t>
      </w:r>
      <w:r w:rsidR="00E87FC0">
        <w:rPr>
          <w:rFonts w:ascii="Times New Roman" w:hAnsi="Times New Roman" w:cs="Times New Roman"/>
          <w:sz w:val="24"/>
          <w:szCs w:val="24"/>
        </w:rPr>
        <w:t>with $150 billion worth of capital</w:t>
      </w:r>
      <w:r>
        <w:rPr>
          <w:rFonts w:ascii="Times New Roman" w:hAnsi="Times New Roman" w:cs="Times New Roman"/>
          <w:sz w:val="24"/>
          <w:szCs w:val="24"/>
        </w:rPr>
        <w:t xml:space="preserve"> to reduce the nation</w:t>
      </w:r>
      <w:r w:rsidR="00031FA8">
        <w:rPr>
          <w:rFonts w:ascii="Times New Roman" w:hAnsi="Times New Roman" w:cs="Times New Roman"/>
          <w:sz w:val="24"/>
          <w:szCs w:val="24"/>
        </w:rPr>
        <w:t>’s</w:t>
      </w:r>
      <w:r>
        <w:rPr>
          <w:rFonts w:ascii="Times New Roman" w:hAnsi="Times New Roman" w:cs="Times New Roman"/>
          <w:sz w:val="24"/>
          <w:szCs w:val="24"/>
        </w:rPr>
        <w:t xml:space="preserve"> GDP by about twice as much as the destruction of </w:t>
      </w:r>
      <w:r w:rsidRPr="00153E35">
        <w:rPr>
          <w:rFonts w:ascii="Times New Roman" w:hAnsi="Times New Roman" w:cs="Times New Roman"/>
          <w:i/>
          <w:sz w:val="24"/>
          <w:szCs w:val="24"/>
        </w:rPr>
        <w:t>x</w:t>
      </w:r>
      <w:r>
        <w:rPr>
          <w:rFonts w:ascii="Times New Roman" w:hAnsi="Times New Roman" w:cs="Times New Roman"/>
          <w:sz w:val="24"/>
          <w:szCs w:val="24"/>
        </w:rPr>
        <w:t xml:space="preserve"> per cent of the capital in a congressional district </w:t>
      </w:r>
      <w:r w:rsidR="00E87FC0">
        <w:rPr>
          <w:rFonts w:ascii="Times New Roman" w:hAnsi="Times New Roman" w:cs="Times New Roman"/>
          <w:sz w:val="24"/>
          <w:szCs w:val="24"/>
        </w:rPr>
        <w:t>with $75 billion worth of capital</w:t>
      </w:r>
      <w:r>
        <w:rPr>
          <w:rFonts w:ascii="Times New Roman" w:hAnsi="Times New Roman" w:cs="Times New Roman"/>
          <w:sz w:val="24"/>
          <w:szCs w:val="24"/>
        </w:rPr>
        <w:t xml:space="preserve">.  This leads us to the idea of relevant variables.  </w:t>
      </w:r>
    </w:p>
    <w:p w:rsidR="000418E3" w:rsidRDefault="000418E3" w:rsidP="000418E3">
      <w:pPr>
        <w:rPr>
          <w:rFonts w:ascii="Times New Roman" w:hAnsi="Times New Roman" w:cs="Times New Roman"/>
          <w:sz w:val="24"/>
          <w:szCs w:val="24"/>
        </w:rPr>
      </w:pPr>
      <w:r>
        <w:rPr>
          <w:rFonts w:ascii="Times New Roman" w:hAnsi="Times New Roman" w:cs="Times New Roman"/>
          <w:sz w:val="24"/>
          <w:szCs w:val="24"/>
        </w:rPr>
        <w:t>For each s</w:t>
      </w:r>
      <w:r w:rsidR="005C3039">
        <w:rPr>
          <w:rFonts w:ascii="Times New Roman" w:hAnsi="Times New Roman" w:cs="Times New Roman"/>
          <w:sz w:val="24"/>
          <w:szCs w:val="24"/>
        </w:rPr>
        <w:t>, v</w:t>
      </w:r>
      <w:r>
        <w:rPr>
          <w:rFonts w:ascii="Times New Roman" w:hAnsi="Times New Roman" w:cs="Times New Roman"/>
          <w:sz w:val="24"/>
          <w:szCs w:val="24"/>
        </w:rPr>
        <w:t xml:space="preserve"> and </w:t>
      </w:r>
      <w:r w:rsidR="005C3039">
        <w:rPr>
          <w:rFonts w:ascii="Times New Roman" w:hAnsi="Times New Roman" w:cs="Times New Roman"/>
          <w:sz w:val="24"/>
          <w:szCs w:val="24"/>
        </w:rPr>
        <w:t>A</w:t>
      </w:r>
      <w:r>
        <w:rPr>
          <w:rFonts w:ascii="Times New Roman" w:hAnsi="Times New Roman" w:cs="Times New Roman"/>
          <w:sz w:val="24"/>
          <w:szCs w:val="24"/>
        </w:rPr>
        <w:t>, can we find an observable variable RV(s,d,v) for which there exist</w:t>
      </w:r>
      <w:r w:rsidR="000F73A8">
        <w:rPr>
          <w:rFonts w:ascii="Times New Roman" w:hAnsi="Times New Roman" w:cs="Times New Roman"/>
          <w:sz w:val="24"/>
          <w:szCs w:val="24"/>
        </w:rPr>
        <w:t>s</w:t>
      </w:r>
      <w:r>
        <w:rPr>
          <w:rFonts w:ascii="Times New Roman" w:hAnsi="Times New Roman" w:cs="Times New Roman"/>
          <w:sz w:val="24"/>
          <w:szCs w:val="24"/>
        </w:rPr>
        <w:t xml:space="preserve"> </w:t>
      </w:r>
      <w:r w:rsidR="000F73A8">
        <w:rPr>
          <w:rFonts w:ascii="Times New Roman" w:hAnsi="Times New Roman" w:cs="Times New Roman"/>
          <w:sz w:val="24"/>
          <w:szCs w:val="24"/>
        </w:rPr>
        <w:t xml:space="preserve">a </w:t>
      </w:r>
      <w:r>
        <w:rPr>
          <w:rFonts w:ascii="Times New Roman" w:hAnsi="Times New Roman" w:cs="Times New Roman"/>
          <w:sz w:val="24"/>
          <w:szCs w:val="24"/>
        </w:rPr>
        <w:t>coefficient</w:t>
      </w:r>
      <w:r w:rsidR="000F73A8">
        <w:rPr>
          <w:rFonts w:ascii="Times New Roman" w:hAnsi="Times New Roman" w:cs="Times New Roman"/>
          <w:sz w:val="24"/>
          <w:szCs w:val="24"/>
        </w:rPr>
        <w:t>,</w:t>
      </w:r>
      <w:r>
        <w:rPr>
          <w:rFonts w:ascii="Times New Roman" w:hAnsi="Times New Roman" w:cs="Times New Roman"/>
          <w:sz w:val="24"/>
          <w:szCs w:val="24"/>
        </w:rPr>
        <w:t xml:space="preserve"> C</w:t>
      </w:r>
      <w:r w:rsidR="005C3039">
        <w:rPr>
          <w:rFonts w:ascii="Times New Roman" w:hAnsi="Times New Roman" w:cs="Times New Roman"/>
          <w:sz w:val="24"/>
          <w:szCs w:val="24"/>
          <w:vertAlign w:val="subscript"/>
        </w:rPr>
        <w:t>A</w:t>
      </w:r>
      <w:r>
        <w:rPr>
          <w:rFonts w:ascii="Times New Roman" w:hAnsi="Times New Roman" w:cs="Times New Roman"/>
          <w:sz w:val="24"/>
          <w:szCs w:val="24"/>
        </w:rPr>
        <w:t>(s,v), independent of d, such that:</w:t>
      </w:r>
    </w:p>
    <w:p w:rsidR="000418E3" w:rsidRDefault="005C3039" w:rsidP="000418E3">
      <w:pPr>
        <w:pStyle w:val="ListParagraph"/>
        <w:tabs>
          <w:tab w:val="left" w:pos="540"/>
          <w:tab w:val="right" w:pos="8820"/>
        </w:tabs>
        <w:ind w:left="0" w:firstLine="540"/>
        <w:contextualSpacing w:val="0"/>
        <w:rPr>
          <w:rFonts w:ascii="Times New Roman" w:hAnsi="Times New Roman" w:cs="Times New Roman"/>
          <w:sz w:val="24"/>
          <w:szCs w:val="24"/>
        </w:rPr>
      </w:pPr>
      <w:r w:rsidRPr="005C3039">
        <w:rPr>
          <w:rFonts w:ascii="Times New Roman" w:hAnsi="Times New Roman" w:cs="Times New Roman"/>
          <w:position w:val="-12"/>
          <w:sz w:val="24"/>
          <w:szCs w:val="24"/>
        </w:rPr>
        <w:object w:dxaOrig="3240" w:dyaOrig="360">
          <v:shape id="_x0000_i1035" type="#_x0000_t75" style="width:165.6pt;height:21.6pt" o:ole="">
            <v:imagedata r:id="rId12" o:title=""/>
          </v:shape>
          <o:OLEObject Type="Embed" ProgID="Equation.DSMT4" ShapeID="_x0000_i1035" DrawAspect="Content" ObjectID="_1553159843" r:id="rId32"/>
        </w:object>
      </w:r>
      <w:r w:rsidR="000418E3">
        <w:rPr>
          <w:rFonts w:ascii="Times New Roman" w:hAnsi="Times New Roman" w:cs="Times New Roman"/>
          <w:sz w:val="24"/>
          <w:szCs w:val="24"/>
        </w:rPr>
        <w:t xml:space="preserve">    for all d</w:t>
      </w:r>
      <w:r w:rsidR="00FD5099">
        <w:rPr>
          <w:rFonts w:ascii="Times New Roman" w:hAnsi="Times New Roman" w:cs="Times New Roman"/>
          <w:sz w:val="24"/>
          <w:szCs w:val="24"/>
        </w:rPr>
        <w:t>?</w:t>
      </w:r>
      <w:r w:rsidR="000418E3">
        <w:rPr>
          <w:rFonts w:ascii="Times New Roman" w:hAnsi="Times New Roman" w:cs="Times New Roman"/>
          <w:sz w:val="24"/>
          <w:szCs w:val="24"/>
        </w:rPr>
        <w:tab/>
        <w:t>(</w:t>
      </w:r>
      <w:r w:rsidR="000B4FE3">
        <w:rPr>
          <w:rFonts w:ascii="Times New Roman" w:hAnsi="Times New Roman" w:cs="Times New Roman"/>
          <w:sz w:val="24"/>
          <w:szCs w:val="24"/>
        </w:rPr>
        <w:t>6.1</w:t>
      </w:r>
      <w:r w:rsidR="000418E3">
        <w:rPr>
          <w:rFonts w:ascii="Times New Roman" w:hAnsi="Times New Roman" w:cs="Times New Roman"/>
          <w:sz w:val="24"/>
          <w:szCs w:val="24"/>
        </w:rPr>
        <w:t>)</w:t>
      </w:r>
    </w:p>
    <w:p w:rsidR="000418E3" w:rsidRDefault="000418E3" w:rsidP="000418E3">
      <w:pPr>
        <w:rPr>
          <w:rFonts w:ascii="Times New Roman" w:hAnsi="Times New Roman" w:cs="Times New Roman"/>
          <w:sz w:val="24"/>
          <w:szCs w:val="24"/>
        </w:rPr>
      </w:pPr>
      <w:r>
        <w:rPr>
          <w:rFonts w:ascii="Times New Roman" w:hAnsi="Times New Roman" w:cs="Times New Roman"/>
          <w:sz w:val="24"/>
          <w:szCs w:val="24"/>
        </w:rPr>
        <w:t xml:space="preserve">We refer </w:t>
      </w:r>
      <w:r w:rsidR="00FD5099">
        <w:rPr>
          <w:rFonts w:ascii="Times New Roman" w:hAnsi="Times New Roman" w:cs="Times New Roman"/>
          <w:sz w:val="24"/>
          <w:szCs w:val="24"/>
        </w:rPr>
        <w:t xml:space="preserve">to RV as a relevant variable.  The idea of the relevant variable is to capture data differences across regions </w:t>
      </w:r>
      <w:r w:rsidR="008B2DE3">
        <w:rPr>
          <w:rFonts w:ascii="Times New Roman" w:hAnsi="Times New Roman" w:cs="Times New Roman"/>
          <w:sz w:val="24"/>
          <w:szCs w:val="24"/>
        </w:rPr>
        <w:t xml:space="preserve">that explain elasticity differences across regions. </w:t>
      </w:r>
      <w:r w:rsidR="008B2DE3">
        <w:rPr>
          <w:rStyle w:val="FootnoteReference"/>
          <w:rFonts w:ascii="Times New Roman" w:hAnsi="Times New Roman" w:cs="Times New Roman"/>
          <w:sz w:val="24"/>
          <w:szCs w:val="24"/>
        </w:rPr>
        <w:footnoteReference w:id="22"/>
      </w:r>
      <w:r w:rsidR="008B2DE3">
        <w:rPr>
          <w:rFonts w:ascii="Times New Roman" w:hAnsi="Times New Roman" w:cs="Times New Roman"/>
          <w:sz w:val="24"/>
          <w:szCs w:val="24"/>
        </w:rPr>
        <w:t xml:space="preserve"> </w:t>
      </w:r>
      <w:r w:rsidR="000F73A8">
        <w:rPr>
          <w:rFonts w:ascii="Times New Roman" w:hAnsi="Times New Roman" w:cs="Times New Roman"/>
          <w:sz w:val="24"/>
          <w:szCs w:val="24"/>
        </w:rPr>
        <w:t xml:space="preserve"> </w:t>
      </w:r>
      <w:r w:rsidR="00FD5099">
        <w:rPr>
          <w:rFonts w:ascii="Times New Roman" w:hAnsi="Times New Roman" w:cs="Times New Roman"/>
          <w:sz w:val="24"/>
          <w:szCs w:val="24"/>
        </w:rPr>
        <w:t>I</w:t>
      </w:r>
      <w:r>
        <w:rPr>
          <w:rFonts w:ascii="Times New Roman" w:hAnsi="Times New Roman" w:cs="Times New Roman"/>
          <w:sz w:val="24"/>
          <w:szCs w:val="24"/>
        </w:rPr>
        <w:t xml:space="preserve">f a relevant variable exists for s and v, and we know </w:t>
      </w:r>
      <w:r w:rsidR="000F73A8">
        <w:rPr>
          <w:rFonts w:ascii="Times New Roman" w:hAnsi="Times New Roman" w:cs="Times New Roman"/>
          <w:sz w:val="24"/>
          <w:szCs w:val="24"/>
        </w:rPr>
        <w:t>the</w:t>
      </w:r>
      <w:r>
        <w:rPr>
          <w:rFonts w:ascii="Times New Roman" w:hAnsi="Times New Roman" w:cs="Times New Roman"/>
          <w:sz w:val="24"/>
          <w:szCs w:val="24"/>
        </w:rPr>
        <w:t xml:space="preserve"> value for a particular d </w:t>
      </w:r>
      <w:r w:rsidR="000F73A8">
        <w:rPr>
          <w:rFonts w:ascii="Times New Roman" w:hAnsi="Times New Roman" w:cs="Times New Roman"/>
          <w:sz w:val="24"/>
          <w:szCs w:val="24"/>
        </w:rPr>
        <w:t xml:space="preserve">of </w:t>
      </w:r>
      <w:r>
        <w:rPr>
          <w:rFonts w:ascii="Times New Roman" w:hAnsi="Times New Roman" w:cs="Times New Roman"/>
          <w:sz w:val="24"/>
          <w:szCs w:val="24"/>
        </w:rPr>
        <w:t>the elasticity, E</w:t>
      </w:r>
      <w:r w:rsidR="005C3039">
        <w:rPr>
          <w:rFonts w:ascii="Times New Roman" w:hAnsi="Times New Roman" w:cs="Times New Roman"/>
          <w:sz w:val="24"/>
          <w:szCs w:val="24"/>
          <w:vertAlign w:val="subscript"/>
        </w:rPr>
        <w:t>A</w:t>
      </w:r>
      <w:r>
        <w:rPr>
          <w:rFonts w:ascii="Times New Roman" w:hAnsi="Times New Roman" w:cs="Times New Roman"/>
          <w:sz w:val="24"/>
          <w:szCs w:val="24"/>
        </w:rPr>
        <w:t>(s,d,v), then we can deduce the value of the coefficient C</w:t>
      </w:r>
      <w:r w:rsidR="005C3039">
        <w:rPr>
          <w:rFonts w:ascii="Times New Roman" w:hAnsi="Times New Roman" w:cs="Times New Roman"/>
          <w:sz w:val="24"/>
          <w:szCs w:val="24"/>
          <w:vertAlign w:val="subscript"/>
        </w:rPr>
        <w:t>A</w:t>
      </w:r>
      <w:r>
        <w:rPr>
          <w:rFonts w:ascii="Times New Roman" w:hAnsi="Times New Roman" w:cs="Times New Roman"/>
          <w:sz w:val="24"/>
          <w:szCs w:val="24"/>
        </w:rPr>
        <w:t>(s,v).  From there we can compute E</w:t>
      </w:r>
      <w:r w:rsidR="005C3039">
        <w:rPr>
          <w:rFonts w:ascii="Times New Roman" w:hAnsi="Times New Roman" w:cs="Times New Roman"/>
          <w:sz w:val="24"/>
          <w:szCs w:val="24"/>
          <w:vertAlign w:val="subscript"/>
        </w:rPr>
        <w:t>A</w:t>
      </w:r>
      <w:r>
        <w:rPr>
          <w:rFonts w:ascii="Times New Roman" w:hAnsi="Times New Roman" w:cs="Times New Roman"/>
          <w:sz w:val="24"/>
          <w:szCs w:val="24"/>
        </w:rPr>
        <w:t xml:space="preserve">(s,d,v) for all d.  </w:t>
      </w:r>
    </w:p>
    <w:p w:rsidR="000418E3" w:rsidRDefault="000418E3" w:rsidP="000418E3">
      <w:pPr>
        <w:rPr>
          <w:rFonts w:ascii="Times New Roman" w:hAnsi="Times New Roman" w:cs="Times New Roman"/>
          <w:sz w:val="24"/>
          <w:szCs w:val="24"/>
        </w:rPr>
      </w:pPr>
      <w:r>
        <w:rPr>
          <w:rFonts w:ascii="Times New Roman" w:hAnsi="Times New Roman" w:cs="Times New Roman"/>
          <w:sz w:val="24"/>
          <w:szCs w:val="24"/>
        </w:rPr>
        <w:t xml:space="preserve">To clarify, we consider the example of s equals capital destruction and v equals GDP.  As we have already suggested it is reasonable to suppose that the elasticity of the nation’s GDP in year 1 with respect to capital destruction in any congressional district is proportional to the amount of capital in that district, that is, there exists a factor of proportionality, which we can denote by C, such that  </w:t>
      </w:r>
    </w:p>
    <w:p w:rsidR="000418E3" w:rsidRDefault="000F73A8" w:rsidP="000418E3">
      <w:pPr>
        <w:pStyle w:val="ListParagraph"/>
        <w:tabs>
          <w:tab w:val="left" w:pos="0"/>
          <w:tab w:val="right" w:pos="8820"/>
        </w:tabs>
        <w:ind w:left="0"/>
        <w:contextualSpacing w:val="0"/>
        <w:rPr>
          <w:rFonts w:ascii="Times New Roman" w:hAnsi="Times New Roman" w:cs="Times New Roman"/>
          <w:sz w:val="24"/>
          <w:szCs w:val="24"/>
        </w:rPr>
      </w:pPr>
      <w:r w:rsidRPr="005C3039">
        <w:rPr>
          <w:rFonts w:ascii="Times New Roman" w:hAnsi="Times New Roman" w:cs="Times New Roman"/>
          <w:position w:val="-12"/>
          <w:sz w:val="24"/>
          <w:szCs w:val="24"/>
        </w:rPr>
        <w:object w:dxaOrig="7119" w:dyaOrig="360">
          <v:shape id="_x0000_i1036" type="#_x0000_t75" style="width:352.8pt;height:21.6pt" o:ole="">
            <v:imagedata r:id="rId33" o:title=""/>
          </v:shape>
          <o:OLEObject Type="Embed" ProgID="Equation.DSMT4" ShapeID="_x0000_i1036" DrawAspect="Content" ObjectID="_1553159844" r:id="rId34"/>
        </w:object>
      </w:r>
      <w:r w:rsidR="000418E3">
        <w:rPr>
          <w:rFonts w:ascii="Times New Roman" w:hAnsi="Times New Roman" w:cs="Times New Roman"/>
          <w:sz w:val="24"/>
          <w:szCs w:val="24"/>
        </w:rPr>
        <w:t xml:space="preserve">    </w:t>
      </w:r>
    </w:p>
    <w:p w:rsidR="000418E3" w:rsidRDefault="000418E3" w:rsidP="00810505">
      <w:pPr>
        <w:pStyle w:val="ListParagraph"/>
        <w:tabs>
          <w:tab w:val="left" w:pos="0"/>
          <w:tab w:val="center" w:pos="7020"/>
          <w:tab w:val="right" w:pos="8820"/>
        </w:tabs>
        <w:spacing w:before="0"/>
        <w:ind w:left="0"/>
        <w:contextualSpacing w:val="0"/>
        <w:rPr>
          <w:rFonts w:ascii="Times New Roman" w:hAnsi="Times New Roman" w:cs="Times New Roman"/>
          <w:sz w:val="24"/>
          <w:szCs w:val="24"/>
        </w:rPr>
      </w:pPr>
      <w:r>
        <w:rPr>
          <w:rFonts w:ascii="Times New Roman" w:hAnsi="Times New Roman" w:cs="Times New Roman"/>
          <w:sz w:val="24"/>
          <w:szCs w:val="24"/>
        </w:rPr>
        <w:tab/>
      </w:r>
      <w:r w:rsidR="00325CE7">
        <w:rPr>
          <w:rFonts w:ascii="Times New Roman" w:hAnsi="Times New Roman" w:cs="Times New Roman"/>
          <w:sz w:val="24"/>
          <w:szCs w:val="24"/>
        </w:rPr>
        <w:t>f</w:t>
      </w:r>
      <w:r>
        <w:rPr>
          <w:rFonts w:ascii="Times New Roman" w:hAnsi="Times New Roman" w:cs="Times New Roman"/>
          <w:sz w:val="24"/>
          <w:szCs w:val="24"/>
        </w:rPr>
        <w:t>or all d</w:t>
      </w:r>
      <w:r>
        <w:rPr>
          <w:rFonts w:ascii="Times New Roman" w:hAnsi="Times New Roman" w:cs="Times New Roman"/>
          <w:sz w:val="24"/>
          <w:szCs w:val="24"/>
        </w:rPr>
        <w:tab/>
        <w:t>(</w:t>
      </w:r>
      <w:r w:rsidR="000B4FE3">
        <w:rPr>
          <w:rFonts w:ascii="Times New Roman" w:hAnsi="Times New Roman" w:cs="Times New Roman"/>
          <w:sz w:val="24"/>
          <w:szCs w:val="24"/>
        </w:rPr>
        <w:t>6.2</w:t>
      </w:r>
      <w:r>
        <w:rPr>
          <w:rFonts w:ascii="Times New Roman" w:hAnsi="Times New Roman" w:cs="Times New Roman"/>
          <w:sz w:val="24"/>
          <w:szCs w:val="24"/>
        </w:rPr>
        <w:t>)</w:t>
      </w:r>
    </w:p>
    <w:p w:rsidR="000418E3" w:rsidRDefault="000418E3" w:rsidP="000418E3">
      <w:pPr>
        <w:spacing w:before="0"/>
        <w:rPr>
          <w:rFonts w:ascii="Times New Roman" w:hAnsi="Times New Roman" w:cs="Times New Roman"/>
          <w:sz w:val="24"/>
          <w:szCs w:val="24"/>
        </w:rPr>
      </w:pPr>
      <w:r>
        <w:rPr>
          <w:rFonts w:ascii="Times New Roman" w:hAnsi="Times New Roman" w:cs="Times New Roman"/>
          <w:sz w:val="24"/>
          <w:szCs w:val="24"/>
        </w:rPr>
        <w:t xml:space="preserve">where </w:t>
      </w:r>
    </w:p>
    <w:p w:rsidR="000418E3" w:rsidRDefault="000418E3" w:rsidP="000418E3">
      <w:pPr>
        <w:spacing w:before="0"/>
        <w:ind w:left="360"/>
        <w:rPr>
          <w:rFonts w:ascii="Times New Roman" w:hAnsi="Times New Roman" w:cs="Times New Roman"/>
          <w:sz w:val="24"/>
          <w:szCs w:val="24"/>
        </w:rPr>
      </w:pPr>
      <w:r>
        <w:rPr>
          <w:rFonts w:ascii="Times New Roman" w:hAnsi="Times New Roman" w:cs="Times New Roman"/>
          <w:sz w:val="24"/>
          <w:szCs w:val="24"/>
        </w:rPr>
        <w:t>E</w:t>
      </w:r>
      <w:r w:rsidR="005C3039">
        <w:rPr>
          <w:rFonts w:ascii="Times New Roman" w:hAnsi="Times New Roman" w:cs="Times New Roman"/>
          <w:sz w:val="24"/>
          <w:szCs w:val="24"/>
          <w:vertAlign w:val="subscript"/>
        </w:rPr>
        <w:t>A</w:t>
      </w:r>
      <w:r>
        <w:rPr>
          <w:rFonts w:ascii="Times New Roman" w:hAnsi="Times New Roman" w:cs="Times New Roman"/>
          <w:sz w:val="24"/>
          <w:szCs w:val="24"/>
        </w:rPr>
        <w:t>(K-destruct,d,</w:t>
      </w:r>
      <w:r w:rsidR="000F73A8">
        <w:rPr>
          <w:rFonts w:ascii="Times New Roman" w:hAnsi="Times New Roman" w:cs="Times New Roman"/>
          <w:sz w:val="24"/>
          <w:szCs w:val="24"/>
        </w:rPr>
        <w:t xml:space="preserve"> </w:t>
      </w:r>
      <w:r>
        <w:rPr>
          <w:rFonts w:ascii="Times New Roman" w:hAnsi="Times New Roman" w:cs="Times New Roman"/>
          <w:sz w:val="24"/>
          <w:szCs w:val="24"/>
        </w:rPr>
        <w:t>GDP) is the elasticity of GDP in year 1 with respect to capital destruction in region d</w:t>
      </w:r>
      <w:r w:rsidR="00B812E1">
        <w:rPr>
          <w:rFonts w:ascii="Times New Roman" w:hAnsi="Times New Roman" w:cs="Times New Roman"/>
          <w:sz w:val="24"/>
          <w:szCs w:val="24"/>
        </w:rPr>
        <w:t xml:space="preserve"> under assumption A</w:t>
      </w:r>
      <w:r>
        <w:rPr>
          <w:rFonts w:ascii="Times New Roman" w:hAnsi="Times New Roman" w:cs="Times New Roman"/>
          <w:sz w:val="24"/>
          <w:szCs w:val="24"/>
        </w:rPr>
        <w:t>;</w:t>
      </w:r>
    </w:p>
    <w:p w:rsidR="000418E3" w:rsidRDefault="000418E3" w:rsidP="000418E3">
      <w:pPr>
        <w:spacing w:before="0"/>
        <w:ind w:left="360"/>
        <w:rPr>
          <w:rFonts w:ascii="Times New Roman" w:hAnsi="Times New Roman" w:cs="Times New Roman"/>
          <w:sz w:val="24"/>
          <w:szCs w:val="24"/>
        </w:rPr>
      </w:pPr>
      <w:r>
        <w:rPr>
          <w:rFonts w:ascii="Times New Roman" w:hAnsi="Times New Roman" w:cs="Times New Roman"/>
          <w:sz w:val="24"/>
          <w:szCs w:val="24"/>
        </w:rPr>
        <w:t>RV(K-destruct,d,GDP) is the quantity of capital in region d, or more conveniently the s</w:t>
      </w:r>
      <w:r w:rsidR="00810505">
        <w:rPr>
          <w:rFonts w:ascii="Times New Roman" w:hAnsi="Times New Roman" w:cs="Times New Roman"/>
          <w:sz w:val="24"/>
          <w:szCs w:val="24"/>
        </w:rPr>
        <w:t>hare</w:t>
      </w:r>
      <w:r>
        <w:rPr>
          <w:rFonts w:ascii="Times New Roman" w:hAnsi="Times New Roman" w:cs="Times New Roman"/>
          <w:sz w:val="24"/>
          <w:szCs w:val="24"/>
        </w:rPr>
        <w:t xml:space="preserve"> of the nation’s capital that is located in region d; and</w:t>
      </w:r>
    </w:p>
    <w:p w:rsidR="000418E3" w:rsidRDefault="000418E3" w:rsidP="000418E3">
      <w:pPr>
        <w:spacing w:before="0"/>
        <w:ind w:left="360"/>
        <w:rPr>
          <w:rFonts w:ascii="Times New Roman" w:hAnsi="Times New Roman" w:cs="Times New Roman"/>
          <w:sz w:val="24"/>
          <w:szCs w:val="24"/>
        </w:rPr>
      </w:pPr>
      <w:r>
        <w:rPr>
          <w:rFonts w:ascii="Times New Roman" w:hAnsi="Times New Roman" w:cs="Times New Roman"/>
          <w:sz w:val="24"/>
          <w:szCs w:val="24"/>
        </w:rPr>
        <w:t>C</w:t>
      </w:r>
      <w:r w:rsidR="005C3039">
        <w:rPr>
          <w:rFonts w:ascii="Times New Roman" w:hAnsi="Times New Roman" w:cs="Times New Roman"/>
          <w:sz w:val="24"/>
          <w:szCs w:val="24"/>
          <w:vertAlign w:val="subscript"/>
        </w:rPr>
        <w:t>A</w:t>
      </w:r>
      <w:r>
        <w:rPr>
          <w:rFonts w:ascii="Times New Roman" w:hAnsi="Times New Roman" w:cs="Times New Roman"/>
          <w:sz w:val="24"/>
          <w:szCs w:val="24"/>
        </w:rPr>
        <w:t>(K-destruct, GDP) is the factor of proportionality</w:t>
      </w:r>
      <w:r w:rsidR="00B812E1">
        <w:rPr>
          <w:rFonts w:ascii="Times New Roman" w:hAnsi="Times New Roman" w:cs="Times New Roman"/>
          <w:sz w:val="24"/>
          <w:szCs w:val="24"/>
        </w:rPr>
        <w:t xml:space="preserve"> under assumption A</w:t>
      </w:r>
      <w:r>
        <w:rPr>
          <w:rFonts w:ascii="Times New Roman" w:hAnsi="Times New Roman" w:cs="Times New Roman"/>
          <w:sz w:val="24"/>
          <w:szCs w:val="24"/>
        </w:rPr>
        <w:t xml:space="preserve">.  </w:t>
      </w:r>
    </w:p>
    <w:p w:rsidR="000418E3" w:rsidRDefault="000418E3" w:rsidP="000418E3">
      <w:pPr>
        <w:spacing w:before="0"/>
        <w:rPr>
          <w:rFonts w:ascii="Times New Roman" w:hAnsi="Times New Roman" w:cs="Times New Roman"/>
          <w:sz w:val="24"/>
          <w:szCs w:val="24"/>
        </w:rPr>
      </w:pPr>
      <w:r>
        <w:rPr>
          <w:rFonts w:ascii="Times New Roman" w:hAnsi="Times New Roman" w:cs="Times New Roman"/>
          <w:sz w:val="24"/>
          <w:szCs w:val="24"/>
        </w:rPr>
        <w:t>If we have evaluated E</w:t>
      </w:r>
      <w:r w:rsidR="00B812E1">
        <w:rPr>
          <w:rFonts w:ascii="Times New Roman" w:hAnsi="Times New Roman" w:cs="Times New Roman"/>
          <w:sz w:val="24"/>
          <w:szCs w:val="24"/>
          <w:vertAlign w:val="subscript"/>
        </w:rPr>
        <w:t>A</w:t>
      </w:r>
      <w:r>
        <w:rPr>
          <w:rFonts w:ascii="Times New Roman" w:hAnsi="Times New Roman" w:cs="Times New Roman"/>
          <w:sz w:val="24"/>
          <w:szCs w:val="24"/>
        </w:rPr>
        <w:t xml:space="preserve"> for a particular d, say FL24, and we know the values of the RV’s, then we can evaluate C</w:t>
      </w:r>
      <w:r w:rsidR="00B812E1">
        <w:rPr>
          <w:rFonts w:ascii="Times New Roman" w:hAnsi="Times New Roman" w:cs="Times New Roman"/>
          <w:sz w:val="24"/>
          <w:szCs w:val="24"/>
          <w:vertAlign w:val="subscript"/>
        </w:rPr>
        <w:t>A</w:t>
      </w:r>
      <w:r>
        <w:rPr>
          <w:rFonts w:ascii="Times New Roman" w:hAnsi="Times New Roman" w:cs="Times New Roman"/>
          <w:sz w:val="24"/>
          <w:szCs w:val="24"/>
        </w:rPr>
        <w:t>(K-destruct, GDP)  as</w:t>
      </w:r>
    </w:p>
    <w:p w:rsidR="000418E3" w:rsidRDefault="00810505" w:rsidP="00810505">
      <w:pPr>
        <w:pStyle w:val="ListParagraph"/>
        <w:tabs>
          <w:tab w:val="left" w:pos="720"/>
          <w:tab w:val="right" w:pos="8820"/>
        </w:tabs>
        <w:ind w:left="0"/>
        <w:contextualSpacing w:val="0"/>
        <w:rPr>
          <w:rFonts w:ascii="Times New Roman" w:hAnsi="Times New Roman" w:cs="Times New Roman"/>
          <w:sz w:val="24"/>
          <w:szCs w:val="24"/>
        </w:rPr>
      </w:pPr>
      <w:r>
        <w:rPr>
          <w:rFonts w:ascii="Times New Roman" w:hAnsi="Times New Roman" w:cs="Times New Roman"/>
          <w:sz w:val="24"/>
          <w:szCs w:val="24"/>
        </w:rPr>
        <w:tab/>
      </w:r>
      <w:r w:rsidR="000F73A8" w:rsidRPr="001D4171">
        <w:rPr>
          <w:rFonts w:ascii="Times New Roman" w:hAnsi="Times New Roman" w:cs="Times New Roman"/>
          <w:position w:val="-28"/>
          <w:sz w:val="24"/>
          <w:szCs w:val="24"/>
        </w:rPr>
        <w:object w:dxaOrig="5120" w:dyaOrig="660">
          <v:shape id="_x0000_i1037" type="#_x0000_t75" style="width:252pt;height:36pt" o:ole="">
            <v:imagedata r:id="rId35" o:title=""/>
          </v:shape>
          <o:OLEObject Type="Embed" ProgID="Equation.DSMT4" ShapeID="_x0000_i1037" DrawAspect="Content" ObjectID="_1553159845" r:id="rId36"/>
        </w:object>
      </w:r>
      <w:r w:rsidR="000418E3">
        <w:rPr>
          <w:rFonts w:ascii="Times New Roman" w:hAnsi="Times New Roman" w:cs="Times New Roman"/>
          <w:sz w:val="24"/>
          <w:szCs w:val="24"/>
        </w:rPr>
        <w:t xml:space="preserve">    </w:t>
      </w:r>
      <w:r w:rsidR="000418E3">
        <w:rPr>
          <w:rFonts w:ascii="Times New Roman" w:hAnsi="Times New Roman" w:cs="Times New Roman"/>
          <w:sz w:val="24"/>
          <w:szCs w:val="24"/>
        </w:rPr>
        <w:tab/>
        <w:t>(</w:t>
      </w:r>
      <w:r w:rsidR="000B4FE3">
        <w:rPr>
          <w:rFonts w:ascii="Times New Roman" w:hAnsi="Times New Roman" w:cs="Times New Roman"/>
          <w:sz w:val="24"/>
          <w:szCs w:val="24"/>
        </w:rPr>
        <w:t>6.3</w:t>
      </w:r>
      <w:r w:rsidR="000418E3">
        <w:rPr>
          <w:rFonts w:ascii="Times New Roman" w:hAnsi="Times New Roman" w:cs="Times New Roman"/>
          <w:sz w:val="24"/>
          <w:szCs w:val="24"/>
        </w:rPr>
        <w:t>)</w:t>
      </w:r>
    </w:p>
    <w:p w:rsidR="000418E3" w:rsidRDefault="000418E3" w:rsidP="000418E3">
      <w:pPr>
        <w:pStyle w:val="ListParagraph"/>
        <w:tabs>
          <w:tab w:val="left" w:pos="0"/>
          <w:tab w:val="right" w:pos="8820"/>
        </w:tabs>
        <w:ind w:left="0"/>
        <w:contextualSpacing w:val="0"/>
        <w:rPr>
          <w:rFonts w:ascii="Times New Roman" w:hAnsi="Times New Roman" w:cs="Times New Roman"/>
          <w:sz w:val="24"/>
          <w:szCs w:val="24"/>
        </w:rPr>
      </w:pPr>
      <w:r>
        <w:rPr>
          <w:rFonts w:ascii="Times New Roman" w:hAnsi="Times New Roman" w:cs="Times New Roman"/>
          <w:sz w:val="24"/>
          <w:szCs w:val="24"/>
        </w:rPr>
        <w:t>allowing us to estimate E</w:t>
      </w:r>
      <w:r w:rsidR="00B812E1">
        <w:rPr>
          <w:rFonts w:ascii="Times New Roman" w:hAnsi="Times New Roman" w:cs="Times New Roman"/>
          <w:sz w:val="24"/>
          <w:szCs w:val="24"/>
          <w:vertAlign w:val="subscript"/>
        </w:rPr>
        <w:t>A</w:t>
      </w:r>
      <w:r>
        <w:rPr>
          <w:rFonts w:ascii="Times New Roman" w:hAnsi="Times New Roman" w:cs="Times New Roman"/>
          <w:sz w:val="24"/>
          <w:szCs w:val="24"/>
        </w:rPr>
        <w:t>(K-destruct,d,</w:t>
      </w:r>
      <w:r w:rsidR="000F73A8">
        <w:rPr>
          <w:rFonts w:ascii="Times New Roman" w:hAnsi="Times New Roman" w:cs="Times New Roman"/>
          <w:sz w:val="24"/>
          <w:szCs w:val="24"/>
        </w:rPr>
        <w:t xml:space="preserve"> </w:t>
      </w:r>
      <w:r>
        <w:rPr>
          <w:rFonts w:ascii="Times New Roman" w:hAnsi="Times New Roman" w:cs="Times New Roman"/>
          <w:sz w:val="24"/>
          <w:szCs w:val="24"/>
        </w:rPr>
        <w:t>GDP) for all d via (</w:t>
      </w:r>
      <w:r w:rsidR="000F73A8">
        <w:rPr>
          <w:rFonts w:ascii="Times New Roman" w:hAnsi="Times New Roman" w:cs="Times New Roman"/>
          <w:sz w:val="24"/>
          <w:szCs w:val="24"/>
        </w:rPr>
        <w:t>6.2</w:t>
      </w:r>
      <w:r>
        <w:rPr>
          <w:rFonts w:ascii="Times New Roman" w:hAnsi="Times New Roman" w:cs="Times New Roman"/>
          <w:sz w:val="24"/>
          <w:szCs w:val="24"/>
        </w:rPr>
        <w:t xml:space="preserve">).  </w:t>
      </w:r>
    </w:p>
    <w:p w:rsidR="000418E3" w:rsidRDefault="000418E3" w:rsidP="000418E3">
      <w:pPr>
        <w:pStyle w:val="ListParagraph"/>
        <w:tabs>
          <w:tab w:val="left" w:pos="0"/>
          <w:tab w:val="right" w:pos="8820"/>
        </w:tabs>
        <w:ind w:left="0"/>
        <w:contextualSpacing w:val="0"/>
        <w:rPr>
          <w:rFonts w:ascii="Times New Roman" w:hAnsi="Times New Roman" w:cs="Times New Roman"/>
          <w:sz w:val="24"/>
          <w:szCs w:val="24"/>
        </w:rPr>
      </w:pPr>
      <w:r>
        <w:rPr>
          <w:rFonts w:ascii="Times New Roman" w:hAnsi="Times New Roman" w:cs="Times New Roman"/>
          <w:sz w:val="24"/>
          <w:szCs w:val="24"/>
        </w:rPr>
        <w:t>How can we find relevant variables and how can we know that they are legitimate, that is have the proportionality property described in (</w:t>
      </w:r>
      <w:r w:rsidR="000F73A8">
        <w:rPr>
          <w:rFonts w:ascii="Times New Roman" w:hAnsi="Times New Roman" w:cs="Times New Roman"/>
          <w:sz w:val="24"/>
          <w:szCs w:val="24"/>
        </w:rPr>
        <w:t>6.1</w:t>
      </w:r>
      <w:r>
        <w:rPr>
          <w:rFonts w:ascii="Times New Roman" w:hAnsi="Times New Roman" w:cs="Times New Roman"/>
          <w:sz w:val="24"/>
          <w:szCs w:val="24"/>
        </w:rPr>
        <w:t>)?</w:t>
      </w:r>
    </w:p>
    <w:p w:rsidR="000418E3" w:rsidRDefault="000418E3" w:rsidP="000418E3">
      <w:pPr>
        <w:pStyle w:val="ListParagraph"/>
        <w:tabs>
          <w:tab w:val="left" w:pos="0"/>
          <w:tab w:val="right" w:pos="8820"/>
        </w:tabs>
        <w:ind w:left="0"/>
        <w:contextualSpacing w:val="0"/>
        <w:rPr>
          <w:rFonts w:ascii="Times New Roman" w:hAnsi="Times New Roman" w:cs="Times New Roman"/>
          <w:sz w:val="24"/>
          <w:szCs w:val="24"/>
        </w:rPr>
      </w:pPr>
      <w:r>
        <w:rPr>
          <w:rFonts w:ascii="Times New Roman" w:hAnsi="Times New Roman" w:cs="Times New Roman"/>
          <w:sz w:val="24"/>
          <w:szCs w:val="24"/>
        </w:rPr>
        <w:lastRenderedPageBreak/>
        <w:t xml:space="preserve">From our knowledge of the theory and data of USAGE-TERM we make guesses of relevant variables.  For example, we have guessed that </w:t>
      </w:r>
    </w:p>
    <w:p w:rsidR="000418E3" w:rsidRDefault="000418E3" w:rsidP="000418E3">
      <w:pPr>
        <w:pStyle w:val="ListParagraph"/>
        <w:tabs>
          <w:tab w:val="left" w:pos="720"/>
          <w:tab w:val="right" w:pos="8820"/>
        </w:tabs>
        <w:ind w:left="0"/>
        <w:contextualSpacing w:val="0"/>
        <w:rPr>
          <w:rFonts w:ascii="Times New Roman" w:hAnsi="Times New Roman" w:cs="Times New Roman"/>
          <w:sz w:val="24"/>
          <w:szCs w:val="24"/>
        </w:rPr>
      </w:pPr>
      <w:r>
        <w:rPr>
          <w:rFonts w:ascii="Times New Roman" w:hAnsi="Times New Roman" w:cs="Times New Roman"/>
          <w:sz w:val="24"/>
          <w:szCs w:val="24"/>
        </w:rPr>
        <w:tab/>
      </w:r>
      <w:r w:rsidR="000F73A8" w:rsidRPr="001D4171">
        <w:rPr>
          <w:rFonts w:ascii="Times New Roman" w:hAnsi="Times New Roman" w:cs="Times New Roman"/>
          <w:position w:val="-28"/>
          <w:sz w:val="24"/>
          <w:szCs w:val="24"/>
        </w:rPr>
        <w:object w:dxaOrig="4239" w:dyaOrig="660">
          <v:shape id="_x0000_i1038" type="#_x0000_t75" style="width:208.8pt;height:36pt" o:ole="">
            <v:imagedata r:id="rId37" o:title=""/>
          </v:shape>
          <o:OLEObject Type="Embed" ProgID="Equation.DSMT4" ShapeID="_x0000_i1038" DrawAspect="Content" ObjectID="_1553159846" r:id="rId38"/>
        </w:object>
      </w:r>
      <w:r>
        <w:rPr>
          <w:rFonts w:ascii="Times New Roman" w:hAnsi="Times New Roman" w:cs="Times New Roman"/>
          <w:sz w:val="24"/>
          <w:szCs w:val="24"/>
        </w:rPr>
        <w:t xml:space="preserve">    </w:t>
      </w:r>
      <w:r>
        <w:rPr>
          <w:rFonts w:ascii="Times New Roman" w:hAnsi="Times New Roman" w:cs="Times New Roman"/>
          <w:sz w:val="24"/>
          <w:szCs w:val="24"/>
        </w:rPr>
        <w:tab/>
        <w:t>(</w:t>
      </w:r>
      <w:r w:rsidR="000B4FE3">
        <w:rPr>
          <w:rFonts w:ascii="Times New Roman" w:hAnsi="Times New Roman" w:cs="Times New Roman"/>
          <w:sz w:val="24"/>
          <w:szCs w:val="24"/>
        </w:rPr>
        <w:t>6.4</w:t>
      </w:r>
      <w:r>
        <w:rPr>
          <w:rFonts w:ascii="Times New Roman" w:hAnsi="Times New Roman" w:cs="Times New Roman"/>
          <w:sz w:val="24"/>
          <w:szCs w:val="24"/>
        </w:rPr>
        <w:t>)</w:t>
      </w:r>
    </w:p>
    <w:p w:rsidR="000418E3" w:rsidRDefault="000418E3" w:rsidP="000418E3">
      <w:pPr>
        <w:spacing w:before="0"/>
        <w:rPr>
          <w:rFonts w:ascii="Times New Roman" w:hAnsi="Times New Roman" w:cs="Times New Roman"/>
          <w:sz w:val="24"/>
          <w:szCs w:val="24"/>
        </w:rPr>
      </w:pPr>
      <w:r>
        <w:rPr>
          <w:rFonts w:ascii="Times New Roman" w:hAnsi="Times New Roman" w:cs="Times New Roman"/>
          <w:sz w:val="24"/>
          <w:szCs w:val="24"/>
        </w:rPr>
        <w:t>is a legitimate relevant variable for s equals capital destruction and v equals GDP</w:t>
      </w:r>
    </w:p>
    <w:p w:rsidR="000418E3" w:rsidRDefault="000418E3" w:rsidP="000418E3">
      <w:pPr>
        <w:spacing w:before="0"/>
        <w:rPr>
          <w:rFonts w:ascii="Times New Roman" w:hAnsi="Times New Roman" w:cs="Times New Roman"/>
          <w:sz w:val="24"/>
          <w:szCs w:val="24"/>
        </w:rPr>
      </w:pPr>
      <w:r>
        <w:rPr>
          <w:rFonts w:ascii="Times New Roman" w:hAnsi="Times New Roman" w:cs="Times New Roman"/>
          <w:sz w:val="24"/>
          <w:szCs w:val="24"/>
        </w:rPr>
        <w:t xml:space="preserve">where </w:t>
      </w:r>
    </w:p>
    <w:p w:rsidR="000418E3" w:rsidRDefault="000418E3" w:rsidP="000418E3">
      <w:pPr>
        <w:spacing w:before="0"/>
        <w:ind w:left="360"/>
        <w:rPr>
          <w:rFonts w:ascii="Times New Roman" w:hAnsi="Times New Roman" w:cs="Times New Roman"/>
          <w:sz w:val="24"/>
          <w:szCs w:val="24"/>
        </w:rPr>
      </w:pPr>
      <w:r>
        <w:rPr>
          <w:rFonts w:ascii="Times New Roman" w:hAnsi="Times New Roman" w:cs="Times New Roman"/>
          <w:sz w:val="24"/>
          <w:szCs w:val="24"/>
        </w:rPr>
        <w:t>VAL_K(d) is the value of capital in region d; and</w:t>
      </w:r>
    </w:p>
    <w:p w:rsidR="000418E3" w:rsidRDefault="000418E3" w:rsidP="000418E3">
      <w:pPr>
        <w:spacing w:before="0"/>
        <w:ind w:left="360"/>
        <w:rPr>
          <w:rFonts w:ascii="Times New Roman" w:hAnsi="Times New Roman" w:cs="Times New Roman"/>
          <w:sz w:val="24"/>
          <w:szCs w:val="24"/>
        </w:rPr>
      </w:pPr>
      <w:r>
        <w:rPr>
          <w:rFonts w:ascii="Times New Roman" w:hAnsi="Times New Roman" w:cs="Times New Roman"/>
          <w:sz w:val="24"/>
          <w:szCs w:val="24"/>
        </w:rPr>
        <w:t xml:space="preserve">VAL_K_NAT is the value of capital in the nation.  </w:t>
      </w:r>
    </w:p>
    <w:p w:rsidR="000418E3" w:rsidRDefault="000418E3" w:rsidP="000418E3">
      <w:pPr>
        <w:spacing w:before="0"/>
        <w:rPr>
          <w:rFonts w:ascii="Times New Roman" w:hAnsi="Times New Roman" w:cs="Times New Roman"/>
          <w:sz w:val="24"/>
          <w:szCs w:val="24"/>
        </w:rPr>
      </w:pPr>
      <w:r>
        <w:rPr>
          <w:rFonts w:ascii="Times New Roman" w:hAnsi="Times New Roman" w:cs="Times New Roman"/>
          <w:sz w:val="24"/>
          <w:szCs w:val="24"/>
        </w:rPr>
        <w:t xml:space="preserve">To check the validity of </w:t>
      </w:r>
      <w:r w:rsidR="00325CE7">
        <w:rPr>
          <w:rFonts w:ascii="Times New Roman" w:hAnsi="Times New Roman" w:cs="Times New Roman"/>
          <w:sz w:val="24"/>
          <w:szCs w:val="24"/>
        </w:rPr>
        <w:t>the</w:t>
      </w:r>
      <w:r>
        <w:rPr>
          <w:rFonts w:ascii="Times New Roman" w:hAnsi="Times New Roman" w:cs="Times New Roman"/>
          <w:sz w:val="24"/>
          <w:szCs w:val="24"/>
        </w:rPr>
        <w:t xml:space="preserve"> guess</w:t>
      </w:r>
      <w:r w:rsidR="00325CE7">
        <w:rPr>
          <w:rFonts w:ascii="Times New Roman" w:hAnsi="Times New Roman" w:cs="Times New Roman"/>
          <w:sz w:val="24"/>
          <w:szCs w:val="24"/>
        </w:rPr>
        <w:t>es</w:t>
      </w:r>
      <w:r>
        <w:rPr>
          <w:rFonts w:ascii="Times New Roman" w:hAnsi="Times New Roman" w:cs="Times New Roman"/>
          <w:sz w:val="24"/>
          <w:szCs w:val="24"/>
        </w:rPr>
        <w:t xml:space="preserve"> for </w:t>
      </w:r>
      <w:r w:rsidR="00325CE7">
        <w:rPr>
          <w:rFonts w:ascii="Times New Roman" w:hAnsi="Times New Roman" w:cs="Times New Roman"/>
          <w:sz w:val="24"/>
          <w:szCs w:val="24"/>
        </w:rPr>
        <w:t>the</w:t>
      </w:r>
      <w:r>
        <w:rPr>
          <w:rFonts w:ascii="Times New Roman" w:hAnsi="Times New Roman" w:cs="Times New Roman"/>
          <w:sz w:val="24"/>
          <w:szCs w:val="24"/>
        </w:rPr>
        <w:t xml:space="preserve"> relevant variable for any s,v pair we can calculate</w:t>
      </w:r>
    </w:p>
    <w:p w:rsidR="000418E3" w:rsidRDefault="000418E3" w:rsidP="000418E3">
      <w:pPr>
        <w:pStyle w:val="ListParagraph"/>
        <w:tabs>
          <w:tab w:val="left" w:pos="720"/>
          <w:tab w:val="right" w:pos="8820"/>
        </w:tabs>
        <w:ind w:left="0"/>
        <w:contextualSpacing w:val="0"/>
        <w:rPr>
          <w:rFonts w:ascii="Times New Roman" w:hAnsi="Times New Roman" w:cs="Times New Roman"/>
          <w:sz w:val="24"/>
          <w:szCs w:val="24"/>
        </w:rPr>
      </w:pPr>
      <w:r>
        <w:rPr>
          <w:rFonts w:ascii="Times New Roman" w:hAnsi="Times New Roman" w:cs="Times New Roman"/>
          <w:sz w:val="24"/>
          <w:szCs w:val="24"/>
        </w:rPr>
        <w:tab/>
      </w:r>
      <w:r w:rsidR="00B812E1" w:rsidRPr="001D4171">
        <w:rPr>
          <w:rFonts w:ascii="Times New Roman" w:hAnsi="Times New Roman" w:cs="Times New Roman"/>
          <w:position w:val="-28"/>
          <w:sz w:val="24"/>
          <w:szCs w:val="24"/>
        </w:rPr>
        <w:object w:dxaOrig="3080" w:dyaOrig="720">
          <v:shape id="_x0000_i1039" type="#_x0000_t75" style="width:151.2pt;height:36pt" o:ole="">
            <v:imagedata r:id="rId39" o:title=""/>
          </v:shape>
          <o:OLEObject Type="Embed" ProgID="Equation.DSMT4" ShapeID="_x0000_i1039" DrawAspect="Content" ObjectID="_1553159847" r:id="rId40"/>
        </w:object>
      </w:r>
      <w:r>
        <w:rPr>
          <w:rFonts w:ascii="Times New Roman" w:hAnsi="Times New Roman" w:cs="Times New Roman"/>
          <w:sz w:val="24"/>
          <w:szCs w:val="24"/>
        </w:rPr>
        <w:t xml:space="preserve">    </w:t>
      </w:r>
      <w:r>
        <w:rPr>
          <w:rFonts w:ascii="Times New Roman" w:hAnsi="Times New Roman" w:cs="Times New Roman"/>
          <w:sz w:val="24"/>
          <w:szCs w:val="24"/>
        </w:rPr>
        <w:tab/>
        <w:t>(</w:t>
      </w:r>
      <w:r w:rsidR="000B4FE3">
        <w:rPr>
          <w:rFonts w:ascii="Times New Roman" w:hAnsi="Times New Roman" w:cs="Times New Roman"/>
          <w:sz w:val="24"/>
          <w:szCs w:val="24"/>
        </w:rPr>
        <w:t>6.5</w:t>
      </w:r>
      <w:r>
        <w:rPr>
          <w:rFonts w:ascii="Times New Roman" w:hAnsi="Times New Roman" w:cs="Times New Roman"/>
          <w:sz w:val="24"/>
          <w:szCs w:val="24"/>
        </w:rPr>
        <w:t>)</w:t>
      </w:r>
    </w:p>
    <w:p w:rsidR="000418E3" w:rsidRDefault="000418E3" w:rsidP="000418E3">
      <w:pPr>
        <w:pStyle w:val="ListParagraph"/>
        <w:tabs>
          <w:tab w:val="left" w:pos="720"/>
          <w:tab w:val="right" w:pos="8820"/>
        </w:tabs>
        <w:ind w:left="0"/>
        <w:contextualSpacing w:val="0"/>
        <w:rPr>
          <w:rFonts w:ascii="Times New Roman" w:hAnsi="Times New Roman" w:cs="Times New Roman"/>
          <w:sz w:val="24"/>
          <w:szCs w:val="24"/>
        </w:rPr>
      </w:pPr>
      <w:r>
        <w:rPr>
          <w:rFonts w:ascii="Times New Roman" w:hAnsi="Times New Roman" w:cs="Times New Roman"/>
          <w:sz w:val="24"/>
          <w:szCs w:val="24"/>
        </w:rPr>
        <w:tab/>
      </w:r>
      <w:r w:rsidR="00B812E1" w:rsidRPr="001D4171">
        <w:rPr>
          <w:rFonts w:ascii="Times New Roman" w:hAnsi="Times New Roman" w:cs="Times New Roman"/>
          <w:position w:val="-28"/>
          <w:sz w:val="24"/>
          <w:szCs w:val="24"/>
        </w:rPr>
        <w:object w:dxaOrig="3140" w:dyaOrig="720">
          <v:shape id="_x0000_i1040" type="#_x0000_t75" style="width:158.4pt;height:36pt" o:ole="">
            <v:imagedata r:id="rId41" o:title=""/>
          </v:shape>
          <o:OLEObject Type="Embed" ProgID="Equation.DSMT4" ShapeID="_x0000_i1040" DrawAspect="Content" ObjectID="_1553159848" r:id="rId42"/>
        </w:object>
      </w:r>
      <w:r>
        <w:rPr>
          <w:rFonts w:ascii="Times New Roman" w:hAnsi="Times New Roman" w:cs="Times New Roman"/>
          <w:sz w:val="24"/>
          <w:szCs w:val="24"/>
        </w:rPr>
        <w:t xml:space="preserve">    </w:t>
      </w:r>
      <w:r>
        <w:rPr>
          <w:rFonts w:ascii="Times New Roman" w:hAnsi="Times New Roman" w:cs="Times New Roman"/>
          <w:sz w:val="24"/>
          <w:szCs w:val="24"/>
        </w:rPr>
        <w:tab/>
        <w:t>(</w:t>
      </w:r>
      <w:r w:rsidR="000B4FE3">
        <w:rPr>
          <w:rFonts w:ascii="Times New Roman" w:hAnsi="Times New Roman" w:cs="Times New Roman"/>
          <w:sz w:val="24"/>
          <w:szCs w:val="24"/>
        </w:rPr>
        <w:t>6.6</w:t>
      </w:r>
      <w:r>
        <w:rPr>
          <w:rFonts w:ascii="Times New Roman" w:hAnsi="Times New Roman" w:cs="Times New Roman"/>
          <w:sz w:val="24"/>
          <w:szCs w:val="24"/>
        </w:rPr>
        <w:t>)</w:t>
      </w:r>
    </w:p>
    <w:p w:rsidR="000418E3" w:rsidRDefault="000418E3" w:rsidP="000418E3">
      <w:pPr>
        <w:pStyle w:val="ListParagraph"/>
        <w:tabs>
          <w:tab w:val="left" w:pos="720"/>
          <w:tab w:val="right" w:pos="8820"/>
        </w:tabs>
        <w:ind w:left="0"/>
        <w:contextualSpacing w:val="0"/>
        <w:rPr>
          <w:rFonts w:ascii="Times New Roman" w:hAnsi="Times New Roman" w:cs="Times New Roman"/>
          <w:sz w:val="24"/>
          <w:szCs w:val="24"/>
        </w:rPr>
      </w:pPr>
      <w:r>
        <w:rPr>
          <w:rFonts w:ascii="Times New Roman" w:hAnsi="Times New Roman" w:cs="Times New Roman"/>
          <w:sz w:val="24"/>
          <w:szCs w:val="24"/>
        </w:rPr>
        <w:tab/>
      </w:r>
      <w:r w:rsidR="00B812E1" w:rsidRPr="001D4171">
        <w:rPr>
          <w:rFonts w:ascii="Times New Roman" w:hAnsi="Times New Roman" w:cs="Times New Roman"/>
          <w:position w:val="-28"/>
          <w:sz w:val="24"/>
          <w:szCs w:val="24"/>
        </w:rPr>
        <w:object w:dxaOrig="3159" w:dyaOrig="700">
          <v:shape id="_x0000_i1041" type="#_x0000_t75" style="width:158.4pt;height:36pt" o:ole="">
            <v:imagedata r:id="rId43" o:title=""/>
          </v:shape>
          <o:OLEObject Type="Embed" ProgID="Equation.DSMT4" ShapeID="_x0000_i1041" DrawAspect="Content" ObjectID="_1553159849" r:id="rId44"/>
        </w:object>
      </w:r>
      <w:r>
        <w:rPr>
          <w:rFonts w:ascii="Times New Roman" w:hAnsi="Times New Roman" w:cs="Times New Roman"/>
          <w:sz w:val="24"/>
          <w:szCs w:val="24"/>
        </w:rPr>
        <w:t xml:space="preserve">    </w:t>
      </w:r>
      <w:r>
        <w:rPr>
          <w:rFonts w:ascii="Times New Roman" w:hAnsi="Times New Roman" w:cs="Times New Roman"/>
          <w:sz w:val="24"/>
          <w:szCs w:val="24"/>
        </w:rPr>
        <w:tab/>
        <w:t>(</w:t>
      </w:r>
      <w:r w:rsidR="000B4FE3">
        <w:rPr>
          <w:rFonts w:ascii="Times New Roman" w:hAnsi="Times New Roman" w:cs="Times New Roman"/>
          <w:sz w:val="24"/>
          <w:szCs w:val="24"/>
        </w:rPr>
        <w:t>6.7</w:t>
      </w:r>
      <w:r>
        <w:rPr>
          <w:rFonts w:ascii="Times New Roman" w:hAnsi="Times New Roman" w:cs="Times New Roman"/>
          <w:sz w:val="24"/>
          <w:szCs w:val="24"/>
        </w:rPr>
        <w:t>)</w:t>
      </w:r>
    </w:p>
    <w:p w:rsidR="00FF456A" w:rsidRDefault="00FF456A" w:rsidP="00FF456A">
      <w:pPr>
        <w:pStyle w:val="ListParagraph"/>
        <w:tabs>
          <w:tab w:val="left" w:pos="720"/>
          <w:tab w:val="right" w:pos="8820"/>
        </w:tabs>
        <w:ind w:left="0"/>
        <w:contextualSpacing w:val="0"/>
        <w:rPr>
          <w:rFonts w:ascii="Times New Roman" w:hAnsi="Times New Roman" w:cs="Times New Roman"/>
          <w:sz w:val="24"/>
          <w:szCs w:val="24"/>
        </w:rPr>
      </w:pPr>
      <w:r>
        <w:rPr>
          <w:rFonts w:ascii="Times New Roman" w:hAnsi="Times New Roman" w:cs="Times New Roman"/>
          <w:sz w:val="24"/>
          <w:szCs w:val="24"/>
        </w:rPr>
        <w:tab/>
      </w:r>
      <w:r w:rsidR="00B812E1" w:rsidRPr="00D9604C">
        <w:rPr>
          <w:rFonts w:ascii="Times New Roman" w:hAnsi="Times New Roman" w:cs="Times New Roman"/>
          <w:position w:val="-30"/>
          <w:sz w:val="24"/>
          <w:szCs w:val="24"/>
        </w:rPr>
        <w:object w:dxaOrig="3300" w:dyaOrig="720">
          <v:shape id="_x0000_i1042" type="#_x0000_t75" style="width:165.6pt;height:36pt" o:ole="">
            <v:imagedata r:id="rId45" o:title=""/>
          </v:shape>
          <o:OLEObject Type="Embed" ProgID="Equation.DSMT4" ShapeID="_x0000_i1042" DrawAspect="Content" ObjectID="_1553159850" r:id="rId46"/>
        </w:object>
      </w:r>
      <w:r>
        <w:rPr>
          <w:rFonts w:ascii="Times New Roman" w:hAnsi="Times New Roman" w:cs="Times New Roman"/>
          <w:sz w:val="24"/>
          <w:szCs w:val="24"/>
        </w:rPr>
        <w:t xml:space="preserve">    </w:t>
      </w:r>
      <w:r>
        <w:rPr>
          <w:rFonts w:ascii="Times New Roman" w:hAnsi="Times New Roman" w:cs="Times New Roman"/>
          <w:sz w:val="24"/>
          <w:szCs w:val="24"/>
        </w:rPr>
        <w:tab/>
        <w:t>(</w:t>
      </w:r>
      <w:r w:rsidR="000B4FE3">
        <w:rPr>
          <w:rFonts w:ascii="Times New Roman" w:hAnsi="Times New Roman" w:cs="Times New Roman"/>
          <w:sz w:val="24"/>
          <w:szCs w:val="24"/>
        </w:rPr>
        <w:t>6.8</w:t>
      </w:r>
      <w:r>
        <w:rPr>
          <w:rFonts w:ascii="Times New Roman" w:hAnsi="Times New Roman" w:cs="Times New Roman"/>
          <w:sz w:val="24"/>
          <w:szCs w:val="24"/>
        </w:rPr>
        <w:t>)</w:t>
      </w:r>
    </w:p>
    <w:p w:rsidR="000418E3" w:rsidRDefault="000418E3" w:rsidP="000418E3">
      <w:pPr>
        <w:spacing w:before="0"/>
        <w:rPr>
          <w:rFonts w:ascii="Times New Roman" w:hAnsi="Times New Roman" w:cs="Times New Roman"/>
          <w:sz w:val="24"/>
          <w:szCs w:val="24"/>
        </w:rPr>
      </w:pPr>
      <w:r>
        <w:rPr>
          <w:rFonts w:ascii="Times New Roman" w:hAnsi="Times New Roman" w:cs="Times New Roman"/>
          <w:sz w:val="24"/>
          <w:szCs w:val="24"/>
        </w:rPr>
        <w:t xml:space="preserve">where </w:t>
      </w:r>
    </w:p>
    <w:p w:rsidR="000418E3" w:rsidRDefault="00B812E1" w:rsidP="000418E3">
      <w:pPr>
        <w:spacing w:before="0"/>
        <w:ind w:left="360"/>
        <w:rPr>
          <w:rFonts w:ascii="Times New Roman" w:hAnsi="Times New Roman" w:cs="Times New Roman"/>
          <w:sz w:val="24"/>
          <w:szCs w:val="24"/>
        </w:rPr>
      </w:pPr>
      <w:r w:rsidRPr="00B812E1">
        <w:rPr>
          <w:rFonts w:ascii="Times New Roman" w:hAnsi="Times New Roman" w:cs="Times New Roman"/>
          <w:position w:val="-14"/>
          <w:sz w:val="24"/>
          <w:szCs w:val="24"/>
        </w:rPr>
        <w:object w:dxaOrig="1660" w:dyaOrig="400">
          <v:shape id="_x0000_i1043" type="#_x0000_t75" style="width:86.4pt;height:21.6pt" o:ole="">
            <v:imagedata r:id="rId47" o:title=""/>
          </v:shape>
          <o:OLEObject Type="Embed" ProgID="Equation.DSMT4" ShapeID="_x0000_i1043" DrawAspect="Content" ObjectID="_1553159851" r:id="rId48"/>
        </w:object>
      </w:r>
      <w:r w:rsidR="000418E3">
        <w:rPr>
          <w:rFonts w:ascii="Times New Roman" w:hAnsi="Times New Roman" w:cs="Times New Roman"/>
          <w:sz w:val="24"/>
          <w:szCs w:val="24"/>
        </w:rPr>
        <w:t xml:space="preserve">, </w:t>
      </w:r>
      <w:r w:rsidRPr="00B812E1">
        <w:rPr>
          <w:rFonts w:ascii="Times New Roman" w:hAnsi="Times New Roman" w:cs="Times New Roman"/>
          <w:b/>
          <w:position w:val="-14"/>
          <w:sz w:val="24"/>
          <w:szCs w:val="24"/>
        </w:rPr>
        <w:object w:dxaOrig="1700" w:dyaOrig="400">
          <v:shape id="_x0000_i1044" type="#_x0000_t75" style="width:86.4pt;height:21.6pt" o:ole="">
            <v:imagedata r:id="rId49" o:title=""/>
          </v:shape>
          <o:OLEObject Type="Embed" ProgID="Equation.DSMT4" ShapeID="_x0000_i1044" DrawAspect="Content" ObjectID="_1553159852" r:id="rId50"/>
        </w:object>
      </w:r>
      <w:r w:rsidR="000418E3">
        <w:rPr>
          <w:rFonts w:ascii="Times New Roman" w:hAnsi="Times New Roman" w:cs="Times New Roman"/>
          <w:b/>
          <w:sz w:val="24"/>
          <w:szCs w:val="24"/>
        </w:rPr>
        <w:t xml:space="preserve">, </w:t>
      </w:r>
      <w:r w:rsidR="000418E3">
        <w:rPr>
          <w:rFonts w:ascii="Times New Roman" w:hAnsi="Times New Roman" w:cs="Times New Roman"/>
          <w:sz w:val="24"/>
          <w:szCs w:val="24"/>
        </w:rPr>
        <w:t xml:space="preserve">etc, are elasticities calculated from our 4 models, which we take as the true elasticities; </w:t>
      </w:r>
    </w:p>
    <w:p w:rsidR="000418E3" w:rsidRPr="00471C4D" w:rsidRDefault="000418E3" w:rsidP="000418E3">
      <w:pPr>
        <w:spacing w:before="0"/>
        <w:ind w:left="360"/>
        <w:rPr>
          <w:rFonts w:ascii="Times New Roman" w:hAnsi="Times New Roman" w:cs="Times New Roman"/>
          <w:sz w:val="24"/>
          <w:szCs w:val="24"/>
        </w:rPr>
      </w:pPr>
      <w:r>
        <w:rPr>
          <w:rFonts w:ascii="Times New Roman" w:hAnsi="Times New Roman" w:cs="Times New Roman"/>
          <w:sz w:val="24"/>
          <w:szCs w:val="24"/>
        </w:rPr>
        <w:t>RV</w:t>
      </w:r>
      <w:r>
        <w:rPr>
          <w:rFonts w:ascii="Times New Roman" w:hAnsi="Times New Roman" w:cs="Times New Roman"/>
          <w:sz w:val="24"/>
          <w:szCs w:val="24"/>
          <w:vertAlign w:val="superscript"/>
        </w:rPr>
        <w:t>guess</w:t>
      </w:r>
      <w:r>
        <w:rPr>
          <w:rFonts w:ascii="Times New Roman" w:hAnsi="Times New Roman" w:cs="Times New Roman"/>
          <w:sz w:val="24"/>
          <w:szCs w:val="24"/>
        </w:rPr>
        <w:t xml:space="preserve"> refers to our guess for the relevant variable, e.g. capital share; and </w:t>
      </w:r>
    </w:p>
    <w:p w:rsidR="000418E3" w:rsidRDefault="00FF456A" w:rsidP="000418E3">
      <w:pPr>
        <w:spacing w:before="0"/>
        <w:ind w:left="360"/>
        <w:rPr>
          <w:rFonts w:ascii="Times New Roman" w:hAnsi="Times New Roman" w:cs="Times New Roman"/>
          <w:sz w:val="24"/>
          <w:szCs w:val="24"/>
        </w:rPr>
      </w:pPr>
      <w:r w:rsidRPr="00471C4D">
        <w:rPr>
          <w:rFonts w:ascii="Times New Roman" w:hAnsi="Times New Roman" w:cs="Times New Roman"/>
          <w:position w:val="-10"/>
          <w:sz w:val="24"/>
          <w:szCs w:val="24"/>
        </w:rPr>
        <w:object w:dxaOrig="1840" w:dyaOrig="360">
          <v:shape id="_x0000_i1045" type="#_x0000_t75" style="width:93.6pt;height:21.6pt" o:ole="">
            <v:imagedata r:id="rId51" o:title=""/>
          </v:shape>
          <o:OLEObject Type="Embed" ProgID="Equation.DSMT4" ShapeID="_x0000_i1045" DrawAspect="Content" ObjectID="_1553159853" r:id="rId52"/>
        </w:object>
      </w:r>
      <w:r w:rsidR="000418E3">
        <w:rPr>
          <w:rFonts w:ascii="Times New Roman" w:hAnsi="Times New Roman" w:cs="Times New Roman"/>
          <w:sz w:val="24"/>
          <w:szCs w:val="24"/>
        </w:rPr>
        <w:t xml:space="preserve">, </w:t>
      </w:r>
      <w:r w:rsidRPr="00471C4D">
        <w:rPr>
          <w:rFonts w:ascii="Times New Roman" w:hAnsi="Times New Roman" w:cs="Times New Roman"/>
          <w:position w:val="-10"/>
          <w:sz w:val="24"/>
          <w:szCs w:val="24"/>
        </w:rPr>
        <w:object w:dxaOrig="1860" w:dyaOrig="360">
          <v:shape id="_x0000_i1046" type="#_x0000_t75" style="width:93.6pt;height:21.6pt" o:ole="">
            <v:imagedata r:id="rId53" o:title=""/>
          </v:shape>
          <o:OLEObject Type="Embed" ProgID="Equation.DSMT4" ShapeID="_x0000_i1046" DrawAspect="Content" ObjectID="_1553159854" r:id="rId54"/>
        </w:object>
      </w:r>
      <w:r w:rsidR="000418E3">
        <w:rPr>
          <w:rFonts w:ascii="Times New Roman" w:hAnsi="Times New Roman" w:cs="Times New Roman"/>
          <w:sz w:val="24"/>
          <w:szCs w:val="24"/>
        </w:rPr>
        <w:t>, etc are the observed values of this variable for FL24, AZ07 etc.</w:t>
      </w:r>
    </w:p>
    <w:p w:rsidR="000418E3" w:rsidRDefault="000418E3" w:rsidP="000418E3">
      <w:pPr>
        <w:spacing w:before="0"/>
        <w:rPr>
          <w:rFonts w:ascii="Times New Roman" w:hAnsi="Times New Roman" w:cs="Times New Roman"/>
          <w:sz w:val="24"/>
          <w:szCs w:val="24"/>
        </w:rPr>
      </w:pPr>
      <w:r>
        <w:rPr>
          <w:rFonts w:ascii="Times New Roman" w:hAnsi="Times New Roman" w:cs="Times New Roman"/>
          <w:sz w:val="24"/>
          <w:szCs w:val="24"/>
        </w:rPr>
        <w:t>We say that RV</w:t>
      </w:r>
      <w:r>
        <w:rPr>
          <w:rFonts w:ascii="Times New Roman" w:hAnsi="Times New Roman" w:cs="Times New Roman"/>
          <w:sz w:val="24"/>
          <w:szCs w:val="24"/>
          <w:vertAlign w:val="superscript"/>
        </w:rPr>
        <w:t>guess</w:t>
      </w:r>
      <w:r>
        <w:rPr>
          <w:rFonts w:ascii="Times New Roman" w:hAnsi="Times New Roman" w:cs="Times New Roman"/>
          <w:sz w:val="24"/>
          <w:szCs w:val="24"/>
        </w:rPr>
        <w:t xml:space="preserve"> is a legitimate relevant variable for the s,v pair if there is little variation across the 4 values </w:t>
      </w:r>
      <w:r w:rsidR="00B812E1" w:rsidRPr="00B812E1">
        <w:rPr>
          <w:rFonts w:ascii="Times New Roman" w:hAnsi="Times New Roman" w:cs="Times New Roman"/>
          <w:position w:val="-14"/>
          <w:sz w:val="24"/>
          <w:szCs w:val="24"/>
        </w:rPr>
        <w:object w:dxaOrig="1040" w:dyaOrig="400">
          <v:shape id="_x0000_i1047" type="#_x0000_t75" style="width:50.4pt;height:21.6pt" o:ole="">
            <v:imagedata r:id="rId55" o:title=""/>
          </v:shape>
          <o:OLEObject Type="Embed" ProgID="Equation.DSMT4" ShapeID="_x0000_i1047" DrawAspect="Content" ObjectID="_1553159855" r:id="rId56"/>
        </w:object>
      </w:r>
      <w:r w:rsidR="00B812E1">
        <w:rPr>
          <w:rFonts w:ascii="Times New Roman" w:hAnsi="Times New Roman" w:cs="Times New Roman"/>
          <w:sz w:val="24"/>
          <w:szCs w:val="24"/>
        </w:rPr>
        <w:t xml:space="preserve">, </w:t>
      </w:r>
      <w:r w:rsidR="00B812E1" w:rsidRPr="00B812E1">
        <w:rPr>
          <w:rFonts w:ascii="Times New Roman" w:hAnsi="Times New Roman" w:cs="Times New Roman"/>
          <w:position w:val="-14"/>
          <w:sz w:val="24"/>
          <w:szCs w:val="24"/>
        </w:rPr>
        <w:object w:dxaOrig="1060" w:dyaOrig="400">
          <v:shape id="_x0000_i1048" type="#_x0000_t75" style="width:50.4pt;height:21.6pt" o:ole="">
            <v:imagedata r:id="rId57" o:title=""/>
          </v:shape>
          <o:OLEObject Type="Embed" ProgID="Equation.DSMT4" ShapeID="_x0000_i1048" DrawAspect="Content" ObjectID="_1553159856" r:id="rId58"/>
        </w:object>
      </w:r>
      <w:r w:rsidR="00B812E1">
        <w:rPr>
          <w:rFonts w:ascii="Times New Roman" w:hAnsi="Times New Roman" w:cs="Times New Roman"/>
          <w:sz w:val="24"/>
          <w:szCs w:val="24"/>
        </w:rPr>
        <w:t xml:space="preserve">, </w:t>
      </w:r>
      <w:r w:rsidR="00B812E1" w:rsidRPr="00B812E1">
        <w:rPr>
          <w:rFonts w:ascii="Times New Roman" w:hAnsi="Times New Roman" w:cs="Times New Roman"/>
          <w:position w:val="-14"/>
          <w:sz w:val="24"/>
          <w:szCs w:val="24"/>
        </w:rPr>
        <w:object w:dxaOrig="1080" w:dyaOrig="400">
          <v:shape id="_x0000_i1049" type="#_x0000_t75" style="width:50.4pt;height:21.6pt" o:ole="">
            <v:imagedata r:id="rId59" o:title=""/>
          </v:shape>
          <o:OLEObject Type="Embed" ProgID="Equation.DSMT4" ShapeID="_x0000_i1049" DrawAspect="Content" ObjectID="_1553159857" r:id="rId60"/>
        </w:object>
      </w:r>
      <w:r w:rsidR="00B812E1">
        <w:rPr>
          <w:rFonts w:ascii="Times New Roman" w:hAnsi="Times New Roman" w:cs="Times New Roman"/>
          <w:sz w:val="24"/>
          <w:szCs w:val="24"/>
        </w:rPr>
        <w:t xml:space="preserve"> and </w:t>
      </w:r>
      <w:r w:rsidR="00B812E1" w:rsidRPr="00B812E1">
        <w:rPr>
          <w:rFonts w:ascii="Times New Roman" w:hAnsi="Times New Roman" w:cs="Times New Roman"/>
          <w:position w:val="-14"/>
          <w:sz w:val="24"/>
          <w:szCs w:val="24"/>
        </w:rPr>
        <w:object w:dxaOrig="1120" w:dyaOrig="400">
          <v:shape id="_x0000_i1050" type="#_x0000_t75" style="width:57.6pt;height:21.6pt" o:ole="">
            <v:imagedata r:id="rId61" o:title=""/>
          </v:shape>
          <o:OLEObject Type="Embed" ProgID="Equation.DSMT4" ShapeID="_x0000_i1050" DrawAspect="Content" ObjectID="_1553159858" r:id="rId62"/>
        </w:object>
      </w:r>
      <w:r w:rsidR="00B812E1">
        <w:rPr>
          <w:rFonts w:ascii="Times New Roman" w:hAnsi="Times New Roman" w:cs="Times New Roman"/>
          <w:sz w:val="24"/>
          <w:szCs w:val="24"/>
        </w:rPr>
        <w:t xml:space="preserve"> for each A.</w:t>
      </w:r>
      <w:r>
        <w:rPr>
          <w:rFonts w:ascii="Times New Roman" w:hAnsi="Times New Roman" w:cs="Times New Roman"/>
          <w:sz w:val="24"/>
          <w:szCs w:val="24"/>
        </w:rPr>
        <w:t xml:space="preserve">  </w:t>
      </w:r>
    </w:p>
    <w:p w:rsidR="00A55830" w:rsidRDefault="000418E3" w:rsidP="000418E3">
      <w:pPr>
        <w:rPr>
          <w:rFonts w:ascii="Times New Roman" w:hAnsi="Times New Roman" w:cs="Times New Roman"/>
          <w:sz w:val="24"/>
          <w:szCs w:val="24"/>
        </w:rPr>
      </w:pPr>
      <w:r>
        <w:rPr>
          <w:rFonts w:ascii="Times New Roman" w:hAnsi="Times New Roman" w:cs="Times New Roman"/>
          <w:sz w:val="24"/>
          <w:szCs w:val="24"/>
        </w:rPr>
        <w:t xml:space="preserve">If </w:t>
      </w:r>
      <w:r w:rsidR="00EF415C">
        <w:rPr>
          <w:rFonts w:ascii="Times New Roman" w:hAnsi="Times New Roman" w:cs="Times New Roman"/>
          <w:sz w:val="24"/>
          <w:szCs w:val="24"/>
        </w:rPr>
        <w:t xml:space="preserve">for a given A </w:t>
      </w:r>
      <w:r>
        <w:rPr>
          <w:rFonts w:ascii="Times New Roman" w:hAnsi="Times New Roman" w:cs="Times New Roman"/>
          <w:sz w:val="24"/>
          <w:szCs w:val="24"/>
        </w:rPr>
        <w:t>the 4 values are not close</w:t>
      </w:r>
      <w:r w:rsidR="00EF415C">
        <w:rPr>
          <w:rFonts w:ascii="Times New Roman" w:hAnsi="Times New Roman" w:cs="Times New Roman"/>
          <w:sz w:val="24"/>
          <w:szCs w:val="24"/>
        </w:rPr>
        <w:t>,</w:t>
      </w:r>
      <w:r>
        <w:rPr>
          <w:rFonts w:ascii="Times New Roman" w:hAnsi="Times New Roman" w:cs="Times New Roman"/>
          <w:sz w:val="24"/>
          <w:szCs w:val="24"/>
        </w:rPr>
        <w:t xml:space="preserve"> then we must think more deeply about the theory and data of the model to come up with a refined guess of the relevant variable.  As well as meeting the immediate requirement of obtaining proportionality factors (C coefficients) that are consistent across our 4 models, the process of finding legitimate relevant variables is a valuable way of understanding key features of USAGE-TERM and of checking for unrealistic specifications and errors.  </w:t>
      </w:r>
      <w:r w:rsidR="00A55830">
        <w:rPr>
          <w:rFonts w:ascii="Times New Roman" w:hAnsi="Times New Roman" w:cs="Times New Roman"/>
          <w:sz w:val="24"/>
          <w:szCs w:val="24"/>
        </w:rPr>
        <w:t>Once we were satisfied that the C coefficients were as uniform as possible across the 4 models, we averaged them an</w:t>
      </w:r>
      <w:r w:rsidR="00325CE7">
        <w:rPr>
          <w:rFonts w:ascii="Times New Roman" w:hAnsi="Times New Roman" w:cs="Times New Roman"/>
          <w:sz w:val="24"/>
          <w:szCs w:val="24"/>
        </w:rPr>
        <w:t>d</w:t>
      </w:r>
      <w:r w:rsidR="00A55830">
        <w:rPr>
          <w:rFonts w:ascii="Times New Roman" w:hAnsi="Times New Roman" w:cs="Times New Roman"/>
          <w:sz w:val="24"/>
          <w:szCs w:val="24"/>
        </w:rPr>
        <w:t xml:space="preserve"> calculated the elasticities for the TRA groups according to:</w:t>
      </w:r>
    </w:p>
    <w:p w:rsidR="00A55830" w:rsidRDefault="00A55830" w:rsidP="00A55830">
      <w:pPr>
        <w:tabs>
          <w:tab w:val="left" w:pos="720"/>
          <w:tab w:val="right" w:pos="8820"/>
        </w:tabs>
        <w:rPr>
          <w:rFonts w:ascii="Times New Roman" w:hAnsi="Times New Roman" w:cs="Times New Roman"/>
          <w:sz w:val="24"/>
          <w:szCs w:val="24"/>
        </w:rPr>
      </w:pPr>
      <w:r>
        <w:rPr>
          <w:rFonts w:ascii="Times New Roman" w:hAnsi="Times New Roman" w:cs="Times New Roman"/>
          <w:sz w:val="24"/>
          <w:szCs w:val="24"/>
        </w:rPr>
        <w:tab/>
      </w:r>
      <w:r w:rsidR="00B812E1" w:rsidRPr="00A6574E">
        <w:rPr>
          <w:rFonts w:ascii="Times New Roman" w:hAnsi="Times New Roman" w:cs="Times New Roman"/>
          <w:position w:val="-12"/>
          <w:sz w:val="24"/>
          <w:szCs w:val="24"/>
        </w:rPr>
        <w:object w:dxaOrig="3480" w:dyaOrig="380">
          <v:shape id="_x0000_i1051" type="#_x0000_t75" style="width:172.8pt;height:21.6pt" o:ole="">
            <v:imagedata r:id="rId63" o:title=""/>
          </v:shape>
          <o:OLEObject Type="Embed" ProgID="Equation.DSMT4" ShapeID="_x0000_i1051" DrawAspect="Content" ObjectID="_1553159859" r:id="rId64"/>
        </w:object>
      </w:r>
      <w:r>
        <w:rPr>
          <w:rFonts w:ascii="Times New Roman" w:hAnsi="Times New Roman" w:cs="Times New Roman"/>
          <w:sz w:val="24"/>
          <w:szCs w:val="24"/>
        </w:rPr>
        <w:t xml:space="preserve"> </w:t>
      </w:r>
      <w:r>
        <w:rPr>
          <w:rFonts w:ascii="Times New Roman" w:hAnsi="Times New Roman" w:cs="Times New Roman"/>
          <w:sz w:val="24"/>
          <w:szCs w:val="24"/>
        </w:rPr>
        <w:tab/>
        <w:t>(</w:t>
      </w:r>
      <w:r w:rsidR="000B4FE3">
        <w:rPr>
          <w:rFonts w:ascii="Times New Roman" w:hAnsi="Times New Roman" w:cs="Times New Roman"/>
          <w:sz w:val="24"/>
          <w:szCs w:val="24"/>
        </w:rPr>
        <w:t>6.9</w:t>
      </w:r>
      <w:r>
        <w:rPr>
          <w:rFonts w:ascii="Times New Roman" w:hAnsi="Times New Roman" w:cs="Times New Roman"/>
          <w:sz w:val="24"/>
          <w:szCs w:val="24"/>
        </w:rPr>
        <w:t>)</w:t>
      </w:r>
    </w:p>
    <w:p w:rsidR="00A55830" w:rsidRDefault="00A55830" w:rsidP="00A55830">
      <w:pPr>
        <w:spacing w:before="0"/>
        <w:rPr>
          <w:rFonts w:ascii="Times New Roman" w:hAnsi="Times New Roman" w:cs="Times New Roman"/>
          <w:sz w:val="24"/>
          <w:szCs w:val="24"/>
        </w:rPr>
      </w:pPr>
      <w:r>
        <w:rPr>
          <w:rFonts w:ascii="Times New Roman" w:hAnsi="Times New Roman" w:cs="Times New Roman"/>
          <w:sz w:val="24"/>
          <w:szCs w:val="24"/>
        </w:rPr>
        <w:t xml:space="preserve">where </w:t>
      </w:r>
    </w:p>
    <w:p w:rsidR="00A55830" w:rsidRDefault="00127180" w:rsidP="00A55830">
      <w:pPr>
        <w:tabs>
          <w:tab w:val="left" w:pos="720"/>
          <w:tab w:val="right" w:pos="8820"/>
        </w:tabs>
        <w:spacing w:before="0"/>
        <w:ind w:left="360"/>
        <w:rPr>
          <w:rFonts w:ascii="Times New Roman" w:hAnsi="Times New Roman" w:cs="Times New Roman"/>
          <w:sz w:val="24"/>
          <w:szCs w:val="24"/>
        </w:rPr>
      </w:pPr>
      <w:r w:rsidRPr="00A6574E">
        <w:rPr>
          <w:rFonts w:ascii="Times New Roman" w:hAnsi="Times New Roman" w:cs="Times New Roman"/>
          <w:position w:val="-12"/>
          <w:sz w:val="24"/>
          <w:szCs w:val="24"/>
        </w:rPr>
        <w:object w:dxaOrig="1219" w:dyaOrig="380">
          <v:shape id="_x0000_i1052" type="#_x0000_t75" style="width:57.6pt;height:21.6pt" o:ole="">
            <v:imagedata r:id="rId65" o:title=""/>
          </v:shape>
          <o:OLEObject Type="Embed" ProgID="Equation.DSMT4" ShapeID="_x0000_i1052" DrawAspect="Content" ObjectID="_1553159860" r:id="rId66"/>
        </w:object>
      </w:r>
      <w:r w:rsidR="00A55830">
        <w:rPr>
          <w:rFonts w:ascii="Times New Roman" w:hAnsi="Times New Roman" w:cs="Times New Roman"/>
          <w:sz w:val="24"/>
          <w:szCs w:val="24"/>
        </w:rPr>
        <w:t xml:space="preserve"> is the value supplied to the TRA groups for the elasticity under assumption A (Keynesian or Neoclassical) of  implication variable v with respect to shock s occurring in region d;</w:t>
      </w:r>
    </w:p>
    <w:p w:rsidR="00A55830" w:rsidRDefault="00127180" w:rsidP="00A55830">
      <w:pPr>
        <w:tabs>
          <w:tab w:val="left" w:pos="720"/>
          <w:tab w:val="right" w:pos="8820"/>
        </w:tabs>
        <w:spacing w:before="0"/>
        <w:ind w:left="360"/>
        <w:rPr>
          <w:rFonts w:ascii="Times New Roman" w:hAnsi="Times New Roman" w:cs="Times New Roman"/>
          <w:sz w:val="24"/>
          <w:szCs w:val="24"/>
        </w:rPr>
      </w:pPr>
      <w:r w:rsidRPr="00C32674">
        <w:rPr>
          <w:rFonts w:ascii="Times New Roman" w:hAnsi="Times New Roman" w:cs="Times New Roman"/>
          <w:position w:val="-12"/>
          <w:sz w:val="24"/>
          <w:szCs w:val="24"/>
        </w:rPr>
        <w:object w:dxaOrig="920" w:dyaOrig="380">
          <v:shape id="_x0000_i1053" type="#_x0000_t75" style="width:43.2pt;height:21.6pt" o:ole="">
            <v:imagedata r:id="rId67" o:title=""/>
          </v:shape>
          <o:OLEObject Type="Embed" ProgID="Equation.DSMT4" ShapeID="_x0000_i1053" DrawAspect="Content" ObjectID="_1553159861" r:id="rId68"/>
        </w:object>
      </w:r>
      <w:r w:rsidR="00A55830">
        <w:rPr>
          <w:rFonts w:ascii="Times New Roman" w:hAnsi="Times New Roman" w:cs="Times New Roman"/>
          <w:sz w:val="24"/>
          <w:szCs w:val="24"/>
        </w:rPr>
        <w:t xml:space="preserve"> is the average value across the four models of the s,v-coefficients under assumption A; and </w:t>
      </w:r>
    </w:p>
    <w:p w:rsidR="00A55830" w:rsidRDefault="00A55830" w:rsidP="00A55830">
      <w:pPr>
        <w:tabs>
          <w:tab w:val="left" w:pos="720"/>
          <w:tab w:val="right" w:pos="8820"/>
        </w:tabs>
        <w:spacing w:before="0"/>
        <w:ind w:left="360"/>
        <w:rPr>
          <w:rFonts w:ascii="Times New Roman" w:hAnsi="Times New Roman" w:cs="Times New Roman"/>
          <w:sz w:val="24"/>
          <w:szCs w:val="24"/>
        </w:rPr>
      </w:pPr>
      <w:r>
        <w:rPr>
          <w:rFonts w:ascii="Times New Roman" w:hAnsi="Times New Roman" w:cs="Times New Roman"/>
          <w:sz w:val="24"/>
          <w:szCs w:val="24"/>
        </w:rPr>
        <w:t xml:space="preserve">RV(s,d,v) is the value for region d of the relevant variable for shock s and implication variable v.  </w:t>
      </w:r>
    </w:p>
    <w:p w:rsidR="0021576E" w:rsidRDefault="00A55830" w:rsidP="0021576E">
      <w:pPr>
        <w:tabs>
          <w:tab w:val="left" w:pos="720"/>
          <w:tab w:val="right" w:pos="8820"/>
        </w:tabs>
        <w:spacing w:before="0"/>
        <w:rPr>
          <w:rFonts w:ascii="Times New Roman" w:hAnsi="Times New Roman" w:cs="Times New Roman"/>
          <w:sz w:val="24"/>
          <w:szCs w:val="24"/>
        </w:rPr>
      </w:pPr>
      <w:r>
        <w:rPr>
          <w:rFonts w:ascii="Times New Roman" w:hAnsi="Times New Roman" w:cs="Times New Roman"/>
          <w:sz w:val="24"/>
          <w:szCs w:val="24"/>
        </w:rPr>
        <w:lastRenderedPageBreak/>
        <w:t>The results from the four models for the coefficients</w:t>
      </w:r>
      <w:r w:rsidR="00EF415C">
        <w:rPr>
          <w:rFonts w:ascii="Times New Roman" w:hAnsi="Times New Roman" w:cs="Times New Roman"/>
          <w:sz w:val="24"/>
          <w:szCs w:val="24"/>
        </w:rPr>
        <w:t xml:space="preserve">, </w:t>
      </w:r>
      <w:r w:rsidR="00EF415C" w:rsidRPr="00EF415C">
        <w:rPr>
          <w:rFonts w:ascii="Times New Roman" w:hAnsi="Times New Roman" w:cs="Times New Roman"/>
          <w:sz w:val="24"/>
          <w:szCs w:val="24"/>
        </w:rPr>
        <w:t>C</w:t>
      </w:r>
      <w:r w:rsidR="00EF415C">
        <w:rPr>
          <w:rFonts w:ascii="Times New Roman" w:hAnsi="Times New Roman" w:cs="Times New Roman"/>
          <w:sz w:val="24"/>
          <w:szCs w:val="24"/>
          <w:vertAlign w:val="subscript"/>
        </w:rPr>
        <w:t>A</w:t>
      </w:r>
      <w:r w:rsidR="00EF415C">
        <w:rPr>
          <w:rFonts w:ascii="Times New Roman" w:hAnsi="Times New Roman" w:cs="Times New Roman"/>
          <w:sz w:val="24"/>
          <w:szCs w:val="24"/>
        </w:rPr>
        <w:t xml:space="preserve">(s,v), and </w:t>
      </w:r>
      <w:r>
        <w:rPr>
          <w:rFonts w:ascii="Times New Roman" w:hAnsi="Times New Roman" w:cs="Times New Roman"/>
          <w:sz w:val="24"/>
          <w:szCs w:val="24"/>
        </w:rPr>
        <w:t>the definitions of the relevant variables</w:t>
      </w:r>
      <w:r w:rsidR="00EF415C">
        <w:rPr>
          <w:rFonts w:ascii="Times New Roman" w:hAnsi="Times New Roman" w:cs="Times New Roman"/>
          <w:sz w:val="24"/>
          <w:szCs w:val="24"/>
        </w:rPr>
        <w:t>, RV(s,d,v),</w:t>
      </w:r>
      <w:r>
        <w:rPr>
          <w:rFonts w:ascii="Times New Roman" w:hAnsi="Times New Roman" w:cs="Times New Roman"/>
          <w:sz w:val="24"/>
          <w:szCs w:val="24"/>
        </w:rPr>
        <w:t xml:space="preserve"> are </w:t>
      </w:r>
      <w:r w:rsidR="00EF415C">
        <w:rPr>
          <w:rFonts w:ascii="Times New Roman" w:hAnsi="Times New Roman" w:cs="Times New Roman"/>
          <w:sz w:val="24"/>
          <w:szCs w:val="24"/>
        </w:rPr>
        <w:t xml:space="preserve">set out and discussed </w:t>
      </w:r>
      <w:r>
        <w:rPr>
          <w:rFonts w:ascii="Times New Roman" w:hAnsi="Times New Roman" w:cs="Times New Roman"/>
          <w:sz w:val="24"/>
          <w:szCs w:val="24"/>
        </w:rPr>
        <w:t xml:space="preserve">in </w:t>
      </w:r>
      <w:r w:rsidR="00EF415C">
        <w:rPr>
          <w:rFonts w:ascii="Times New Roman" w:hAnsi="Times New Roman" w:cs="Times New Roman"/>
          <w:sz w:val="24"/>
          <w:szCs w:val="24"/>
        </w:rPr>
        <w:t>a</w:t>
      </w:r>
      <w:r>
        <w:rPr>
          <w:rFonts w:ascii="Times New Roman" w:hAnsi="Times New Roman" w:cs="Times New Roman"/>
          <w:sz w:val="24"/>
          <w:szCs w:val="24"/>
        </w:rPr>
        <w:t>ppendix</w:t>
      </w:r>
      <w:r w:rsidR="00EF415C">
        <w:rPr>
          <w:rFonts w:ascii="Times New Roman" w:hAnsi="Times New Roman" w:cs="Times New Roman"/>
          <w:sz w:val="24"/>
          <w:szCs w:val="24"/>
        </w:rPr>
        <w:t xml:space="preserve"> 1</w:t>
      </w:r>
      <w:r>
        <w:rPr>
          <w:rFonts w:ascii="Times New Roman" w:hAnsi="Times New Roman" w:cs="Times New Roman"/>
          <w:sz w:val="24"/>
          <w:szCs w:val="24"/>
        </w:rPr>
        <w:t xml:space="preserve">.  </w:t>
      </w:r>
    </w:p>
    <w:p w:rsidR="0021748C" w:rsidRDefault="0021748C">
      <w:pPr>
        <w:spacing w:before="0" w:after="200" w:line="276" w:lineRule="auto"/>
        <w:rPr>
          <w:rFonts w:ascii="Times New Roman" w:hAnsi="Times New Roman" w:cs="Times New Roman"/>
          <w:b/>
          <w:i/>
          <w:sz w:val="24"/>
          <w:szCs w:val="24"/>
        </w:rPr>
      </w:pPr>
      <w:r>
        <w:rPr>
          <w:rFonts w:ascii="Times New Roman" w:hAnsi="Times New Roman" w:cs="Times New Roman"/>
          <w:b/>
          <w:i/>
          <w:sz w:val="24"/>
          <w:szCs w:val="24"/>
        </w:rPr>
        <w:br w:type="page"/>
      </w:r>
    </w:p>
    <w:p w:rsidR="0021576E" w:rsidRDefault="0021576E" w:rsidP="0021576E">
      <w:pPr>
        <w:rPr>
          <w:rFonts w:ascii="Times New Roman" w:hAnsi="Times New Roman" w:cs="Times New Roman"/>
          <w:sz w:val="24"/>
          <w:szCs w:val="24"/>
        </w:rPr>
      </w:pPr>
      <w:r>
        <w:rPr>
          <w:rFonts w:ascii="Times New Roman" w:hAnsi="Times New Roman" w:cs="Times New Roman"/>
          <w:b/>
          <w:i/>
          <w:sz w:val="24"/>
          <w:szCs w:val="24"/>
        </w:rPr>
        <w:lastRenderedPageBreak/>
        <w:t>6.2.  Sample elasticity matrices</w:t>
      </w:r>
      <w:r>
        <w:rPr>
          <w:rFonts w:ascii="Times New Roman" w:hAnsi="Times New Roman" w:cs="Times New Roman"/>
          <w:sz w:val="24"/>
          <w:szCs w:val="24"/>
        </w:rPr>
        <w:t xml:space="preserve"> </w:t>
      </w:r>
    </w:p>
    <w:p w:rsidR="00A55830" w:rsidRDefault="00A55830" w:rsidP="0021576E">
      <w:pPr>
        <w:tabs>
          <w:tab w:val="left" w:pos="720"/>
          <w:tab w:val="right" w:pos="8820"/>
        </w:tabs>
        <w:rPr>
          <w:rFonts w:ascii="Times New Roman" w:hAnsi="Times New Roman" w:cs="Times New Roman"/>
          <w:sz w:val="24"/>
          <w:szCs w:val="24"/>
        </w:rPr>
      </w:pPr>
      <w:r>
        <w:rPr>
          <w:rFonts w:ascii="Times New Roman" w:hAnsi="Times New Roman" w:cs="Times New Roman"/>
          <w:sz w:val="24"/>
          <w:szCs w:val="24"/>
        </w:rPr>
        <w:t>On the basis of (</w:t>
      </w:r>
      <w:r w:rsidR="00356F17">
        <w:rPr>
          <w:rFonts w:ascii="Times New Roman" w:hAnsi="Times New Roman" w:cs="Times New Roman"/>
          <w:sz w:val="24"/>
          <w:szCs w:val="24"/>
        </w:rPr>
        <w:t>6.9</w:t>
      </w:r>
      <w:r>
        <w:rPr>
          <w:rFonts w:ascii="Times New Roman" w:hAnsi="Times New Roman" w:cs="Times New Roman"/>
          <w:sz w:val="24"/>
          <w:szCs w:val="24"/>
        </w:rPr>
        <w:t xml:space="preserve">) we supplied the TRA groups with </w:t>
      </w:r>
      <w:r w:rsidR="0021576E">
        <w:rPr>
          <w:rFonts w:ascii="Times New Roman" w:hAnsi="Times New Roman" w:cs="Times New Roman"/>
          <w:sz w:val="24"/>
          <w:szCs w:val="24"/>
        </w:rPr>
        <w:t>170</w:t>
      </w:r>
      <w:r w:rsidRPr="001608BD">
        <w:rPr>
          <w:rFonts w:ascii="Times New Roman" w:hAnsi="Times New Roman" w:cs="Times New Roman"/>
          <w:i/>
          <w:sz w:val="24"/>
          <w:szCs w:val="24"/>
        </w:rPr>
        <w:t>x</w:t>
      </w:r>
      <w:r>
        <w:rPr>
          <w:rFonts w:ascii="Times New Roman" w:hAnsi="Times New Roman" w:cs="Times New Roman"/>
          <w:sz w:val="24"/>
          <w:szCs w:val="24"/>
        </w:rPr>
        <w:t>2 matrices of elasticities (</w:t>
      </w:r>
      <w:r w:rsidR="0021576E">
        <w:rPr>
          <w:rFonts w:ascii="Times New Roman" w:hAnsi="Times New Roman" w:cs="Times New Roman"/>
          <w:sz w:val="24"/>
          <w:szCs w:val="24"/>
        </w:rPr>
        <w:t>170</w:t>
      </w:r>
      <w:r>
        <w:rPr>
          <w:rFonts w:ascii="Times New Roman" w:hAnsi="Times New Roman" w:cs="Times New Roman"/>
          <w:sz w:val="24"/>
          <w:szCs w:val="24"/>
        </w:rPr>
        <w:t xml:space="preserve"> target </w:t>
      </w:r>
      <w:r w:rsidR="00356F17">
        <w:rPr>
          <w:rFonts w:ascii="Times New Roman" w:hAnsi="Times New Roman" w:cs="Times New Roman"/>
          <w:sz w:val="24"/>
          <w:szCs w:val="24"/>
        </w:rPr>
        <w:t>regions</w:t>
      </w:r>
      <w:r>
        <w:rPr>
          <w:rFonts w:ascii="Times New Roman" w:hAnsi="Times New Roman" w:cs="Times New Roman"/>
          <w:sz w:val="24"/>
          <w:szCs w:val="24"/>
        </w:rPr>
        <w:t xml:space="preserve"> times 2 assumptions).  Each matrix has 14 rows (shock variables) </w:t>
      </w:r>
      <w:r w:rsidR="00356F17">
        <w:rPr>
          <w:rFonts w:ascii="Times New Roman" w:hAnsi="Times New Roman" w:cs="Times New Roman"/>
          <w:sz w:val="24"/>
          <w:szCs w:val="24"/>
        </w:rPr>
        <w:t>and</w:t>
      </w:r>
      <w:r>
        <w:rPr>
          <w:rFonts w:ascii="Times New Roman" w:hAnsi="Times New Roman" w:cs="Times New Roman"/>
          <w:sz w:val="24"/>
          <w:szCs w:val="24"/>
        </w:rPr>
        <w:t xml:space="preserve"> 10 </w:t>
      </w:r>
      <w:r w:rsidR="009C5D8B">
        <w:rPr>
          <w:rFonts w:ascii="Times New Roman" w:hAnsi="Times New Roman" w:cs="Times New Roman"/>
          <w:sz w:val="24"/>
          <w:szCs w:val="24"/>
        </w:rPr>
        <w:t>columns (</w:t>
      </w:r>
      <w:r>
        <w:rPr>
          <w:rFonts w:ascii="Times New Roman" w:hAnsi="Times New Roman" w:cs="Times New Roman"/>
          <w:sz w:val="24"/>
          <w:szCs w:val="24"/>
        </w:rPr>
        <w:t>implication variables</w:t>
      </w:r>
      <w:r w:rsidR="009C5D8B">
        <w:rPr>
          <w:rFonts w:ascii="Times New Roman" w:hAnsi="Times New Roman" w:cs="Times New Roman"/>
          <w:sz w:val="24"/>
          <w:szCs w:val="24"/>
        </w:rPr>
        <w:t>)</w:t>
      </w:r>
      <w:r>
        <w:rPr>
          <w:rFonts w:ascii="Times New Roman" w:hAnsi="Times New Roman" w:cs="Times New Roman"/>
          <w:sz w:val="24"/>
          <w:szCs w:val="24"/>
        </w:rPr>
        <w:t xml:space="preserve">.  Sample elasticity matrices are given in Tables </w:t>
      </w:r>
      <w:r w:rsidR="00E9794F">
        <w:rPr>
          <w:rFonts w:ascii="Times New Roman" w:hAnsi="Times New Roman" w:cs="Times New Roman"/>
          <w:sz w:val="24"/>
          <w:szCs w:val="24"/>
        </w:rPr>
        <w:t>6.2</w:t>
      </w:r>
      <w:r>
        <w:rPr>
          <w:rFonts w:ascii="Times New Roman" w:hAnsi="Times New Roman" w:cs="Times New Roman"/>
          <w:sz w:val="24"/>
          <w:szCs w:val="24"/>
        </w:rPr>
        <w:t xml:space="preserve"> to </w:t>
      </w:r>
      <w:r w:rsidR="00E9794F">
        <w:rPr>
          <w:rFonts w:ascii="Times New Roman" w:hAnsi="Times New Roman" w:cs="Times New Roman"/>
          <w:sz w:val="24"/>
          <w:szCs w:val="24"/>
        </w:rPr>
        <w:t>6.5</w:t>
      </w:r>
      <w:r>
        <w:rPr>
          <w:rFonts w:ascii="Times New Roman" w:hAnsi="Times New Roman" w:cs="Times New Roman"/>
          <w:sz w:val="24"/>
          <w:szCs w:val="24"/>
        </w:rPr>
        <w:t xml:space="preserve">.  </w:t>
      </w:r>
    </w:p>
    <w:p w:rsidR="00386561" w:rsidRPr="00386561" w:rsidRDefault="00F47EBA" w:rsidP="000418E3">
      <w:pPr>
        <w:rPr>
          <w:rFonts w:ascii="Times New Roman" w:hAnsi="Times New Roman" w:cs="Times New Roman"/>
          <w:i/>
          <w:sz w:val="24"/>
          <w:szCs w:val="24"/>
        </w:rPr>
      </w:pPr>
      <w:r>
        <w:rPr>
          <w:rFonts w:ascii="Times New Roman" w:hAnsi="Times New Roman" w:cs="Times New Roman"/>
          <w:i/>
          <w:sz w:val="24"/>
          <w:szCs w:val="24"/>
        </w:rPr>
        <w:t>Understanding the nature of the underlying shocks and the resulting elasticities</w:t>
      </w:r>
    </w:p>
    <w:p w:rsidR="0021576E" w:rsidRPr="0021576E" w:rsidRDefault="0021576E" w:rsidP="000418E3">
      <w:pPr>
        <w:rPr>
          <w:rFonts w:ascii="Times New Roman" w:hAnsi="Times New Roman" w:cs="Times New Roman"/>
          <w:sz w:val="24"/>
          <w:szCs w:val="24"/>
        </w:rPr>
      </w:pPr>
      <w:r>
        <w:rPr>
          <w:rFonts w:ascii="Times New Roman" w:hAnsi="Times New Roman" w:cs="Times New Roman"/>
          <w:sz w:val="24"/>
          <w:szCs w:val="24"/>
        </w:rPr>
        <w:t xml:space="preserve">Focusing on Table </w:t>
      </w:r>
      <w:r w:rsidR="0091054F">
        <w:rPr>
          <w:rFonts w:ascii="Times New Roman" w:hAnsi="Times New Roman" w:cs="Times New Roman"/>
          <w:sz w:val="24"/>
          <w:szCs w:val="24"/>
        </w:rPr>
        <w:t>6.</w:t>
      </w:r>
      <w:r w:rsidR="00E9794F">
        <w:rPr>
          <w:rFonts w:ascii="Times New Roman" w:hAnsi="Times New Roman" w:cs="Times New Roman"/>
          <w:sz w:val="24"/>
          <w:szCs w:val="24"/>
        </w:rPr>
        <w:t>2</w:t>
      </w:r>
      <w:r>
        <w:rPr>
          <w:rFonts w:ascii="Times New Roman" w:hAnsi="Times New Roman" w:cs="Times New Roman"/>
          <w:sz w:val="24"/>
          <w:szCs w:val="24"/>
        </w:rPr>
        <w:t xml:space="preserve">, we see that the first entry is -0.0013.  This means </w:t>
      </w:r>
      <w:r w:rsidR="004A3577">
        <w:rPr>
          <w:rFonts w:ascii="Times New Roman" w:hAnsi="Times New Roman" w:cs="Times New Roman"/>
          <w:sz w:val="24"/>
          <w:szCs w:val="24"/>
        </w:rPr>
        <w:t>under Keynesian assumption</w:t>
      </w:r>
      <w:r w:rsidR="00356F17">
        <w:rPr>
          <w:rFonts w:ascii="Times New Roman" w:hAnsi="Times New Roman" w:cs="Times New Roman"/>
          <w:sz w:val="24"/>
          <w:szCs w:val="24"/>
        </w:rPr>
        <w:t>s</w:t>
      </w:r>
      <w:r w:rsidR="004A3577">
        <w:rPr>
          <w:rFonts w:ascii="Times New Roman" w:hAnsi="Times New Roman" w:cs="Times New Roman"/>
          <w:sz w:val="24"/>
          <w:szCs w:val="24"/>
        </w:rPr>
        <w:t xml:space="preserve"> that </w:t>
      </w:r>
      <w:r>
        <w:rPr>
          <w:rFonts w:ascii="Times New Roman" w:hAnsi="Times New Roman" w:cs="Times New Roman"/>
          <w:sz w:val="24"/>
          <w:szCs w:val="24"/>
        </w:rPr>
        <w:t xml:space="preserve">the destruction of 1 per cent of the capital in FL24 would reduce </w:t>
      </w:r>
      <w:r w:rsidR="00356F17">
        <w:rPr>
          <w:rFonts w:ascii="Times New Roman" w:hAnsi="Times New Roman" w:cs="Times New Roman"/>
          <w:sz w:val="24"/>
          <w:szCs w:val="24"/>
        </w:rPr>
        <w:t xml:space="preserve">the </w:t>
      </w:r>
      <w:r>
        <w:rPr>
          <w:rFonts w:ascii="Times New Roman" w:hAnsi="Times New Roman" w:cs="Times New Roman"/>
          <w:sz w:val="24"/>
          <w:szCs w:val="24"/>
        </w:rPr>
        <w:t>nation</w:t>
      </w:r>
      <w:r w:rsidR="00356F17">
        <w:rPr>
          <w:rFonts w:ascii="Times New Roman" w:hAnsi="Times New Roman" w:cs="Times New Roman"/>
          <w:sz w:val="24"/>
          <w:szCs w:val="24"/>
        </w:rPr>
        <w:t xml:space="preserve">’s </w:t>
      </w:r>
      <w:r>
        <w:rPr>
          <w:rFonts w:ascii="Times New Roman" w:hAnsi="Times New Roman" w:cs="Times New Roman"/>
          <w:sz w:val="24"/>
          <w:szCs w:val="24"/>
        </w:rPr>
        <w:t>GDP in year 1 (2015) by 0.0013 per cent</w:t>
      </w:r>
      <w:r w:rsidR="004A3577">
        <w:rPr>
          <w:rFonts w:ascii="Times New Roman" w:hAnsi="Times New Roman" w:cs="Times New Roman"/>
          <w:sz w:val="24"/>
          <w:szCs w:val="24"/>
        </w:rPr>
        <w:t>.  Moving along the first row we see that destruction of 1 per cent of capital in FL24 would reduce national employment in year 1 by 0.0009 per cent.  The percentage effects in FL24 would be much greater.  This can be seen in the 3</w:t>
      </w:r>
      <w:r w:rsidR="004A3577" w:rsidRPr="004A3577">
        <w:rPr>
          <w:rFonts w:ascii="Times New Roman" w:hAnsi="Times New Roman" w:cs="Times New Roman"/>
          <w:sz w:val="24"/>
          <w:szCs w:val="24"/>
          <w:vertAlign w:val="superscript"/>
        </w:rPr>
        <w:t>rd</w:t>
      </w:r>
      <w:r w:rsidR="004A3577">
        <w:rPr>
          <w:rFonts w:ascii="Times New Roman" w:hAnsi="Times New Roman" w:cs="Times New Roman"/>
          <w:sz w:val="24"/>
          <w:szCs w:val="24"/>
        </w:rPr>
        <w:t xml:space="preserve"> and 4</w:t>
      </w:r>
      <w:r w:rsidR="004A3577" w:rsidRPr="004A3577">
        <w:rPr>
          <w:rFonts w:ascii="Times New Roman" w:hAnsi="Times New Roman" w:cs="Times New Roman"/>
          <w:sz w:val="24"/>
          <w:szCs w:val="24"/>
          <w:vertAlign w:val="superscript"/>
        </w:rPr>
        <w:t>th</w:t>
      </w:r>
      <w:r w:rsidR="004A3577">
        <w:rPr>
          <w:rFonts w:ascii="Times New Roman" w:hAnsi="Times New Roman" w:cs="Times New Roman"/>
          <w:sz w:val="24"/>
          <w:szCs w:val="24"/>
        </w:rPr>
        <w:t xml:space="preserve"> entries in the first row which imply reductions in FL24’s output </w:t>
      </w:r>
      <w:r w:rsidR="00356F17">
        <w:rPr>
          <w:rFonts w:ascii="Times New Roman" w:hAnsi="Times New Roman" w:cs="Times New Roman"/>
          <w:sz w:val="24"/>
          <w:szCs w:val="24"/>
        </w:rPr>
        <w:t xml:space="preserve"> (GRP) </w:t>
      </w:r>
      <w:r w:rsidR="004A3577">
        <w:rPr>
          <w:rFonts w:ascii="Times New Roman" w:hAnsi="Times New Roman" w:cs="Times New Roman"/>
          <w:sz w:val="24"/>
          <w:szCs w:val="24"/>
        </w:rPr>
        <w:t>and employment of 0.7</w:t>
      </w:r>
      <w:r w:rsidR="00EA22B7">
        <w:rPr>
          <w:rFonts w:ascii="Times New Roman" w:hAnsi="Times New Roman" w:cs="Times New Roman"/>
          <w:sz w:val="24"/>
          <w:szCs w:val="24"/>
        </w:rPr>
        <w:t>828</w:t>
      </w:r>
      <w:r w:rsidR="004A3577">
        <w:rPr>
          <w:rFonts w:ascii="Times New Roman" w:hAnsi="Times New Roman" w:cs="Times New Roman"/>
          <w:sz w:val="24"/>
          <w:szCs w:val="24"/>
        </w:rPr>
        <w:t xml:space="preserve"> per cent and 0.63</w:t>
      </w:r>
      <w:r w:rsidR="00EA22B7">
        <w:rPr>
          <w:rFonts w:ascii="Times New Roman" w:hAnsi="Times New Roman" w:cs="Times New Roman"/>
          <w:sz w:val="24"/>
          <w:szCs w:val="24"/>
        </w:rPr>
        <w:t>04</w:t>
      </w:r>
      <w:r w:rsidR="004A3577">
        <w:rPr>
          <w:rFonts w:ascii="Times New Roman" w:hAnsi="Times New Roman" w:cs="Times New Roman"/>
          <w:sz w:val="24"/>
          <w:szCs w:val="24"/>
        </w:rPr>
        <w:t xml:space="preserve"> per cent.  Continuing along the first row, we see that the long run (year 20) effects on national output and employment of capital destruction in FL24 </w:t>
      </w:r>
      <w:r w:rsidR="009C5D8B">
        <w:rPr>
          <w:rFonts w:ascii="Times New Roman" w:hAnsi="Times New Roman" w:cs="Times New Roman"/>
          <w:sz w:val="24"/>
          <w:szCs w:val="24"/>
        </w:rPr>
        <w:t>are</w:t>
      </w:r>
      <w:r w:rsidR="004A3577">
        <w:rPr>
          <w:rFonts w:ascii="Times New Roman" w:hAnsi="Times New Roman" w:cs="Times New Roman"/>
          <w:sz w:val="24"/>
          <w:szCs w:val="24"/>
        </w:rPr>
        <w:t xml:space="preserve"> negligible.  Even in FL24, the long-run effects </w:t>
      </w:r>
      <w:r w:rsidR="009C5D8B">
        <w:rPr>
          <w:rFonts w:ascii="Times New Roman" w:hAnsi="Times New Roman" w:cs="Times New Roman"/>
          <w:sz w:val="24"/>
          <w:szCs w:val="24"/>
        </w:rPr>
        <w:t>are</w:t>
      </w:r>
      <w:r w:rsidR="004A3577">
        <w:rPr>
          <w:rFonts w:ascii="Times New Roman" w:hAnsi="Times New Roman" w:cs="Times New Roman"/>
          <w:sz w:val="24"/>
          <w:szCs w:val="24"/>
        </w:rPr>
        <w:t xml:space="preserve"> small (-0</w:t>
      </w:r>
      <w:r w:rsidR="00762A59">
        <w:rPr>
          <w:rFonts w:ascii="Times New Roman" w:hAnsi="Times New Roman" w:cs="Times New Roman"/>
          <w:sz w:val="24"/>
          <w:szCs w:val="24"/>
        </w:rPr>
        <w:t>.</w:t>
      </w:r>
      <w:r w:rsidR="004A3577">
        <w:rPr>
          <w:rFonts w:ascii="Times New Roman" w:hAnsi="Times New Roman" w:cs="Times New Roman"/>
          <w:sz w:val="24"/>
          <w:szCs w:val="24"/>
        </w:rPr>
        <w:t>01</w:t>
      </w:r>
      <w:r w:rsidR="00EA22B7">
        <w:rPr>
          <w:rFonts w:ascii="Times New Roman" w:hAnsi="Times New Roman" w:cs="Times New Roman"/>
          <w:sz w:val="24"/>
          <w:szCs w:val="24"/>
        </w:rPr>
        <w:t>45</w:t>
      </w:r>
      <w:r w:rsidR="004A3577">
        <w:rPr>
          <w:rFonts w:ascii="Times New Roman" w:hAnsi="Times New Roman" w:cs="Times New Roman"/>
          <w:sz w:val="24"/>
          <w:szCs w:val="24"/>
        </w:rPr>
        <w:t xml:space="preserve"> per cent and 0.007</w:t>
      </w:r>
      <w:r w:rsidR="00EA22B7">
        <w:rPr>
          <w:rFonts w:ascii="Times New Roman" w:hAnsi="Times New Roman" w:cs="Times New Roman"/>
          <w:sz w:val="24"/>
          <w:szCs w:val="24"/>
        </w:rPr>
        <w:t>8</w:t>
      </w:r>
      <w:r w:rsidR="004A3577">
        <w:rPr>
          <w:rFonts w:ascii="Times New Roman" w:hAnsi="Times New Roman" w:cs="Times New Roman"/>
          <w:sz w:val="24"/>
          <w:szCs w:val="24"/>
        </w:rPr>
        <w:t xml:space="preserve"> per cent).  </w:t>
      </w:r>
      <w:r w:rsidR="00762A59">
        <w:rPr>
          <w:rFonts w:ascii="Times New Roman" w:hAnsi="Times New Roman" w:cs="Times New Roman"/>
          <w:sz w:val="24"/>
          <w:szCs w:val="24"/>
        </w:rPr>
        <w:t>Although the economy would recover from capital destruction in FL24, the event would have a noticeable negative effect on national economic welfare.  This is shown in the last</w:t>
      </w:r>
      <w:r w:rsidR="00EA22B7">
        <w:rPr>
          <w:rFonts w:ascii="Times New Roman" w:hAnsi="Times New Roman" w:cs="Times New Roman"/>
          <w:sz w:val="24"/>
          <w:szCs w:val="24"/>
        </w:rPr>
        <w:t xml:space="preserve"> two</w:t>
      </w:r>
      <w:r w:rsidR="00762A59">
        <w:rPr>
          <w:rFonts w:ascii="Times New Roman" w:hAnsi="Times New Roman" w:cs="Times New Roman"/>
          <w:sz w:val="24"/>
          <w:szCs w:val="24"/>
        </w:rPr>
        <w:t xml:space="preserve"> column</w:t>
      </w:r>
      <w:r w:rsidR="00EA22B7">
        <w:rPr>
          <w:rFonts w:ascii="Times New Roman" w:hAnsi="Times New Roman" w:cs="Times New Roman"/>
          <w:sz w:val="24"/>
          <w:szCs w:val="24"/>
        </w:rPr>
        <w:t>s</w:t>
      </w:r>
      <w:r w:rsidR="00762A59">
        <w:rPr>
          <w:rFonts w:ascii="Times New Roman" w:hAnsi="Times New Roman" w:cs="Times New Roman"/>
          <w:sz w:val="24"/>
          <w:szCs w:val="24"/>
        </w:rPr>
        <w:t xml:space="preserve"> of row 1</w:t>
      </w:r>
      <w:r w:rsidR="009C5D8B">
        <w:rPr>
          <w:rFonts w:ascii="Times New Roman" w:hAnsi="Times New Roman" w:cs="Times New Roman"/>
          <w:sz w:val="24"/>
          <w:szCs w:val="24"/>
        </w:rPr>
        <w:t xml:space="preserve">.  </w:t>
      </w:r>
      <w:r w:rsidR="00EA22B7">
        <w:rPr>
          <w:rFonts w:ascii="Times New Roman" w:hAnsi="Times New Roman" w:cs="Times New Roman"/>
          <w:sz w:val="24"/>
          <w:szCs w:val="24"/>
        </w:rPr>
        <w:t>Under</w:t>
      </w:r>
      <w:r w:rsidR="009C5D8B">
        <w:rPr>
          <w:rFonts w:ascii="Times New Roman" w:hAnsi="Times New Roman" w:cs="Times New Roman"/>
          <w:sz w:val="24"/>
          <w:szCs w:val="24"/>
        </w:rPr>
        <w:t xml:space="preserve"> a</w:t>
      </w:r>
      <w:r w:rsidR="00EA22B7">
        <w:rPr>
          <w:rFonts w:ascii="Times New Roman" w:hAnsi="Times New Roman" w:cs="Times New Roman"/>
          <w:sz w:val="24"/>
          <w:szCs w:val="24"/>
        </w:rPr>
        <w:t xml:space="preserve"> 5 per cent</w:t>
      </w:r>
      <w:r w:rsidR="009C5D8B">
        <w:rPr>
          <w:rFonts w:ascii="Times New Roman" w:hAnsi="Times New Roman" w:cs="Times New Roman"/>
          <w:sz w:val="24"/>
          <w:szCs w:val="24"/>
        </w:rPr>
        <w:t xml:space="preserve"> discount rate</w:t>
      </w:r>
      <w:r w:rsidR="00EA22B7">
        <w:rPr>
          <w:rFonts w:ascii="Times New Roman" w:hAnsi="Times New Roman" w:cs="Times New Roman"/>
          <w:sz w:val="24"/>
          <w:szCs w:val="24"/>
        </w:rPr>
        <w:t>, r</w:t>
      </w:r>
      <w:r w:rsidR="00762A59">
        <w:rPr>
          <w:rFonts w:ascii="Times New Roman" w:hAnsi="Times New Roman" w:cs="Times New Roman"/>
          <w:sz w:val="24"/>
          <w:szCs w:val="24"/>
        </w:rPr>
        <w:t xml:space="preserve">eplacement of destroyed capital (requiring extra savings and loss of consumption) would reduce national welfare accumulated over years 1 to 20 by an amount equivalent to the loss of 0.0076 per cent of a single year’s consumption.  </w:t>
      </w:r>
      <w:r w:rsidR="00EA22B7">
        <w:rPr>
          <w:rFonts w:ascii="Times New Roman" w:hAnsi="Times New Roman" w:cs="Times New Roman"/>
          <w:sz w:val="24"/>
          <w:szCs w:val="24"/>
        </w:rPr>
        <w:t>When future loss</w:t>
      </w:r>
      <w:r w:rsidR="009C5D8B">
        <w:rPr>
          <w:rFonts w:ascii="Times New Roman" w:hAnsi="Times New Roman" w:cs="Times New Roman"/>
          <w:sz w:val="24"/>
          <w:szCs w:val="24"/>
        </w:rPr>
        <w:t>es</w:t>
      </w:r>
      <w:r w:rsidR="00EA22B7">
        <w:rPr>
          <w:rFonts w:ascii="Times New Roman" w:hAnsi="Times New Roman" w:cs="Times New Roman"/>
          <w:sz w:val="24"/>
          <w:szCs w:val="24"/>
        </w:rPr>
        <w:t xml:space="preserve"> of consumption </w:t>
      </w:r>
      <w:r w:rsidR="009C5D8B">
        <w:rPr>
          <w:rFonts w:ascii="Times New Roman" w:hAnsi="Times New Roman" w:cs="Times New Roman"/>
          <w:sz w:val="24"/>
          <w:szCs w:val="24"/>
        </w:rPr>
        <w:t>are</w:t>
      </w:r>
      <w:r w:rsidR="00EA22B7">
        <w:rPr>
          <w:rFonts w:ascii="Times New Roman" w:hAnsi="Times New Roman" w:cs="Times New Roman"/>
          <w:sz w:val="24"/>
          <w:szCs w:val="24"/>
        </w:rPr>
        <w:t xml:space="preserve"> discounted at a lower rate (2 per cent rather than 5 per cent) the national welfare loss from destruction of 1 per cent of FL24’s capital becomes 0.0101 per cent.</w:t>
      </w:r>
    </w:p>
    <w:p w:rsidR="0021748C" w:rsidRDefault="00762A59" w:rsidP="0021748C">
      <w:pPr>
        <w:rPr>
          <w:rFonts w:ascii="Times New Roman" w:hAnsi="Times New Roman" w:cs="Times New Roman"/>
          <w:sz w:val="24"/>
          <w:szCs w:val="24"/>
        </w:rPr>
      </w:pPr>
      <w:r>
        <w:rPr>
          <w:rFonts w:ascii="Times New Roman" w:hAnsi="Times New Roman" w:cs="Times New Roman"/>
          <w:sz w:val="24"/>
          <w:szCs w:val="24"/>
        </w:rPr>
        <w:t xml:space="preserve">Row 2 of Table </w:t>
      </w:r>
      <w:r w:rsidR="00E9794F">
        <w:rPr>
          <w:rFonts w:ascii="Times New Roman" w:hAnsi="Times New Roman" w:cs="Times New Roman"/>
          <w:sz w:val="24"/>
          <w:szCs w:val="24"/>
        </w:rPr>
        <w:t>6.2</w:t>
      </w:r>
      <w:r>
        <w:rPr>
          <w:rFonts w:ascii="Times New Roman" w:hAnsi="Times New Roman" w:cs="Times New Roman"/>
          <w:sz w:val="24"/>
          <w:szCs w:val="24"/>
        </w:rPr>
        <w:t xml:space="preserve"> shows </w:t>
      </w:r>
      <w:r w:rsidR="008512A6">
        <w:rPr>
          <w:rFonts w:ascii="Times New Roman" w:hAnsi="Times New Roman" w:cs="Times New Roman"/>
          <w:sz w:val="24"/>
          <w:szCs w:val="24"/>
        </w:rPr>
        <w:t xml:space="preserve">under Keynesian assumptions </w:t>
      </w:r>
      <w:r>
        <w:rPr>
          <w:rFonts w:ascii="Times New Roman" w:hAnsi="Times New Roman" w:cs="Times New Roman"/>
          <w:sz w:val="24"/>
          <w:szCs w:val="24"/>
        </w:rPr>
        <w:t xml:space="preserve">the percentage effects on the </w:t>
      </w:r>
      <w:r w:rsidR="008512A6">
        <w:rPr>
          <w:rFonts w:ascii="Times New Roman" w:hAnsi="Times New Roman" w:cs="Times New Roman"/>
          <w:sz w:val="24"/>
          <w:szCs w:val="24"/>
        </w:rPr>
        <w:t xml:space="preserve">10 </w:t>
      </w:r>
      <w:r>
        <w:rPr>
          <w:rFonts w:ascii="Times New Roman" w:hAnsi="Times New Roman" w:cs="Times New Roman"/>
          <w:sz w:val="24"/>
          <w:szCs w:val="24"/>
        </w:rPr>
        <w:t xml:space="preserve">implication variables </w:t>
      </w:r>
      <w:r w:rsidR="00950D2D">
        <w:rPr>
          <w:rFonts w:ascii="Times New Roman" w:hAnsi="Times New Roman" w:cs="Times New Roman"/>
          <w:sz w:val="24"/>
          <w:szCs w:val="24"/>
        </w:rPr>
        <w:t xml:space="preserve">of a </w:t>
      </w:r>
      <w:r w:rsidR="008512A6">
        <w:rPr>
          <w:rFonts w:ascii="Times New Roman" w:hAnsi="Times New Roman" w:cs="Times New Roman"/>
          <w:sz w:val="24"/>
          <w:szCs w:val="24"/>
        </w:rPr>
        <w:t xml:space="preserve">reactivation </w:t>
      </w:r>
      <w:r w:rsidR="00950D2D">
        <w:rPr>
          <w:rFonts w:ascii="Times New Roman" w:hAnsi="Times New Roman" w:cs="Times New Roman"/>
          <w:sz w:val="24"/>
          <w:szCs w:val="24"/>
        </w:rPr>
        <w:t xml:space="preserve">of </w:t>
      </w:r>
      <w:r w:rsidR="00356F17">
        <w:rPr>
          <w:rFonts w:ascii="Times New Roman" w:hAnsi="Times New Roman" w:cs="Times New Roman"/>
          <w:sz w:val="24"/>
          <w:szCs w:val="24"/>
        </w:rPr>
        <w:t xml:space="preserve">1 per cent of </w:t>
      </w:r>
      <w:r w:rsidR="008512A6">
        <w:rPr>
          <w:rFonts w:ascii="Times New Roman" w:hAnsi="Times New Roman" w:cs="Times New Roman"/>
          <w:sz w:val="24"/>
          <w:szCs w:val="24"/>
        </w:rPr>
        <w:t xml:space="preserve">FL24’s </w:t>
      </w:r>
      <w:r w:rsidR="00950D2D">
        <w:rPr>
          <w:rFonts w:ascii="Times New Roman" w:hAnsi="Times New Roman" w:cs="Times New Roman"/>
          <w:sz w:val="24"/>
          <w:szCs w:val="24"/>
        </w:rPr>
        <w:t xml:space="preserve">capital taking place at the beginning of year 2.  Elasticities in this row can be used in conjunction with those in row 1 to handle scenarios in which there is both capital destruction and temporary capital contamination.  For example, </w:t>
      </w:r>
      <w:r w:rsidR="00356F17">
        <w:rPr>
          <w:rFonts w:ascii="Times New Roman" w:hAnsi="Times New Roman" w:cs="Times New Roman"/>
          <w:sz w:val="24"/>
          <w:szCs w:val="24"/>
        </w:rPr>
        <w:t>for</w:t>
      </w:r>
      <w:r w:rsidR="00950D2D">
        <w:rPr>
          <w:rFonts w:ascii="Times New Roman" w:hAnsi="Times New Roman" w:cs="Times New Roman"/>
          <w:sz w:val="24"/>
          <w:szCs w:val="24"/>
        </w:rPr>
        <w:t xml:space="preserve"> a scenario in which 10 per cent of capital in FL24 is taken out of use in </w:t>
      </w:r>
      <w:r w:rsidR="00E30939">
        <w:rPr>
          <w:rFonts w:ascii="Times New Roman" w:hAnsi="Times New Roman" w:cs="Times New Roman"/>
          <w:sz w:val="24"/>
          <w:szCs w:val="24"/>
        </w:rPr>
        <w:t>year 1</w:t>
      </w:r>
      <w:r w:rsidR="00950D2D">
        <w:rPr>
          <w:rFonts w:ascii="Times New Roman" w:hAnsi="Times New Roman" w:cs="Times New Roman"/>
          <w:sz w:val="24"/>
          <w:szCs w:val="24"/>
        </w:rPr>
        <w:t xml:space="preserve">, with 7 per cent being destroyed and 3 per cent being contaminated, we would conduct a simulation in which 10 per cent is “destroyed” in </w:t>
      </w:r>
      <w:r w:rsidR="00E30939">
        <w:rPr>
          <w:rFonts w:ascii="Times New Roman" w:hAnsi="Times New Roman" w:cs="Times New Roman"/>
          <w:sz w:val="24"/>
          <w:szCs w:val="24"/>
        </w:rPr>
        <w:t>year 1</w:t>
      </w:r>
      <w:r w:rsidR="00950D2D">
        <w:rPr>
          <w:rFonts w:ascii="Times New Roman" w:hAnsi="Times New Roman" w:cs="Times New Roman"/>
          <w:sz w:val="24"/>
          <w:szCs w:val="24"/>
        </w:rPr>
        <w:t xml:space="preserve"> and 3 per cent is re</w:t>
      </w:r>
      <w:r w:rsidR="008512A6">
        <w:rPr>
          <w:rFonts w:ascii="Times New Roman" w:hAnsi="Times New Roman" w:cs="Times New Roman"/>
          <w:sz w:val="24"/>
          <w:szCs w:val="24"/>
        </w:rPr>
        <w:t>activated</w:t>
      </w:r>
      <w:r w:rsidR="00950D2D">
        <w:rPr>
          <w:rFonts w:ascii="Times New Roman" w:hAnsi="Times New Roman" w:cs="Times New Roman"/>
          <w:sz w:val="24"/>
          <w:szCs w:val="24"/>
        </w:rPr>
        <w:t xml:space="preserve"> at the beginning of </w:t>
      </w:r>
      <w:r w:rsidR="00E30939">
        <w:rPr>
          <w:rFonts w:ascii="Times New Roman" w:hAnsi="Times New Roman" w:cs="Times New Roman"/>
          <w:sz w:val="24"/>
          <w:szCs w:val="24"/>
        </w:rPr>
        <w:t>year 2</w:t>
      </w:r>
      <w:r w:rsidR="00950D2D">
        <w:rPr>
          <w:rFonts w:ascii="Times New Roman" w:hAnsi="Times New Roman" w:cs="Times New Roman"/>
          <w:sz w:val="24"/>
          <w:szCs w:val="24"/>
        </w:rPr>
        <w:t xml:space="preserve">.  The effects of the </w:t>
      </w:r>
      <w:r w:rsidR="008512A6">
        <w:rPr>
          <w:rFonts w:ascii="Times New Roman" w:hAnsi="Times New Roman" w:cs="Times New Roman"/>
          <w:sz w:val="24"/>
          <w:szCs w:val="24"/>
        </w:rPr>
        <w:t>10 per cent</w:t>
      </w:r>
      <w:r w:rsidR="00950D2D">
        <w:rPr>
          <w:rFonts w:ascii="Times New Roman" w:hAnsi="Times New Roman" w:cs="Times New Roman"/>
          <w:sz w:val="24"/>
          <w:szCs w:val="24"/>
        </w:rPr>
        <w:t xml:space="preserve"> capital destruction would be captured </w:t>
      </w:r>
      <w:r w:rsidR="008512A6">
        <w:rPr>
          <w:rFonts w:ascii="Times New Roman" w:hAnsi="Times New Roman" w:cs="Times New Roman"/>
          <w:sz w:val="24"/>
          <w:szCs w:val="24"/>
        </w:rPr>
        <w:t>via elasticities from row 1 while the eff</w:t>
      </w:r>
      <w:r w:rsidR="00950D2D">
        <w:rPr>
          <w:rFonts w:ascii="Times New Roman" w:hAnsi="Times New Roman" w:cs="Times New Roman"/>
          <w:sz w:val="24"/>
          <w:szCs w:val="24"/>
        </w:rPr>
        <w:t xml:space="preserve">ects of capital reactivation would be captured via elasticities from </w:t>
      </w:r>
      <w:r w:rsidR="008512A6">
        <w:rPr>
          <w:rFonts w:ascii="Times New Roman" w:hAnsi="Times New Roman" w:cs="Times New Roman"/>
          <w:sz w:val="24"/>
          <w:szCs w:val="24"/>
        </w:rPr>
        <w:t>row 2.</w:t>
      </w:r>
      <w:r w:rsidR="00950D2D">
        <w:rPr>
          <w:rFonts w:ascii="Times New Roman" w:hAnsi="Times New Roman" w:cs="Times New Roman"/>
          <w:sz w:val="24"/>
          <w:szCs w:val="24"/>
        </w:rPr>
        <w:t xml:space="preserve">  In this way, we would ascertain the effects of losing </w:t>
      </w:r>
      <w:r w:rsidR="008512A6">
        <w:rPr>
          <w:rFonts w:ascii="Times New Roman" w:hAnsi="Times New Roman" w:cs="Times New Roman"/>
          <w:sz w:val="24"/>
          <w:szCs w:val="24"/>
        </w:rPr>
        <w:t>7 per cent</w:t>
      </w:r>
      <w:r w:rsidR="00950D2D">
        <w:rPr>
          <w:rFonts w:ascii="Times New Roman" w:hAnsi="Times New Roman" w:cs="Times New Roman"/>
          <w:sz w:val="24"/>
          <w:szCs w:val="24"/>
        </w:rPr>
        <w:t xml:space="preserve"> of </w:t>
      </w:r>
      <w:r w:rsidR="008512A6">
        <w:rPr>
          <w:rFonts w:ascii="Times New Roman" w:hAnsi="Times New Roman" w:cs="Times New Roman"/>
          <w:sz w:val="24"/>
          <w:szCs w:val="24"/>
        </w:rPr>
        <w:t>FL24</w:t>
      </w:r>
      <w:r w:rsidR="00C81DEF">
        <w:rPr>
          <w:rFonts w:ascii="Times New Roman" w:hAnsi="Times New Roman" w:cs="Times New Roman"/>
          <w:sz w:val="24"/>
          <w:szCs w:val="24"/>
        </w:rPr>
        <w:t>’</w:t>
      </w:r>
      <w:r w:rsidR="008512A6">
        <w:rPr>
          <w:rFonts w:ascii="Times New Roman" w:hAnsi="Times New Roman" w:cs="Times New Roman"/>
          <w:sz w:val="24"/>
          <w:szCs w:val="24"/>
        </w:rPr>
        <w:t xml:space="preserve">s </w:t>
      </w:r>
      <w:r w:rsidR="00950D2D">
        <w:rPr>
          <w:rFonts w:ascii="Times New Roman" w:hAnsi="Times New Roman" w:cs="Times New Roman"/>
          <w:sz w:val="24"/>
          <w:szCs w:val="24"/>
        </w:rPr>
        <w:t xml:space="preserve">capital </w:t>
      </w:r>
      <w:r w:rsidR="008512A6">
        <w:rPr>
          <w:rFonts w:ascii="Times New Roman" w:hAnsi="Times New Roman" w:cs="Times New Roman"/>
          <w:sz w:val="24"/>
          <w:szCs w:val="24"/>
        </w:rPr>
        <w:t xml:space="preserve">permanently </w:t>
      </w:r>
      <w:r w:rsidR="00950D2D">
        <w:rPr>
          <w:rFonts w:ascii="Times New Roman" w:hAnsi="Times New Roman" w:cs="Times New Roman"/>
          <w:sz w:val="24"/>
          <w:szCs w:val="24"/>
        </w:rPr>
        <w:t xml:space="preserve">but losing the use of </w:t>
      </w:r>
      <w:r w:rsidR="008512A6">
        <w:rPr>
          <w:rFonts w:ascii="Times New Roman" w:hAnsi="Times New Roman" w:cs="Times New Roman"/>
          <w:sz w:val="24"/>
          <w:szCs w:val="24"/>
        </w:rPr>
        <w:t xml:space="preserve">3 per cent only </w:t>
      </w:r>
      <w:r w:rsidR="00950D2D">
        <w:rPr>
          <w:rFonts w:ascii="Times New Roman" w:hAnsi="Times New Roman" w:cs="Times New Roman"/>
          <w:sz w:val="24"/>
          <w:szCs w:val="24"/>
        </w:rPr>
        <w:t>temporarily (</w:t>
      </w:r>
      <w:r w:rsidR="008512A6">
        <w:rPr>
          <w:rFonts w:ascii="Times New Roman" w:hAnsi="Times New Roman" w:cs="Times New Roman"/>
          <w:sz w:val="24"/>
          <w:szCs w:val="24"/>
        </w:rPr>
        <w:t xml:space="preserve">for </w:t>
      </w:r>
      <w:r w:rsidR="00E30939">
        <w:rPr>
          <w:rFonts w:ascii="Times New Roman" w:hAnsi="Times New Roman" w:cs="Times New Roman"/>
          <w:sz w:val="24"/>
          <w:szCs w:val="24"/>
        </w:rPr>
        <w:t>one</w:t>
      </w:r>
      <w:r w:rsidR="00950D2D">
        <w:rPr>
          <w:rFonts w:ascii="Times New Roman" w:hAnsi="Times New Roman" w:cs="Times New Roman"/>
          <w:sz w:val="24"/>
          <w:szCs w:val="24"/>
        </w:rPr>
        <w:t xml:space="preserve"> year).  While literally we allow for capital idling for exactly one year, we can adjust shocks to encompass scenarios with other possibilities.  For example, if the </w:t>
      </w:r>
      <w:r w:rsidR="008512A6">
        <w:rPr>
          <w:rFonts w:ascii="Times New Roman" w:hAnsi="Times New Roman" w:cs="Times New Roman"/>
          <w:sz w:val="24"/>
          <w:szCs w:val="24"/>
        </w:rPr>
        <w:t>3 per cent</w:t>
      </w:r>
      <w:r w:rsidR="00950D2D">
        <w:rPr>
          <w:rFonts w:ascii="Times New Roman" w:hAnsi="Times New Roman" w:cs="Times New Roman"/>
          <w:sz w:val="24"/>
          <w:szCs w:val="24"/>
        </w:rPr>
        <w:t xml:space="preserve"> of </w:t>
      </w:r>
      <w:r w:rsidR="008512A6">
        <w:rPr>
          <w:rFonts w:ascii="Times New Roman" w:hAnsi="Times New Roman" w:cs="Times New Roman"/>
          <w:sz w:val="24"/>
          <w:szCs w:val="24"/>
        </w:rPr>
        <w:t xml:space="preserve">FL24’s </w:t>
      </w:r>
      <w:r w:rsidR="00950D2D">
        <w:rPr>
          <w:rFonts w:ascii="Times New Roman" w:hAnsi="Times New Roman" w:cs="Times New Roman"/>
          <w:sz w:val="24"/>
          <w:szCs w:val="24"/>
        </w:rPr>
        <w:t>capital is decontaminated in 6 months</w:t>
      </w:r>
      <w:r w:rsidR="008512A6">
        <w:rPr>
          <w:rFonts w:ascii="Times New Roman" w:hAnsi="Times New Roman" w:cs="Times New Roman"/>
          <w:sz w:val="24"/>
          <w:szCs w:val="24"/>
        </w:rPr>
        <w:t xml:space="preserve"> rather than a year</w:t>
      </w:r>
      <w:r w:rsidR="00950D2D">
        <w:rPr>
          <w:rFonts w:ascii="Times New Roman" w:hAnsi="Times New Roman" w:cs="Times New Roman"/>
          <w:sz w:val="24"/>
          <w:szCs w:val="24"/>
        </w:rPr>
        <w:t xml:space="preserve">, then we could treat this situation as destruction of </w:t>
      </w:r>
      <w:r w:rsidR="008512A6">
        <w:rPr>
          <w:rFonts w:ascii="Times New Roman" w:hAnsi="Times New Roman" w:cs="Times New Roman"/>
          <w:sz w:val="24"/>
          <w:szCs w:val="24"/>
        </w:rPr>
        <w:t>8.5 per cent</w:t>
      </w:r>
      <w:r w:rsidR="00950D2D">
        <w:rPr>
          <w:rFonts w:ascii="Times New Roman" w:hAnsi="Times New Roman" w:cs="Times New Roman"/>
          <w:sz w:val="24"/>
          <w:szCs w:val="24"/>
        </w:rPr>
        <w:t xml:space="preserve"> (= </w:t>
      </w:r>
      <w:r w:rsidR="008512A6">
        <w:rPr>
          <w:rFonts w:ascii="Times New Roman" w:hAnsi="Times New Roman" w:cs="Times New Roman"/>
          <w:sz w:val="24"/>
          <w:szCs w:val="24"/>
        </w:rPr>
        <w:t>7</w:t>
      </w:r>
      <w:r w:rsidR="00950D2D">
        <w:rPr>
          <w:rFonts w:ascii="Times New Roman" w:hAnsi="Times New Roman" w:cs="Times New Roman"/>
          <w:sz w:val="24"/>
          <w:szCs w:val="24"/>
        </w:rPr>
        <w:t xml:space="preserve"> +</w:t>
      </w:r>
      <w:r w:rsidR="008512A6">
        <w:rPr>
          <w:rFonts w:ascii="Times New Roman" w:hAnsi="Times New Roman" w:cs="Times New Roman"/>
          <w:sz w:val="24"/>
          <w:szCs w:val="24"/>
        </w:rPr>
        <w:t>1.5</w:t>
      </w:r>
      <w:r w:rsidR="00950D2D">
        <w:rPr>
          <w:rFonts w:ascii="Times New Roman" w:hAnsi="Times New Roman" w:cs="Times New Roman"/>
          <w:sz w:val="24"/>
          <w:szCs w:val="24"/>
        </w:rPr>
        <w:t xml:space="preserve">) of capital and reactivation one year later </w:t>
      </w:r>
      <w:r w:rsidR="008512A6">
        <w:rPr>
          <w:rFonts w:ascii="Times New Roman" w:hAnsi="Times New Roman" w:cs="Times New Roman"/>
          <w:sz w:val="24"/>
          <w:szCs w:val="24"/>
        </w:rPr>
        <w:t xml:space="preserve">of </w:t>
      </w:r>
      <w:r w:rsidR="0021748C">
        <w:rPr>
          <w:rFonts w:ascii="Times New Roman" w:hAnsi="Times New Roman" w:cs="Times New Roman"/>
          <w:sz w:val="24"/>
          <w:szCs w:val="24"/>
        </w:rPr>
        <w:t xml:space="preserve">1.5 per cent.  Reactivation of capital at the beginning of year 2 has zero effect on variables in 1 and negligible effects in year 20.  The welfare effects are approximately the same as those for capital destruction but with opposite sign.  </w:t>
      </w:r>
    </w:p>
    <w:p w:rsidR="0021748C" w:rsidRDefault="0021748C" w:rsidP="0021748C">
      <w:pPr>
        <w:tabs>
          <w:tab w:val="left" w:pos="720"/>
          <w:tab w:val="right" w:pos="8820"/>
        </w:tabs>
        <w:rPr>
          <w:rFonts w:ascii="Times New Roman" w:hAnsi="Times New Roman" w:cs="Times New Roman"/>
          <w:sz w:val="24"/>
          <w:szCs w:val="24"/>
        </w:rPr>
      </w:pPr>
      <w:r>
        <w:rPr>
          <w:rFonts w:ascii="Times New Roman" w:hAnsi="Times New Roman" w:cs="Times New Roman"/>
          <w:sz w:val="24"/>
          <w:szCs w:val="24"/>
        </w:rPr>
        <w:t>Row 3 of Table 6.2 shows under Keynesian assumptions the percentage effects on the 10 implication variables of a temporary</w:t>
      </w:r>
      <w:r>
        <w:rPr>
          <w:rStyle w:val="FootnoteReference"/>
          <w:rFonts w:ascii="Times New Roman" w:hAnsi="Times New Roman" w:cs="Times New Roman"/>
          <w:sz w:val="24"/>
          <w:szCs w:val="24"/>
        </w:rPr>
        <w:footnoteReference w:id="23"/>
      </w:r>
      <w:r>
        <w:rPr>
          <w:rFonts w:ascii="Times New Roman" w:hAnsi="Times New Roman" w:cs="Times New Roman"/>
          <w:sz w:val="24"/>
          <w:szCs w:val="24"/>
        </w:rPr>
        <w:t xml:space="preserve"> 1 per cent boost in public expenditure throughout FL24’s city.  These elasticities are used in calculating the effects of clean-up expenditures.  Notice that unlike capital destruction, we assume that clean-up expenditures take place </w:t>
      </w:r>
      <w:r>
        <w:rPr>
          <w:rFonts w:ascii="Times New Roman" w:hAnsi="Times New Roman" w:cs="Times New Roman"/>
          <w:sz w:val="24"/>
          <w:szCs w:val="24"/>
        </w:rPr>
        <w:br/>
      </w:r>
    </w:p>
    <w:p w:rsidR="004B40A3" w:rsidRDefault="004B40A3" w:rsidP="00950D2D">
      <w:pPr>
        <w:rPr>
          <w:rFonts w:ascii="Times New Roman" w:hAnsi="Times New Roman" w:cs="Times New Roman"/>
          <w:sz w:val="24"/>
          <w:szCs w:val="24"/>
        </w:rPr>
        <w:sectPr w:rsidR="004B40A3" w:rsidSect="003573B9">
          <w:pgSz w:w="11906" w:h="16838"/>
          <w:pgMar w:top="1440" w:right="1440" w:bottom="1440" w:left="1440" w:header="708" w:footer="708" w:gutter="0"/>
          <w:pgNumType w:start="1"/>
          <w:cols w:space="708"/>
          <w:docGrid w:linePitch="360"/>
        </w:sectPr>
      </w:pPr>
    </w:p>
    <w:p w:rsidR="004B40A3" w:rsidRDefault="004B40A3" w:rsidP="004B40A3">
      <w:pPr>
        <w:jc w:val="center"/>
      </w:pPr>
      <w:r w:rsidRPr="00356F17">
        <w:rPr>
          <w:rFonts w:ascii="Times New Roman" w:hAnsi="Times New Roman" w:cs="Times New Roman"/>
          <w:b/>
          <w:i/>
          <w:sz w:val="24"/>
          <w:szCs w:val="24"/>
        </w:rPr>
        <w:lastRenderedPageBreak/>
        <w:t xml:space="preserve">Table 6.2.  Elasticities for incident in </w:t>
      </w:r>
      <w:r w:rsidRPr="00356F17">
        <w:rPr>
          <w:rFonts w:ascii="Times New Roman" w:hAnsi="Times New Roman" w:cs="Times New Roman"/>
          <w:b/>
          <w:i/>
          <w:color w:val="FF0000"/>
          <w:sz w:val="24"/>
          <w:szCs w:val="24"/>
        </w:rPr>
        <w:t>FL24</w:t>
      </w:r>
      <w:r w:rsidRPr="00356F17">
        <w:rPr>
          <w:rFonts w:ascii="Times New Roman" w:hAnsi="Times New Roman" w:cs="Times New Roman"/>
          <w:b/>
          <w:i/>
          <w:sz w:val="24"/>
          <w:szCs w:val="24"/>
        </w:rPr>
        <w:t xml:space="preserve"> with </w:t>
      </w:r>
      <w:r w:rsidRPr="00356F17">
        <w:rPr>
          <w:rFonts w:ascii="Times New Roman" w:hAnsi="Times New Roman" w:cs="Times New Roman"/>
          <w:b/>
          <w:i/>
          <w:color w:val="FF0000"/>
          <w:sz w:val="24"/>
          <w:szCs w:val="24"/>
        </w:rPr>
        <w:t xml:space="preserve">Keynesian </w:t>
      </w:r>
      <w:r w:rsidRPr="00356F17">
        <w:rPr>
          <w:rFonts w:ascii="Times New Roman" w:hAnsi="Times New Roman" w:cs="Times New Roman"/>
          <w:b/>
          <w:i/>
          <w:sz w:val="24"/>
          <w:szCs w:val="24"/>
        </w:rPr>
        <w:t>assumptions: % effects on implication variables of 1% shocks to driving variables</w:t>
      </w:r>
      <w:r>
        <w:rPr>
          <w:rFonts w:ascii="Times New Roman" w:hAnsi="Times New Roman" w:cs="Times New Roman"/>
          <w:b/>
          <w:i/>
          <w:sz w:val="24"/>
          <w:szCs w:val="24"/>
        </w:rPr>
        <w:t xml:space="preserve"> </w:t>
      </w:r>
    </w:p>
    <w:tbl>
      <w:tblPr>
        <w:tblStyle w:val="TableGrid"/>
        <w:tblW w:w="141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9"/>
        <w:gridCol w:w="2042"/>
        <w:gridCol w:w="832"/>
        <w:gridCol w:w="1030"/>
        <w:gridCol w:w="1041"/>
        <w:gridCol w:w="1041"/>
        <w:gridCol w:w="1030"/>
        <w:gridCol w:w="1043"/>
        <w:gridCol w:w="1043"/>
        <w:gridCol w:w="1030"/>
        <w:gridCol w:w="980"/>
        <w:gridCol w:w="1053"/>
      </w:tblGrid>
      <w:tr w:rsidR="004B40A3" w:rsidTr="00900B10">
        <w:trPr>
          <w:trHeight w:val="2286"/>
        </w:trPr>
        <w:tc>
          <w:tcPr>
            <w:tcW w:w="2009" w:type="dxa"/>
            <w:tcBorders>
              <w:top w:val="single" w:sz="18" w:space="0" w:color="7F7F7F" w:themeColor="text1" w:themeTint="80"/>
            </w:tcBorders>
            <w:vAlign w:val="bottom"/>
          </w:tcPr>
          <w:p w:rsidR="004B40A3" w:rsidRPr="00BD714E" w:rsidRDefault="004B40A3" w:rsidP="00900B10">
            <w:pPr>
              <w:spacing w:before="0"/>
              <w:rPr>
                <w:rFonts w:ascii="Times New Roman" w:hAnsi="Times New Roman" w:cs="Times New Roman"/>
                <w:b/>
                <w:sz w:val="24"/>
                <w:szCs w:val="24"/>
              </w:rPr>
            </w:pPr>
            <w:r w:rsidRPr="00BD714E">
              <w:rPr>
                <w:rFonts w:ascii="Times New Roman" w:hAnsi="Times New Roman" w:cs="Times New Roman"/>
                <w:b/>
                <w:sz w:val="24"/>
                <w:szCs w:val="24"/>
              </w:rPr>
              <w:t>Driving variables</w:t>
            </w:r>
          </w:p>
        </w:tc>
        <w:tc>
          <w:tcPr>
            <w:tcW w:w="2042" w:type="dxa"/>
            <w:tcBorders>
              <w:top w:val="single" w:sz="18" w:space="0" w:color="7F7F7F" w:themeColor="text1" w:themeTint="80"/>
              <w:right w:val="single" w:sz="18" w:space="0" w:color="7F7F7F" w:themeColor="text1" w:themeTint="80"/>
            </w:tcBorders>
          </w:tcPr>
          <w:p w:rsidR="004B40A3" w:rsidRPr="00BD714E" w:rsidRDefault="004B40A3" w:rsidP="00900B10">
            <w:pPr>
              <w:spacing w:before="0"/>
              <w:jc w:val="right"/>
              <w:rPr>
                <w:rFonts w:ascii="Times New Roman" w:hAnsi="Times New Roman" w:cs="Times New Roman"/>
                <w:b/>
                <w:sz w:val="24"/>
                <w:szCs w:val="24"/>
              </w:rPr>
            </w:pPr>
            <w:r w:rsidRPr="00BD714E">
              <w:rPr>
                <w:rFonts w:ascii="Times New Roman" w:hAnsi="Times New Roman" w:cs="Times New Roman"/>
                <w:b/>
                <w:sz w:val="24"/>
                <w:szCs w:val="24"/>
              </w:rPr>
              <w:t>Implication variables</w:t>
            </w:r>
          </w:p>
        </w:tc>
        <w:tc>
          <w:tcPr>
            <w:tcW w:w="832" w:type="dxa"/>
            <w:tcBorders>
              <w:top w:val="single" w:sz="18" w:space="0" w:color="7F7F7F" w:themeColor="text1" w:themeTint="80"/>
              <w:left w:val="single" w:sz="18" w:space="0" w:color="7F7F7F" w:themeColor="text1" w:themeTint="80"/>
            </w:tcBorders>
            <w:textDirection w:val="tbRl"/>
            <w:vAlign w:val="center"/>
          </w:tcPr>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 xml:space="preserve">National GDP </w:t>
            </w:r>
          </w:p>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Year 1</w:t>
            </w:r>
          </w:p>
        </w:tc>
        <w:tc>
          <w:tcPr>
            <w:tcW w:w="1030" w:type="dxa"/>
            <w:tcBorders>
              <w:top w:val="single" w:sz="18" w:space="0" w:color="7F7F7F" w:themeColor="text1" w:themeTint="80"/>
            </w:tcBorders>
            <w:textDirection w:val="tbRl"/>
            <w:vAlign w:val="center"/>
          </w:tcPr>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 xml:space="preserve">National employment  </w:t>
            </w:r>
          </w:p>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Year 1</w:t>
            </w:r>
          </w:p>
        </w:tc>
        <w:tc>
          <w:tcPr>
            <w:tcW w:w="1041" w:type="dxa"/>
            <w:tcBorders>
              <w:top w:val="single" w:sz="18" w:space="0" w:color="7F7F7F" w:themeColor="text1" w:themeTint="80"/>
            </w:tcBorders>
            <w:textDirection w:val="tbRl"/>
            <w:vAlign w:val="center"/>
          </w:tcPr>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 xml:space="preserve">Target  region GRP </w:t>
            </w:r>
          </w:p>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Year 1</w:t>
            </w:r>
          </w:p>
        </w:tc>
        <w:tc>
          <w:tcPr>
            <w:tcW w:w="1041" w:type="dxa"/>
            <w:tcBorders>
              <w:top w:val="single" w:sz="18" w:space="0" w:color="7F7F7F" w:themeColor="text1" w:themeTint="80"/>
              <w:right w:val="single" w:sz="18" w:space="0" w:color="7F7F7F" w:themeColor="text1" w:themeTint="80"/>
            </w:tcBorders>
            <w:textDirection w:val="tbRl"/>
            <w:vAlign w:val="center"/>
          </w:tcPr>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Target  region employment Year 1</w:t>
            </w:r>
          </w:p>
        </w:tc>
        <w:tc>
          <w:tcPr>
            <w:tcW w:w="1030" w:type="dxa"/>
            <w:tcBorders>
              <w:top w:val="single" w:sz="18" w:space="0" w:color="7F7F7F" w:themeColor="text1" w:themeTint="80"/>
              <w:left w:val="single" w:sz="18" w:space="0" w:color="7F7F7F" w:themeColor="text1" w:themeTint="80"/>
            </w:tcBorders>
            <w:textDirection w:val="tbRl"/>
            <w:vAlign w:val="center"/>
          </w:tcPr>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 xml:space="preserve">National GDP </w:t>
            </w:r>
          </w:p>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Year 20</w:t>
            </w:r>
          </w:p>
        </w:tc>
        <w:tc>
          <w:tcPr>
            <w:tcW w:w="1043" w:type="dxa"/>
            <w:tcBorders>
              <w:top w:val="single" w:sz="18" w:space="0" w:color="7F7F7F" w:themeColor="text1" w:themeTint="80"/>
            </w:tcBorders>
            <w:textDirection w:val="tbRl"/>
            <w:vAlign w:val="center"/>
          </w:tcPr>
          <w:p w:rsidR="004B40A3" w:rsidRPr="00F66BB7" w:rsidRDefault="004B40A3" w:rsidP="00900B10">
            <w:pPr>
              <w:spacing w:before="0"/>
              <w:ind w:left="115" w:right="115"/>
              <w:rPr>
                <w:rFonts w:ascii="Times New Roman" w:hAnsi="Times New Roman" w:cs="Times New Roman"/>
                <w:b/>
                <w:sz w:val="20"/>
                <w:szCs w:val="20"/>
              </w:rPr>
            </w:pPr>
            <w:r w:rsidRPr="00F66BB7">
              <w:rPr>
                <w:rFonts w:ascii="Times New Roman" w:hAnsi="Times New Roman" w:cs="Times New Roman"/>
                <w:b/>
                <w:sz w:val="20"/>
                <w:szCs w:val="20"/>
              </w:rPr>
              <w:t xml:space="preserve">National employment  </w:t>
            </w:r>
          </w:p>
          <w:p w:rsidR="004B40A3" w:rsidRPr="00F66BB7" w:rsidRDefault="004B40A3" w:rsidP="00900B10">
            <w:pPr>
              <w:spacing w:before="0"/>
              <w:ind w:left="115" w:right="115"/>
              <w:rPr>
                <w:rFonts w:ascii="Times New Roman" w:hAnsi="Times New Roman" w:cs="Times New Roman"/>
                <w:b/>
                <w:sz w:val="20"/>
                <w:szCs w:val="20"/>
              </w:rPr>
            </w:pPr>
            <w:r w:rsidRPr="00F66BB7">
              <w:rPr>
                <w:rFonts w:ascii="Times New Roman" w:hAnsi="Times New Roman" w:cs="Times New Roman"/>
                <w:b/>
                <w:sz w:val="20"/>
                <w:szCs w:val="20"/>
              </w:rPr>
              <w:t>Year 20</w:t>
            </w:r>
          </w:p>
        </w:tc>
        <w:tc>
          <w:tcPr>
            <w:tcW w:w="1043" w:type="dxa"/>
            <w:tcBorders>
              <w:top w:val="single" w:sz="18" w:space="0" w:color="7F7F7F" w:themeColor="text1" w:themeTint="80"/>
            </w:tcBorders>
            <w:textDirection w:val="tbRl"/>
            <w:vAlign w:val="center"/>
          </w:tcPr>
          <w:p w:rsidR="004B40A3" w:rsidRPr="00F66BB7" w:rsidRDefault="004B40A3" w:rsidP="00900B10">
            <w:pPr>
              <w:spacing w:before="0"/>
              <w:ind w:left="115" w:right="115"/>
              <w:rPr>
                <w:rFonts w:ascii="Times New Roman" w:hAnsi="Times New Roman" w:cs="Times New Roman"/>
                <w:b/>
                <w:sz w:val="20"/>
                <w:szCs w:val="20"/>
              </w:rPr>
            </w:pPr>
            <w:r w:rsidRPr="00F66BB7">
              <w:rPr>
                <w:rFonts w:ascii="Times New Roman" w:hAnsi="Times New Roman" w:cs="Times New Roman"/>
                <w:b/>
                <w:sz w:val="20"/>
                <w:szCs w:val="20"/>
              </w:rPr>
              <w:t xml:space="preserve">Target  region GRP </w:t>
            </w:r>
          </w:p>
          <w:p w:rsidR="004B40A3" w:rsidRPr="00F66BB7" w:rsidRDefault="004B40A3" w:rsidP="00900B10">
            <w:pPr>
              <w:spacing w:before="0"/>
              <w:ind w:left="115" w:right="115"/>
              <w:rPr>
                <w:rFonts w:ascii="Times New Roman" w:hAnsi="Times New Roman" w:cs="Times New Roman"/>
                <w:b/>
                <w:sz w:val="20"/>
                <w:szCs w:val="20"/>
              </w:rPr>
            </w:pPr>
            <w:r w:rsidRPr="00F66BB7">
              <w:rPr>
                <w:rFonts w:ascii="Times New Roman" w:hAnsi="Times New Roman" w:cs="Times New Roman"/>
                <w:b/>
                <w:sz w:val="20"/>
                <w:szCs w:val="20"/>
              </w:rPr>
              <w:t>Year 20</w:t>
            </w:r>
          </w:p>
        </w:tc>
        <w:tc>
          <w:tcPr>
            <w:tcW w:w="1030" w:type="dxa"/>
            <w:tcBorders>
              <w:top w:val="single" w:sz="18" w:space="0" w:color="7F7F7F" w:themeColor="text1" w:themeTint="80"/>
            </w:tcBorders>
            <w:textDirection w:val="tbRl"/>
            <w:vAlign w:val="center"/>
          </w:tcPr>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 xml:space="preserve">Target  region employment  </w:t>
            </w:r>
          </w:p>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Year20</w:t>
            </w:r>
          </w:p>
        </w:tc>
        <w:tc>
          <w:tcPr>
            <w:tcW w:w="980" w:type="dxa"/>
            <w:tcBorders>
              <w:top w:val="single" w:sz="18" w:space="0" w:color="7F7F7F" w:themeColor="text1" w:themeTint="80"/>
            </w:tcBorders>
            <w:textDirection w:val="tbRl"/>
            <w:vAlign w:val="center"/>
          </w:tcPr>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 xml:space="preserve">National welfare </w:t>
            </w:r>
          </w:p>
          <w:p w:rsidR="004B40A3" w:rsidRPr="00BD714E" w:rsidRDefault="004B40A3" w:rsidP="00900B10">
            <w:pPr>
              <w:spacing w:before="0"/>
              <w:ind w:left="115" w:right="115"/>
              <w:rPr>
                <w:rFonts w:ascii="Times New Roman" w:hAnsi="Times New Roman" w:cs="Times New Roman"/>
                <w:b/>
                <w:sz w:val="20"/>
                <w:szCs w:val="20"/>
              </w:rPr>
            </w:pPr>
            <w:r>
              <w:rPr>
                <w:rFonts w:ascii="Times New Roman" w:hAnsi="Times New Roman" w:cs="Times New Roman"/>
                <w:b/>
                <w:sz w:val="20"/>
                <w:szCs w:val="20"/>
              </w:rPr>
              <w:t>a</w:t>
            </w:r>
            <w:r w:rsidRPr="00BD714E">
              <w:rPr>
                <w:rFonts w:ascii="Times New Roman" w:hAnsi="Times New Roman" w:cs="Times New Roman"/>
                <w:b/>
                <w:sz w:val="20"/>
                <w:szCs w:val="20"/>
              </w:rPr>
              <w:t>ccumulated years 1 to 20</w:t>
            </w:r>
            <w:r>
              <w:rPr>
                <w:rFonts w:ascii="Times New Roman" w:hAnsi="Times New Roman" w:cs="Times New Roman"/>
                <w:b/>
                <w:sz w:val="20"/>
                <w:szCs w:val="20"/>
              </w:rPr>
              <w:t>, discount rate 0.05</w:t>
            </w:r>
          </w:p>
        </w:tc>
        <w:tc>
          <w:tcPr>
            <w:tcW w:w="1053" w:type="dxa"/>
            <w:tcBorders>
              <w:top w:val="single" w:sz="18" w:space="0" w:color="7F7F7F" w:themeColor="text1" w:themeTint="80"/>
            </w:tcBorders>
            <w:textDirection w:val="tbRl"/>
          </w:tcPr>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 xml:space="preserve">National welfare </w:t>
            </w:r>
          </w:p>
          <w:p w:rsidR="004B40A3" w:rsidRPr="00BD714E" w:rsidRDefault="004B40A3" w:rsidP="00900B10">
            <w:pPr>
              <w:spacing w:before="0"/>
              <w:ind w:left="115" w:right="115"/>
              <w:rPr>
                <w:rFonts w:ascii="Times New Roman" w:hAnsi="Times New Roman" w:cs="Times New Roman"/>
                <w:b/>
                <w:sz w:val="20"/>
                <w:szCs w:val="20"/>
              </w:rPr>
            </w:pPr>
            <w:r>
              <w:rPr>
                <w:rFonts w:ascii="Times New Roman" w:hAnsi="Times New Roman" w:cs="Times New Roman"/>
                <w:b/>
                <w:sz w:val="20"/>
                <w:szCs w:val="20"/>
              </w:rPr>
              <w:t>a</w:t>
            </w:r>
            <w:r w:rsidRPr="00BD714E">
              <w:rPr>
                <w:rFonts w:ascii="Times New Roman" w:hAnsi="Times New Roman" w:cs="Times New Roman"/>
                <w:b/>
                <w:sz w:val="20"/>
                <w:szCs w:val="20"/>
              </w:rPr>
              <w:t>ccumulated years 1 to 20</w:t>
            </w:r>
            <w:r>
              <w:rPr>
                <w:rFonts w:ascii="Times New Roman" w:hAnsi="Times New Roman" w:cs="Times New Roman"/>
                <w:b/>
                <w:sz w:val="20"/>
                <w:szCs w:val="20"/>
              </w:rPr>
              <w:t>, discount rate 0.02</w:t>
            </w:r>
          </w:p>
        </w:tc>
      </w:tr>
      <w:tr w:rsidR="004B40A3" w:rsidTr="00900B10">
        <w:tc>
          <w:tcPr>
            <w:tcW w:w="4051" w:type="dxa"/>
            <w:gridSpan w:val="2"/>
            <w:tcBorders>
              <w:top w:val="single" w:sz="18" w:space="0" w:color="7F7F7F" w:themeColor="text1" w:themeTint="80"/>
              <w:right w:val="single" w:sz="18" w:space="0" w:color="7F7F7F" w:themeColor="text1" w:themeTint="80"/>
            </w:tcBorders>
          </w:tcPr>
          <w:p w:rsidR="004B40A3" w:rsidRPr="00BD714E" w:rsidRDefault="004B40A3" w:rsidP="00900B10">
            <w:pPr>
              <w:tabs>
                <w:tab w:val="left" w:pos="146"/>
                <w:tab w:val="left" w:pos="438"/>
              </w:tabs>
              <w:spacing w:before="0"/>
              <w:rPr>
                <w:rFonts w:ascii="Times New Roman" w:hAnsi="Times New Roman" w:cs="Times New Roman"/>
                <w:b/>
                <w:sz w:val="20"/>
                <w:szCs w:val="20"/>
              </w:rPr>
            </w:pPr>
            <w:r w:rsidRPr="00BD714E">
              <w:rPr>
                <w:rFonts w:ascii="Times New Roman" w:hAnsi="Times New Roman" w:cs="Times New Roman"/>
                <w:b/>
                <w:sz w:val="20"/>
                <w:szCs w:val="20"/>
              </w:rPr>
              <w:t xml:space="preserve">1.  Value of capital taken out of use in target region </w:t>
            </w:r>
          </w:p>
        </w:tc>
        <w:tc>
          <w:tcPr>
            <w:tcW w:w="832" w:type="dxa"/>
            <w:tcBorders>
              <w:top w:val="single" w:sz="18" w:space="0" w:color="7F7F7F" w:themeColor="text1" w:themeTint="80"/>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-0.0013</w:t>
            </w:r>
          </w:p>
        </w:tc>
        <w:tc>
          <w:tcPr>
            <w:tcW w:w="1030" w:type="dxa"/>
            <w:tcBorders>
              <w:top w:val="single" w:sz="18" w:space="0" w:color="7F7F7F" w:themeColor="text1" w:themeTint="80"/>
            </w:tcBorders>
          </w:tcPr>
          <w:p w:rsidR="004B40A3" w:rsidRDefault="004B40A3" w:rsidP="00900B10">
            <w:pPr>
              <w:jc w:val="right"/>
              <w:rPr>
                <w:color w:val="000000"/>
                <w:sz w:val="18"/>
                <w:szCs w:val="18"/>
              </w:rPr>
            </w:pPr>
            <w:r>
              <w:rPr>
                <w:color w:val="000000"/>
                <w:sz w:val="18"/>
                <w:szCs w:val="18"/>
              </w:rPr>
              <w:t>-0.0009</w:t>
            </w:r>
          </w:p>
        </w:tc>
        <w:tc>
          <w:tcPr>
            <w:tcW w:w="1041" w:type="dxa"/>
            <w:tcBorders>
              <w:top w:val="single" w:sz="18" w:space="0" w:color="7F7F7F" w:themeColor="text1" w:themeTint="80"/>
            </w:tcBorders>
          </w:tcPr>
          <w:p w:rsidR="004B40A3" w:rsidRDefault="004B40A3" w:rsidP="00900B10">
            <w:pPr>
              <w:jc w:val="right"/>
              <w:rPr>
                <w:color w:val="000000"/>
                <w:sz w:val="18"/>
                <w:szCs w:val="18"/>
              </w:rPr>
            </w:pPr>
            <w:r>
              <w:rPr>
                <w:color w:val="000000"/>
                <w:sz w:val="18"/>
                <w:szCs w:val="18"/>
              </w:rPr>
              <w:t>-0.7828</w:t>
            </w:r>
          </w:p>
        </w:tc>
        <w:tc>
          <w:tcPr>
            <w:tcW w:w="1041" w:type="dxa"/>
            <w:tcBorders>
              <w:top w:val="single" w:sz="18" w:space="0" w:color="7F7F7F" w:themeColor="text1" w:themeTint="80"/>
              <w:right w:val="single" w:sz="18" w:space="0" w:color="7F7F7F" w:themeColor="text1" w:themeTint="80"/>
            </w:tcBorders>
          </w:tcPr>
          <w:p w:rsidR="004B40A3" w:rsidRDefault="004B40A3" w:rsidP="00900B10">
            <w:pPr>
              <w:jc w:val="right"/>
              <w:rPr>
                <w:color w:val="000000"/>
                <w:sz w:val="18"/>
                <w:szCs w:val="18"/>
              </w:rPr>
            </w:pPr>
            <w:r>
              <w:rPr>
                <w:color w:val="000000"/>
                <w:sz w:val="18"/>
                <w:szCs w:val="18"/>
              </w:rPr>
              <w:t>-0.6304</w:t>
            </w:r>
          </w:p>
        </w:tc>
        <w:tc>
          <w:tcPr>
            <w:tcW w:w="1030" w:type="dxa"/>
            <w:tcBorders>
              <w:top w:val="single" w:sz="18" w:space="0" w:color="7F7F7F" w:themeColor="text1" w:themeTint="80"/>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43" w:type="dxa"/>
            <w:tcBorders>
              <w:top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43" w:type="dxa"/>
            <w:tcBorders>
              <w:top w:val="single" w:sz="18" w:space="0" w:color="7F7F7F" w:themeColor="text1" w:themeTint="80"/>
            </w:tcBorders>
          </w:tcPr>
          <w:p w:rsidR="004B40A3" w:rsidRDefault="004B40A3" w:rsidP="00900B10">
            <w:pPr>
              <w:jc w:val="right"/>
              <w:rPr>
                <w:color w:val="000000"/>
                <w:sz w:val="18"/>
                <w:szCs w:val="18"/>
              </w:rPr>
            </w:pPr>
            <w:r>
              <w:rPr>
                <w:color w:val="000000"/>
                <w:sz w:val="18"/>
                <w:szCs w:val="18"/>
              </w:rPr>
              <w:t>-0.0145</w:t>
            </w:r>
          </w:p>
        </w:tc>
        <w:tc>
          <w:tcPr>
            <w:tcW w:w="1030" w:type="dxa"/>
            <w:tcBorders>
              <w:top w:val="single" w:sz="18" w:space="0" w:color="7F7F7F" w:themeColor="text1" w:themeTint="80"/>
            </w:tcBorders>
          </w:tcPr>
          <w:p w:rsidR="004B40A3" w:rsidRDefault="004B40A3" w:rsidP="00900B10">
            <w:pPr>
              <w:jc w:val="right"/>
              <w:rPr>
                <w:color w:val="000000"/>
                <w:sz w:val="18"/>
                <w:szCs w:val="18"/>
              </w:rPr>
            </w:pPr>
            <w:r>
              <w:rPr>
                <w:color w:val="000000"/>
                <w:sz w:val="18"/>
                <w:szCs w:val="18"/>
              </w:rPr>
              <w:t>0.0078</w:t>
            </w:r>
          </w:p>
        </w:tc>
        <w:tc>
          <w:tcPr>
            <w:tcW w:w="980" w:type="dxa"/>
            <w:tcBorders>
              <w:top w:val="single" w:sz="18" w:space="0" w:color="7F7F7F" w:themeColor="text1" w:themeTint="80"/>
            </w:tcBorders>
          </w:tcPr>
          <w:p w:rsidR="004B40A3" w:rsidRDefault="004B40A3" w:rsidP="00900B10">
            <w:pPr>
              <w:jc w:val="right"/>
              <w:rPr>
                <w:color w:val="000000"/>
                <w:sz w:val="18"/>
                <w:szCs w:val="18"/>
              </w:rPr>
            </w:pPr>
            <w:r>
              <w:rPr>
                <w:color w:val="000000"/>
                <w:sz w:val="18"/>
                <w:szCs w:val="18"/>
              </w:rPr>
              <w:t>-0.0076</w:t>
            </w:r>
          </w:p>
        </w:tc>
        <w:tc>
          <w:tcPr>
            <w:tcW w:w="1053" w:type="dxa"/>
            <w:tcBorders>
              <w:top w:val="single" w:sz="18" w:space="0" w:color="7F7F7F" w:themeColor="text1" w:themeTint="80"/>
            </w:tcBorders>
          </w:tcPr>
          <w:p w:rsidR="004B40A3" w:rsidRDefault="004B40A3" w:rsidP="00900B10">
            <w:pPr>
              <w:jc w:val="right"/>
              <w:rPr>
                <w:color w:val="000000"/>
                <w:sz w:val="18"/>
                <w:szCs w:val="18"/>
              </w:rPr>
            </w:pPr>
            <w:r>
              <w:rPr>
                <w:color w:val="000000"/>
                <w:sz w:val="18"/>
                <w:szCs w:val="18"/>
              </w:rPr>
              <w:t>-0.0101</w:t>
            </w:r>
          </w:p>
        </w:tc>
      </w:tr>
      <w:tr w:rsidR="004B40A3" w:rsidTr="00900B10">
        <w:tc>
          <w:tcPr>
            <w:tcW w:w="4051" w:type="dxa"/>
            <w:gridSpan w:val="2"/>
            <w:tcBorders>
              <w:right w:val="single" w:sz="18" w:space="0" w:color="7F7F7F" w:themeColor="text1" w:themeTint="80"/>
            </w:tcBorders>
          </w:tcPr>
          <w:p w:rsidR="004B40A3" w:rsidRPr="00BD714E" w:rsidRDefault="004B40A3" w:rsidP="00900B10">
            <w:pPr>
              <w:tabs>
                <w:tab w:val="left" w:pos="146"/>
                <w:tab w:val="left" w:pos="438"/>
              </w:tabs>
              <w:spacing w:before="0"/>
              <w:rPr>
                <w:rFonts w:ascii="Times New Roman" w:hAnsi="Times New Roman" w:cs="Times New Roman"/>
                <w:b/>
                <w:sz w:val="20"/>
                <w:szCs w:val="20"/>
              </w:rPr>
            </w:pPr>
            <w:r w:rsidRPr="00BD714E">
              <w:rPr>
                <w:rFonts w:ascii="Times New Roman" w:hAnsi="Times New Roman" w:cs="Times New Roman"/>
                <w:b/>
                <w:sz w:val="20"/>
                <w:szCs w:val="20"/>
              </w:rPr>
              <w:t xml:space="preserve">2.  Value of capital returned to use after 1yr in target region </w:t>
            </w:r>
          </w:p>
        </w:tc>
        <w:tc>
          <w:tcPr>
            <w:tcW w:w="832"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30" w:type="dxa"/>
          </w:tcPr>
          <w:p w:rsidR="004B40A3" w:rsidRDefault="004B40A3" w:rsidP="00900B10">
            <w:pPr>
              <w:jc w:val="right"/>
              <w:rPr>
                <w:color w:val="000000"/>
                <w:sz w:val="18"/>
                <w:szCs w:val="18"/>
              </w:rPr>
            </w:pPr>
            <w:r>
              <w:rPr>
                <w:color w:val="000000"/>
                <w:sz w:val="18"/>
                <w:szCs w:val="18"/>
              </w:rPr>
              <w:t>0.0000</w:t>
            </w:r>
          </w:p>
        </w:tc>
        <w:tc>
          <w:tcPr>
            <w:tcW w:w="1041" w:type="dxa"/>
          </w:tcPr>
          <w:p w:rsidR="004B40A3" w:rsidRDefault="004B40A3" w:rsidP="00900B10">
            <w:pPr>
              <w:jc w:val="right"/>
              <w:rPr>
                <w:color w:val="000000"/>
                <w:sz w:val="18"/>
                <w:szCs w:val="18"/>
              </w:rPr>
            </w:pPr>
            <w:r>
              <w:rPr>
                <w:color w:val="000000"/>
                <w:sz w:val="18"/>
                <w:szCs w:val="18"/>
              </w:rPr>
              <w:t>0.0000</w:t>
            </w:r>
          </w:p>
        </w:tc>
        <w:tc>
          <w:tcPr>
            <w:tcW w:w="1041" w:type="dxa"/>
            <w:tcBorders>
              <w:right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30"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43" w:type="dxa"/>
          </w:tcPr>
          <w:p w:rsidR="004B40A3" w:rsidRDefault="004B40A3" w:rsidP="00900B10">
            <w:pPr>
              <w:jc w:val="right"/>
              <w:rPr>
                <w:color w:val="000000"/>
                <w:sz w:val="18"/>
                <w:szCs w:val="18"/>
              </w:rPr>
            </w:pPr>
            <w:r>
              <w:rPr>
                <w:color w:val="000000"/>
                <w:sz w:val="18"/>
                <w:szCs w:val="18"/>
              </w:rPr>
              <w:t>-0.0001</w:t>
            </w:r>
          </w:p>
        </w:tc>
        <w:tc>
          <w:tcPr>
            <w:tcW w:w="1043" w:type="dxa"/>
          </w:tcPr>
          <w:p w:rsidR="004B40A3" w:rsidRDefault="004B40A3" w:rsidP="00900B10">
            <w:pPr>
              <w:jc w:val="right"/>
              <w:rPr>
                <w:color w:val="000000"/>
                <w:sz w:val="18"/>
                <w:szCs w:val="18"/>
              </w:rPr>
            </w:pPr>
            <w:r>
              <w:rPr>
                <w:color w:val="000000"/>
                <w:sz w:val="18"/>
                <w:szCs w:val="18"/>
              </w:rPr>
              <w:t>0.0324</w:t>
            </w:r>
          </w:p>
        </w:tc>
        <w:tc>
          <w:tcPr>
            <w:tcW w:w="1030" w:type="dxa"/>
          </w:tcPr>
          <w:p w:rsidR="004B40A3" w:rsidRDefault="004B40A3" w:rsidP="00900B10">
            <w:pPr>
              <w:jc w:val="right"/>
              <w:rPr>
                <w:color w:val="000000"/>
                <w:sz w:val="18"/>
                <w:szCs w:val="18"/>
              </w:rPr>
            </w:pPr>
            <w:r>
              <w:rPr>
                <w:color w:val="000000"/>
                <w:sz w:val="18"/>
                <w:szCs w:val="18"/>
              </w:rPr>
              <w:t>-0.0011</w:t>
            </w:r>
          </w:p>
        </w:tc>
        <w:tc>
          <w:tcPr>
            <w:tcW w:w="980" w:type="dxa"/>
          </w:tcPr>
          <w:p w:rsidR="004B40A3" w:rsidRDefault="004B40A3" w:rsidP="00900B10">
            <w:pPr>
              <w:jc w:val="right"/>
              <w:rPr>
                <w:color w:val="000000"/>
                <w:sz w:val="18"/>
                <w:szCs w:val="18"/>
              </w:rPr>
            </w:pPr>
            <w:r>
              <w:rPr>
                <w:color w:val="000000"/>
                <w:sz w:val="18"/>
                <w:szCs w:val="18"/>
              </w:rPr>
              <w:t>0.0073</w:t>
            </w:r>
          </w:p>
        </w:tc>
        <w:tc>
          <w:tcPr>
            <w:tcW w:w="1053" w:type="dxa"/>
          </w:tcPr>
          <w:p w:rsidR="004B40A3" w:rsidRDefault="004B40A3" w:rsidP="00900B10">
            <w:pPr>
              <w:jc w:val="right"/>
              <w:rPr>
                <w:color w:val="000000"/>
                <w:sz w:val="18"/>
                <w:szCs w:val="18"/>
              </w:rPr>
            </w:pPr>
            <w:r>
              <w:rPr>
                <w:color w:val="000000"/>
                <w:sz w:val="18"/>
                <w:szCs w:val="18"/>
              </w:rPr>
              <w:t>0.0101</w:t>
            </w:r>
          </w:p>
        </w:tc>
      </w:tr>
      <w:tr w:rsidR="004B40A3" w:rsidTr="00900B10">
        <w:tc>
          <w:tcPr>
            <w:tcW w:w="4051" w:type="dxa"/>
            <w:gridSpan w:val="2"/>
            <w:tcBorders>
              <w:right w:val="single" w:sz="18" w:space="0" w:color="7F7F7F" w:themeColor="text1" w:themeTint="80"/>
            </w:tcBorders>
          </w:tcPr>
          <w:p w:rsidR="004B40A3" w:rsidRPr="00BD714E" w:rsidRDefault="004B40A3" w:rsidP="00900B10">
            <w:pPr>
              <w:tabs>
                <w:tab w:val="left" w:pos="146"/>
                <w:tab w:val="left" w:pos="438"/>
              </w:tabs>
              <w:spacing w:before="0"/>
              <w:rPr>
                <w:rFonts w:ascii="Times New Roman" w:hAnsi="Times New Roman" w:cs="Times New Roman"/>
                <w:b/>
                <w:sz w:val="20"/>
                <w:szCs w:val="20"/>
              </w:rPr>
            </w:pPr>
            <w:r w:rsidRPr="00BD714E">
              <w:rPr>
                <w:rFonts w:ascii="Times New Roman" w:hAnsi="Times New Roman" w:cs="Times New Roman"/>
                <w:b/>
                <w:sz w:val="20"/>
                <w:szCs w:val="20"/>
              </w:rPr>
              <w:t xml:space="preserve">3.  Public expenditure in target city, </w:t>
            </w:r>
            <w:r w:rsidR="00B6529C">
              <w:rPr>
                <w:rFonts w:ascii="Times New Roman" w:hAnsi="Times New Roman" w:cs="Times New Roman"/>
                <w:b/>
                <w:sz w:val="20"/>
                <w:szCs w:val="20"/>
              </w:rPr>
              <w:t>clean-up</w:t>
            </w:r>
            <w:r w:rsidRPr="00BD714E">
              <w:rPr>
                <w:rFonts w:ascii="Times New Roman" w:hAnsi="Times New Roman" w:cs="Times New Roman"/>
                <w:b/>
                <w:sz w:val="20"/>
                <w:szCs w:val="20"/>
              </w:rPr>
              <w:t xml:space="preserve">  </w:t>
            </w:r>
          </w:p>
        </w:tc>
        <w:tc>
          <w:tcPr>
            <w:tcW w:w="832"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0.0017</w:t>
            </w:r>
          </w:p>
        </w:tc>
        <w:tc>
          <w:tcPr>
            <w:tcW w:w="1030" w:type="dxa"/>
          </w:tcPr>
          <w:p w:rsidR="004B40A3" w:rsidRDefault="004B40A3" w:rsidP="00900B10">
            <w:pPr>
              <w:jc w:val="right"/>
              <w:rPr>
                <w:color w:val="000000"/>
                <w:sz w:val="18"/>
                <w:szCs w:val="18"/>
              </w:rPr>
            </w:pPr>
            <w:r>
              <w:rPr>
                <w:color w:val="000000"/>
                <w:sz w:val="18"/>
                <w:szCs w:val="18"/>
              </w:rPr>
              <w:t>0.0016</w:t>
            </w:r>
          </w:p>
        </w:tc>
        <w:tc>
          <w:tcPr>
            <w:tcW w:w="1041" w:type="dxa"/>
          </w:tcPr>
          <w:p w:rsidR="004B40A3" w:rsidRDefault="004B40A3" w:rsidP="00900B10">
            <w:pPr>
              <w:jc w:val="right"/>
              <w:rPr>
                <w:color w:val="000000"/>
                <w:sz w:val="18"/>
                <w:szCs w:val="18"/>
              </w:rPr>
            </w:pPr>
            <w:r>
              <w:rPr>
                <w:color w:val="000000"/>
                <w:sz w:val="18"/>
                <w:szCs w:val="18"/>
              </w:rPr>
              <w:t>0.0866</w:t>
            </w:r>
          </w:p>
        </w:tc>
        <w:tc>
          <w:tcPr>
            <w:tcW w:w="1041" w:type="dxa"/>
            <w:tcBorders>
              <w:right w:val="single" w:sz="18" w:space="0" w:color="7F7F7F" w:themeColor="text1" w:themeTint="80"/>
            </w:tcBorders>
          </w:tcPr>
          <w:p w:rsidR="004B40A3" w:rsidRDefault="004B40A3" w:rsidP="00900B10">
            <w:pPr>
              <w:jc w:val="right"/>
              <w:rPr>
                <w:color w:val="000000"/>
                <w:sz w:val="18"/>
                <w:szCs w:val="18"/>
              </w:rPr>
            </w:pPr>
            <w:r>
              <w:rPr>
                <w:color w:val="000000"/>
                <w:sz w:val="18"/>
                <w:szCs w:val="18"/>
              </w:rPr>
              <w:t>0.0917</w:t>
            </w:r>
          </w:p>
        </w:tc>
        <w:tc>
          <w:tcPr>
            <w:tcW w:w="1030"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43" w:type="dxa"/>
          </w:tcPr>
          <w:p w:rsidR="004B40A3" w:rsidRDefault="004B40A3" w:rsidP="00900B10">
            <w:pPr>
              <w:jc w:val="right"/>
              <w:rPr>
                <w:color w:val="000000"/>
                <w:sz w:val="18"/>
                <w:szCs w:val="18"/>
              </w:rPr>
            </w:pPr>
            <w:r>
              <w:rPr>
                <w:color w:val="000000"/>
                <w:sz w:val="18"/>
                <w:szCs w:val="18"/>
              </w:rPr>
              <w:t>0.0000</w:t>
            </w:r>
          </w:p>
        </w:tc>
        <w:tc>
          <w:tcPr>
            <w:tcW w:w="1043" w:type="dxa"/>
          </w:tcPr>
          <w:p w:rsidR="004B40A3" w:rsidRDefault="004B40A3" w:rsidP="00900B10">
            <w:pPr>
              <w:jc w:val="right"/>
              <w:rPr>
                <w:color w:val="000000"/>
                <w:sz w:val="18"/>
                <w:szCs w:val="18"/>
              </w:rPr>
            </w:pPr>
            <w:r>
              <w:rPr>
                <w:color w:val="000000"/>
                <w:sz w:val="18"/>
                <w:szCs w:val="18"/>
              </w:rPr>
              <w:t>-0.0012</w:t>
            </w:r>
          </w:p>
        </w:tc>
        <w:tc>
          <w:tcPr>
            <w:tcW w:w="1030" w:type="dxa"/>
          </w:tcPr>
          <w:p w:rsidR="004B40A3" w:rsidRDefault="004B40A3" w:rsidP="00900B10">
            <w:pPr>
              <w:jc w:val="right"/>
              <w:rPr>
                <w:color w:val="000000"/>
                <w:sz w:val="18"/>
                <w:szCs w:val="18"/>
              </w:rPr>
            </w:pPr>
            <w:r>
              <w:rPr>
                <w:color w:val="000000"/>
                <w:sz w:val="18"/>
                <w:szCs w:val="18"/>
              </w:rPr>
              <w:t>-0.0002</w:t>
            </w:r>
          </w:p>
        </w:tc>
        <w:tc>
          <w:tcPr>
            <w:tcW w:w="980" w:type="dxa"/>
          </w:tcPr>
          <w:p w:rsidR="004B40A3" w:rsidRDefault="004B40A3" w:rsidP="00900B10">
            <w:pPr>
              <w:jc w:val="right"/>
              <w:rPr>
                <w:color w:val="000000"/>
                <w:sz w:val="18"/>
                <w:szCs w:val="18"/>
              </w:rPr>
            </w:pPr>
            <w:r>
              <w:rPr>
                <w:color w:val="000000"/>
                <w:sz w:val="18"/>
                <w:szCs w:val="18"/>
              </w:rPr>
              <w:t>-0.0001</w:t>
            </w:r>
          </w:p>
        </w:tc>
        <w:tc>
          <w:tcPr>
            <w:tcW w:w="1053" w:type="dxa"/>
          </w:tcPr>
          <w:p w:rsidR="004B40A3" w:rsidRDefault="004B40A3" w:rsidP="00900B10">
            <w:pPr>
              <w:jc w:val="right"/>
              <w:rPr>
                <w:color w:val="000000"/>
                <w:sz w:val="18"/>
                <w:szCs w:val="18"/>
              </w:rPr>
            </w:pPr>
            <w:r>
              <w:rPr>
                <w:color w:val="000000"/>
                <w:sz w:val="18"/>
                <w:szCs w:val="18"/>
              </w:rPr>
              <w:t>-0.0005</w:t>
            </w:r>
          </w:p>
        </w:tc>
      </w:tr>
      <w:tr w:rsidR="004B40A3" w:rsidTr="00900B10">
        <w:tc>
          <w:tcPr>
            <w:tcW w:w="4051" w:type="dxa"/>
            <w:gridSpan w:val="2"/>
            <w:tcBorders>
              <w:right w:val="single" w:sz="18" w:space="0" w:color="7F7F7F" w:themeColor="text1" w:themeTint="80"/>
            </w:tcBorders>
          </w:tcPr>
          <w:p w:rsidR="004B40A3" w:rsidRPr="00BD714E" w:rsidRDefault="004B40A3" w:rsidP="00900B10">
            <w:pPr>
              <w:tabs>
                <w:tab w:val="left" w:pos="146"/>
                <w:tab w:val="left" w:pos="438"/>
              </w:tabs>
              <w:spacing w:before="0"/>
              <w:rPr>
                <w:rFonts w:ascii="Times New Roman" w:hAnsi="Times New Roman" w:cs="Times New Roman"/>
                <w:b/>
                <w:sz w:val="20"/>
                <w:szCs w:val="20"/>
              </w:rPr>
            </w:pPr>
            <w:r w:rsidRPr="00BD714E">
              <w:rPr>
                <w:rFonts w:ascii="Times New Roman" w:hAnsi="Times New Roman" w:cs="Times New Roman"/>
                <w:b/>
                <w:sz w:val="20"/>
                <w:szCs w:val="20"/>
              </w:rPr>
              <w:t>4.  Public health expenditures in target city</w:t>
            </w:r>
          </w:p>
        </w:tc>
        <w:tc>
          <w:tcPr>
            <w:tcW w:w="832"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0.0001</w:t>
            </w:r>
          </w:p>
        </w:tc>
        <w:tc>
          <w:tcPr>
            <w:tcW w:w="1030" w:type="dxa"/>
          </w:tcPr>
          <w:p w:rsidR="004B40A3" w:rsidRDefault="004B40A3" w:rsidP="00900B10">
            <w:pPr>
              <w:jc w:val="right"/>
              <w:rPr>
                <w:color w:val="000000"/>
                <w:sz w:val="18"/>
                <w:szCs w:val="18"/>
              </w:rPr>
            </w:pPr>
            <w:r>
              <w:rPr>
                <w:color w:val="000000"/>
                <w:sz w:val="18"/>
                <w:szCs w:val="18"/>
              </w:rPr>
              <w:t>0.0001</w:t>
            </w:r>
          </w:p>
        </w:tc>
        <w:tc>
          <w:tcPr>
            <w:tcW w:w="1041" w:type="dxa"/>
          </w:tcPr>
          <w:p w:rsidR="004B40A3" w:rsidRDefault="004B40A3" w:rsidP="00900B10">
            <w:pPr>
              <w:jc w:val="right"/>
              <w:rPr>
                <w:color w:val="000000"/>
                <w:sz w:val="18"/>
                <w:szCs w:val="18"/>
              </w:rPr>
            </w:pPr>
            <w:r>
              <w:rPr>
                <w:color w:val="000000"/>
                <w:sz w:val="18"/>
                <w:szCs w:val="18"/>
              </w:rPr>
              <w:t>0.0073</w:t>
            </w:r>
          </w:p>
        </w:tc>
        <w:tc>
          <w:tcPr>
            <w:tcW w:w="1041" w:type="dxa"/>
            <w:tcBorders>
              <w:right w:val="single" w:sz="18" w:space="0" w:color="7F7F7F" w:themeColor="text1" w:themeTint="80"/>
            </w:tcBorders>
          </w:tcPr>
          <w:p w:rsidR="004B40A3" w:rsidRDefault="004B40A3" w:rsidP="00900B10">
            <w:pPr>
              <w:jc w:val="right"/>
              <w:rPr>
                <w:color w:val="000000"/>
                <w:sz w:val="18"/>
                <w:szCs w:val="18"/>
              </w:rPr>
            </w:pPr>
            <w:r>
              <w:rPr>
                <w:color w:val="000000"/>
                <w:sz w:val="18"/>
                <w:szCs w:val="18"/>
              </w:rPr>
              <w:t>0.0088</w:t>
            </w:r>
          </w:p>
        </w:tc>
        <w:tc>
          <w:tcPr>
            <w:tcW w:w="1030"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43" w:type="dxa"/>
          </w:tcPr>
          <w:p w:rsidR="004B40A3" w:rsidRDefault="004B40A3" w:rsidP="00900B10">
            <w:pPr>
              <w:jc w:val="right"/>
              <w:rPr>
                <w:color w:val="000000"/>
                <w:sz w:val="18"/>
                <w:szCs w:val="18"/>
              </w:rPr>
            </w:pPr>
            <w:r>
              <w:rPr>
                <w:color w:val="000000"/>
                <w:sz w:val="18"/>
                <w:szCs w:val="18"/>
              </w:rPr>
              <w:t>0.0000</w:t>
            </w:r>
          </w:p>
        </w:tc>
        <w:tc>
          <w:tcPr>
            <w:tcW w:w="1043" w:type="dxa"/>
          </w:tcPr>
          <w:p w:rsidR="004B40A3" w:rsidRDefault="004B40A3" w:rsidP="00900B10">
            <w:pPr>
              <w:jc w:val="right"/>
              <w:rPr>
                <w:color w:val="000000"/>
                <w:sz w:val="18"/>
                <w:szCs w:val="18"/>
              </w:rPr>
            </w:pPr>
            <w:r>
              <w:rPr>
                <w:color w:val="000000"/>
                <w:sz w:val="18"/>
                <w:szCs w:val="18"/>
              </w:rPr>
              <w:t>0.0000</w:t>
            </w:r>
          </w:p>
        </w:tc>
        <w:tc>
          <w:tcPr>
            <w:tcW w:w="1030" w:type="dxa"/>
          </w:tcPr>
          <w:p w:rsidR="004B40A3" w:rsidRDefault="004B40A3" w:rsidP="00900B10">
            <w:pPr>
              <w:jc w:val="right"/>
              <w:rPr>
                <w:color w:val="000000"/>
                <w:sz w:val="18"/>
                <w:szCs w:val="18"/>
              </w:rPr>
            </w:pPr>
            <w:r>
              <w:rPr>
                <w:color w:val="000000"/>
                <w:sz w:val="18"/>
                <w:szCs w:val="18"/>
              </w:rPr>
              <w:t>0.0000</w:t>
            </w:r>
          </w:p>
        </w:tc>
        <w:tc>
          <w:tcPr>
            <w:tcW w:w="980" w:type="dxa"/>
          </w:tcPr>
          <w:p w:rsidR="004B40A3" w:rsidRDefault="004B40A3" w:rsidP="00900B10">
            <w:pPr>
              <w:jc w:val="right"/>
              <w:rPr>
                <w:color w:val="000000"/>
                <w:sz w:val="18"/>
                <w:szCs w:val="18"/>
              </w:rPr>
            </w:pPr>
            <w:r>
              <w:rPr>
                <w:color w:val="000000"/>
                <w:sz w:val="18"/>
                <w:szCs w:val="18"/>
              </w:rPr>
              <w:t>0.0000</w:t>
            </w:r>
          </w:p>
        </w:tc>
        <w:tc>
          <w:tcPr>
            <w:tcW w:w="1053" w:type="dxa"/>
          </w:tcPr>
          <w:p w:rsidR="004B40A3" w:rsidRDefault="004B40A3" w:rsidP="00900B10">
            <w:pPr>
              <w:jc w:val="right"/>
              <w:rPr>
                <w:color w:val="000000"/>
                <w:sz w:val="18"/>
                <w:szCs w:val="18"/>
              </w:rPr>
            </w:pPr>
            <w:r>
              <w:rPr>
                <w:color w:val="000000"/>
                <w:sz w:val="18"/>
                <w:szCs w:val="18"/>
              </w:rPr>
              <w:t>0.0000</w:t>
            </w:r>
          </w:p>
        </w:tc>
      </w:tr>
      <w:tr w:rsidR="004B40A3" w:rsidTr="00900B10">
        <w:tc>
          <w:tcPr>
            <w:tcW w:w="4051" w:type="dxa"/>
            <w:gridSpan w:val="2"/>
            <w:tcBorders>
              <w:right w:val="single" w:sz="18" w:space="0" w:color="7F7F7F" w:themeColor="text1" w:themeTint="80"/>
            </w:tcBorders>
          </w:tcPr>
          <w:p w:rsidR="004B40A3" w:rsidRPr="00BD714E" w:rsidRDefault="004B40A3" w:rsidP="00900B10">
            <w:pPr>
              <w:tabs>
                <w:tab w:val="left" w:pos="146"/>
                <w:tab w:val="left" w:pos="438"/>
              </w:tabs>
              <w:spacing w:before="0"/>
              <w:rPr>
                <w:rFonts w:ascii="Times New Roman" w:hAnsi="Times New Roman" w:cs="Times New Roman"/>
                <w:b/>
                <w:sz w:val="20"/>
                <w:szCs w:val="20"/>
              </w:rPr>
            </w:pPr>
            <w:r w:rsidRPr="00BD714E">
              <w:rPr>
                <w:rFonts w:ascii="Times New Roman" w:hAnsi="Times New Roman" w:cs="Times New Roman"/>
                <w:b/>
                <w:sz w:val="20"/>
                <w:szCs w:val="20"/>
              </w:rPr>
              <w:t xml:space="preserve">5.  Accommodation expenses in target city </w:t>
            </w:r>
          </w:p>
        </w:tc>
        <w:tc>
          <w:tcPr>
            <w:tcW w:w="832"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0.0002</w:t>
            </w:r>
          </w:p>
        </w:tc>
        <w:tc>
          <w:tcPr>
            <w:tcW w:w="1030" w:type="dxa"/>
          </w:tcPr>
          <w:p w:rsidR="004B40A3" w:rsidRDefault="004B40A3" w:rsidP="00900B10">
            <w:pPr>
              <w:jc w:val="right"/>
              <w:rPr>
                <w:color w:val="000000"/>
                <w:sz w:val="18"/>
                <w:szCs w:val="18"/>
              </w:rPr>
            </w:pPr>
            <w:r>
              <w:rPr>
                <w:color w:val="000000"/>
                <w:sz w:val="18"/>
                <w:szCs w:val="18"/>
              </w:rPr>
              <w:t>0.0002</w:t>
            </w:r>
          </w:p>
        </w:tc>
        <w:tc>
          <w:tcPr>
            <w:tcW w:w="1041" w:type="dxa"/>
          </w:tcPr>
          <w:p w:rsidR="004B40A3" w:rsidRDefault="004B40A3" w:rsidP="00900B10">
            <w:pPr>
              <w:jc w:val="right"/>
              <w:rPr>
                <w:color w:val="000000"/>
                <w:sz w:val="18"/>
                <w:szCs w:val="18"/>
              </w:rPr>
            </w:pPr>
            <w:r>
              <w:rPr>
                <w:color w:val="000000"/>
                <w:sz w:val="18"/>
                <w:szCs w:val="18"/>
              </w:rPr>
              <w:t>0.0073</w:t>
            </w:r>
          </w:p>
        </w:tc>
        <w:tc>
          <w:tcPr>
            <w:tcW w:w="1041" w:type="dxa"/>
            <w:tcBorders>
              <w:right w:val="single" w:sz="18" w:space="0" w:color="7F7F7F" w:themeColor="text1" w:themeTint="80"/>
            </w:tcBorders>
          </w:tcPr>
          <w:p w:rsidR="004B40A3" w:rsidRDefault="004B40A3" w:rsidP="00900B10">
            <w:pPr>
              <w:jc w:val="right"/>
              <w:rPr>
                <w:color w:val="000000"/>
                <w:sz w:val="18"/>
                <w:szCs w:val="18"/>
              </w:rPr>
            </w:pPr>
            <w:r>
              <w:rPr>
                <w:color w:val="000000"/>
                <w:sz w:val="18"/>
                <w:szCs w:val="18"/>
              </w:rPr>
              <w:t>0.0080</w:t>
            </w:r>
          </w:p>
        </w:tc>
        <w:tc>
          <w:tcPr>
            <w:tcW w:w="1030"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43" w:type="dxa"/>
          </w:tcPr>
          <w:p w:rsidR="004B40A3" w:rsidRDefault="004B40A3" w:rsidP="00900B10">
            <w:pPr>
              <w:jc w:val="right"/>
              <w:rPr>
                <w:color w:val="000000"/>
                <w:sz w:val="18"/>
                <w:szCs w:val="18"/>
              </w:rPr>
            </w:pPr>
            <w:r>
              <w:rPr>
                <w:color w:val="000000"/>
                <w:sz w:val="18"/>
                <w:szCs w:val="18"/>
              </w:rPr>
              <w:t>0.0000</w:t>
            </w:r>
          </w:p>
        </w:tc>
        <w:tc>
          <w:tcPr>
            <w:tcW w:w="1043" w:type="dxa"/>
          </w:tcPr>
          <w:p w:rsidR="004B40A3" w:rsidRDefault="004B40A3" w:rsidP="00900B10">
            <w:pPr>
              <w:jc w:val="right"/>
              <w:rPr>
                <w:color w:val="000000"/>
                <w:sz w:val="18"/>
                <w:szCs w:val="18"/>
              </w:rPr>
            </w:pPr>
            <w:r>
              <w:rPr>
                <w:color w:val="000000"/>
                <w:sz w:val="18"/>
                <w:szCs w:val="18"/>
              </w:rPr>
              <w:t>0.0002</w:t>
            </w:r>
          </w:p>
        </w:tc>
        <w:tc>
          <w:tcPr>
            <w:tcW w:w="1030" w:type="dxa"/>
          </w:tcPr>
          <w:p w:rsidR="004B40A3" w:rsidRDefault="004B40A3" w:rsidP="00900B10">
            <w:pPr>
              <w:jc w:val="right"/>
              <w:rPr>
                <w:color w:val="000000"/>
                <w:sz w:val="18"/>
                <w:szCs w:val="18"/>
              </w:rPr>
            </w:pPr>
            <w:r>
              <w:rPr>
                <w:color w:val="000000"/>
                <w:sz w:val="18"/>
                <w:szCs w:val="18"/>
              </w:rPr>
              <w:t>0.0001</w:t>
            </w:r>
          </w:p>
        </w:tc>
        <w:tc>
          <w:tcPr>
            <w:tcW w:w="980" w:type="dxa"/>
          </w:tcPr>
          <w:p w:rsidR="004B40A3" w:rsidRDefault="004B40A3" w:rsidP="00900B10">
            <w:pPr>
              <w:jc w:val="right"/>
              <w:rPr>
                <w:color w:val="000000"/>
                <w:sz w:val="18"/>
                <w:szCs w:val="18"/>
              </w:rPr>
            </w:pPr>
            <w:r>
              <w:rPr>
                <w:color w:val="000000"/>
                <w:sz w:val="18"/>
                <w:szCs w:val="18"/>
              </w:rPr>
              <w:t>-0.0001</w:t>
            </w:r>
          </w:p>
        </w:tc>
        <w:tc>
          <w:tcPr>
            <w:tcW w:w="1053" w:type="dxa"/>
          </w:tcPr>
          <w:p w:rsidR="004B40A3" w:rsidRDefault="004B40A3" w:rsidP="00900B10">
            <w:pPr>
              <w:jc w:val="right"/>
              <w:rPr>
                <w:color w:val="000000"/>
                <w:sz w:val="18"/>
                <w:szCs w:val="18"/>
              </w:rPr>
            </w:pPr>
            <w:r>
              <w:rPr>
                <w:color w:val="000000"/>
                <w:sz w:val="18"/>
                <w:szCs w:val="18"/>
              </w:rPr>
              <w:t>-0.0001</w:t>
            </w:r>
          </w:p>
        </w:tc>
      </w:tr>
      <w:tr w:rsidR="004B40A3" w:rsidTr="00900B10">
        <w:tc>
          <w:tcPr>
            <w:tcW w:w="4051" w:type="dxa"/>
            <w:gridSpan w:val="2"/>
            <w:tcBorders>
              <w:right w:val="single" w:sz="18" w:space="0" w:color="7F7F7F" w:themeColor="text1" w:themeTint="80"/>
            </w:tcBorders>
          </w:tcPr>
          <w:p w:rsidR="004B40A3" w:rsidRPr="00BD714E" w:rsidRDefault="004B40A3" w:rsidP="00900B10">
            <w:pPr>
              <w:tabs>
                <w:tab w:val="left" w:pos="146"/>
                <w:tab w:val="left" w:pos="438"/>
              </w:tabs>
              <w:spacing w:before="0"/>
              <w:rPr>
                <w:rFonts w:ascii="Times New Roman" w:hAnsi="Times New Roman" w:cs="Times New Roman"/>
                <w:b/>
                <w:sz w:val="20"/>
                <w:szCs w:val="20"/>
              </w:rPr>
            </w:pPr>
            <w:r w:rsidRPr="00BD714E">
              <w:rPr>
                <w:rFonts w:ascii="Times New Roman" w:hAnsi="Times New Roman" w:cs="Times New Roman"/>
                <w:b/>
                <w:sz w:val="20"/>
                <w:szCs w:val="20"/>
              </w:rPr>
              <w:t xml:space="preserve">6.  Accommodation expenses outside target city </w:t>
            </w:r>
          </w:p>
        </w:tc>
        <w:tc>
          <w:tcPr>
            <w:tcW w:w="832"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0.0303</w:t>
            </w:r>
          </w:p>
        </w:tc>
        <w:tc>
          <w:tcPr>
            <w:tcW w:w="1030" w:type="dxa"/>
          </w:tcPr>
          <w:p w:rsidR="004B40A3" w:rsidRDefault="004B40A3" w:rsidP="00900B10">
            <w:pPr>
              <w:jc w:val="right"/>
              <w:rPr>
                <w:color w:val="000000"/>
                <w:sz w:val="18"/>
                <w:szCs w:val="18"/>
              </w:rPr>
            </w:pPr>
            <w:r>
              <w:rPr>
                <w:color w:val="000000"/>
                <w:sz w:val="18"/>
                <w:szCs w:val="18"/>
              </w:rPr>
              <w:t>0.0280</w:t>
            </w:r>
          </w:p>
        </w:tc>
        <w:tc>
          <w:tcPr>
            <w:tcW w:w="1041" w:type="dxa"/>
          </w:tcPr>
          <w:p w:rsidR="004B40A3" w:rsidRDefault="004B40A3" w:rsidP="00900B10">
            <w:pPr>
              <w:jc w:val="right"/>
              <w:rPr>
                <w:color w:val="000000"/>
                <w:sz w:val="18"/>
                <w:szCs w:val="18"/>
              </w:rPr>
            </w:pPr>
            <w:r>
              <w:rPr>
                <w:color w:val="000000"/>
                <w:sz w:val="18"/>
                <w:szCs w:val="18"/>
              </w:rPr>
              <w:t>0.0132</w:t>
            </w:r>
          </w:p>
        </w:tc>
        <w:tc>
          <w:tcPr>
            <w:tcW w:w="1041" w:type="dxa"/>
            <w:tcBorders>
              <w:right w:val="single" w:sz="18" w:space="0" w:color="7F7F7F" w:themeColor="text1" w:themeTint="80"/>
            </w:tcBorders>
          </w:tcPr>
          <w:p w:rsidR="004B40A3" w:rsidRDefault="004B40A3" w:rsidP="00900B10">
            <w:pPr>
              <w:jc w:val="right"/>
              <w:rPr>
                <w:color w:val="000000"/>
                <w:sz w:val="18"/>
                <w:szCs w:val="18"/>
              </w:rPr>
            </w:pPr>
            <w:r>
              <w:rPr>
                <w:color w:val="000000"/>
                <w:sz w:val="18"/>
                <w:szCs w:val="18"/>
              </w:rPr>
              <w:t>0.0108</w:t>
            </w:r>
          </w:p>
        </w:tc>
        <w:tc>
          <w:tcPr>
            <w:tcW w:w="1030"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0.0002</w:t>
            </w:r>
          </w:p>
        </w:tc>
        <w:tc>
          <w:tcPr>
            <w:tcW w:w="1043" w:type="dxa"/>
          </w:tcPr>
          <w:p w:rsidR="004B40A3" w:rsidRDefault="004B40A3" w:rsidP="00900B10">
            <w:pPr>
              <w:jc w:val="right"/>
              <w:rPr>
                <w:color w:val="000000"/>
                <w:sz w:val="18"/>
                <w:szCs w:val="18"/>
              </w:rPr>
            </w:pPr>
            <w:r>
              <w:rPr>
                <w:color w:val="000000"/>
                <w:sz w:val="18"/>
                <w:szCs w:val="18"/>
              </w:rPr>
              <w:t>0.0001</w:t>
            </w:r>
          </w:p>
        </w:tc>
        <w:tc>
          <w:tcPr>
            <w:tcW w:w="1043" w:type="dxa"/>
          </w:tcPr>
          <w:p w:rsidR="004B40A3" w:rsidRDefault="004B40A3" w:rsidP="00900B10">
            <w:pPr>
              <w:jc w:val="right"/>
              <w:rPr>
                <w:color w:val="000000"/>
                <w:sz w:val="18"/>
                <w:szCs w:val="18"/>
              </w:rPr>
            </w:pPr>
            <w:r>
              <w:rPr>
                <w:color w:val="000000"/>
                <w:sz w:val="18"/>
                <w:szCs w:val="18"/>
              </w:rPr>
              <w:t>0.0000</w:t>
            </w:r>
          </w:p>
        </w:tc>
        <w:tc>
          <w:tcPr>
            <w:tcW w:w="1030" w:type="dxa"/>
          </w:tcPr>
          <w:p w:rsidR="004B40A3" w:rsidRDefault="004B40A3" w:rsidP="00900B10">
            <w:pPr>
              <w:jc w:val="right"/>
              <w:rPr>
                <w:color w:val="000000"/>
                <w:sz w:val="18"/>
                <w:szCs w:val="18"/>
              </w:rPr>
            </w:pPr>
            <w:r>
              <w:rPr>
                <w:color w:val="000000"/>
                <w:sz w:val="18"/>
                <w:szCs w:val="18"/>
              </w:rPr>
              <w:t>0.0000</w:t>
            </w:r>
          </w:p>
        </w:tc>
        <w:tc>
          <w:tcPr>
            <w:tcW w:w="980" w:type="dxa"/>
          </w:tcPr>
          <w:p w:rsidR="004B40A3" w:rsidRDefault="004B40A3" w:rsidP="00900B10">
            <w:pPr>
              <w:jc w:val="right"/>
              <w:rPr>
                <w:color w:val="000000"/>
                <w:sz w:val="18"/>
                <w:szCs w:val="18"/>
              </w:rPr>
            </w:pPr>
            <w:r>
              <w:rPr>
                <w:color w:val="000000"/>
                <w:sz w:val="18"/>
                <w:szCs w:val="18"/>
              </w:rPr>
              <w:t>-0.0138</w:t>
            </w:r>
          </w:p>
        </w:tc>
        <w:tc>
          <w:tcPr>
            <w:tcW w:w="1053" w:type="dxa"/>
          </w:tcPr>
          <w:p w:rsidR="004B40A3" w:rsidRDefault="004B40A3" w:rsidP="00900B10">
            <w:pPr>
              <w:jc w:val="right"/>
              <w:rPr>
                <w:color w:val="000000"/>
                <w:sz w:val="18"/>
                <w:szCs w:val="18"/>
              </w:rPr>
            </w:pPr>
            <w:r>
              <w:rPr>
                <w:color w:val="000000"/>
                <w:sz w:val="18"/>
                <w:szCs w:val="18"/>
              </w:rPr>
              <w:t>-0.0229</w:t>
            </w:r>
          </w:p>
        </w:tc>
      </w:tr>
      <w:tr w:rsidR="004B40A3" w:rsidTr="00900B10">
        <w:tc>
          <w:tcPr>
            <w:tcW w:w="4051" w:type="dxa"/>
            <w:gridSpan w:val="2"/>
            <w:tcBorders>
              <w:right w:val="single" w:sz="18" w:space="0" w:color="7F7F7F" w:themeColor="text1" w:themeTint="80"/>
            </w:tcBorders>
          </w:tcPr>
          <w:p w:rsidR="004B40A3" w:rsidRPr="00BD714E" w:rsidRDefault="004B40A3" w:rsidP="00900B10">
            <w:pPr>
              <w:tabs>
                <w:tab w:val="left" w:pos="146"/>
                <w:tab w:val="left" w:pos="438"/>
              </w:tabs>
              <w:spacing w:before="0"/>
              <w:rPr>
                <w:rFonts w:ascii="Times New Roman" w:hAnsi="Times New Roman" w:cs="Times New Roman"/>
                <w:b/>
                <w:sz w:val="20"/>
                <w:szCs w:val="20"/>
              </w:rPr>
            </w:pPr>
            <w:r w:rsidRPr="00BD714E">
              <w:rPr>
                <w:rFonts w:ascii="Times New Roman" w:hAnsi="Times New Roman" w:cs="Times New Roman"/>
                <w:b/>
                <w:sz w:val="20"/>
                <w:szCs w:val="20"/>
              </w:rPr>
              <w:t xml:space="preserve">7.  Loss of foreign visitor expenditure in target city </w:t>
            </w:r>
          </w:p>
        </w:tc>
        <w:tc>
          <w:tcPr>
            <w:tcW w:w="832"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-0.0012</w:t>
            </w:r>
          </w:p>
        </w:tc>
        <w:tc>
          <w:tcPr>
            <w:tcW w:w="1030" w:type="dxa"/>
          </w:tcPr>
          <w:p w:rsidR="004B40A3" w:rsidRDefault="004B40A3" w:rsidP="00900B10">
            <w:pPr>
              <w:jc w:val="right"/>
              <w:rPr>
                <w:color w:val="000000"/>
                <w:sz w:val="18"/>
                <w:szCs w:val="18"/>
              </w:rPr>
            </w:pPr>
            <w:r>
              <w:rPr>
                <w:color w:val="000000"/>
                <w:sz w:val="18"/>
                <w:szCs w:val="18"/>
              </w:rPr>
              <w:t>-0.0010</w:t>
            </w:r>
          </w:p>
        </w:tc>
        <w:tc>
          <w:tcPr>
            <w:tcW w:w="1041" w:type="dxa"/>
          </w:tcPr>
          <w:p w:rsidR="004B40A3" w:rsidRDefault="004B40A3" w:rsidP="00900B10">
            <w:pPr>
              <w:jc w:val="right"/>
              <w:rPr>
                <w:color w:val="000000"/>
                <w:sz w:val="18"/>
                <w:szCs w:val="18"/>
              </w:rPr>
            </w:pPr>
            <w:r>
              <w:rPr>
                <w:color w:val="000000"/>
                <w:sz w:val="18"/>
                <w:szCs w:val="18"/>
              </w:rPr>
              <w:t>-0.0448</w:t>
            </w:r>
          </w:p>
        </w:tc>
        <w:tc>
          <w:tcPr>
            <w:tcW w:w="1041" w:type="dxa"/>
            <w:tcBorders>
              <w:right w:val="single" w:sz="18" w:space="0" w:color="7F7F7F" w:themeColor="text1" w:themeTint="80"/>
            </w:tcBorders>
          </w:tcPr>
          <w:p w:rsidR="004B40A3" w:rsidRDefault="004B40A3" w:rsidP="00900B10">
            <w:pPr>
              <w:jc w:val="right"/>
              <w:rPr>
                <w:color w:val="000000"/>
                <w:sz w:val="18"/>
                <w:szCs w:val="18"/>
              </w:rPr>
            </w:pPr>
            <w:r>
              <w:rPr>
                <w:color w:val="000000"/>
                <w:sz w:val="18"/>
                <w:szCs w:val="18"/>
              </w:rPr>
              <w:t>-0.0402</w:t>
            </w:r>
          </w:p>
        </w:tc>
        <w:tc>
          <w:tcPr>
            <w:tcW w:w="1030"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43" w:type="dxa"/>
          </w:tcPr>
          <w:p w:rsidR="004B40A3" w:rsidRDefault="004B40A3" w:rsidP="00900B10">
            <w:pPr>
              <w:jc w:val="right"/>
              <w:rPr>
                <w:color w:val="000000"/>
                <w:sz w:val="18"/>
                <w:szCs w:val="18"/>
              </w:rPr>
            </w:pPr>
            <w:r>
              <w:rPr>
                <w:color w:val="000000"/>
                <w:sz w:val="18"/>
                <w:szCs w:val="18"/>
              </w:rPr>
              <w:t>0.0000</w:t>
            </w:r>
          </w:p>
        </w:tc>
        <w:tc>
          <w:tcPr>
            <w:tcW w:w="1043" w:type="dxa"/>
          </w:tcPr>
          <w:p w:rsidR="004B40A3" w:rsidRDefault="004B40A3" w:rsidP="00900B10">
            <w:pPr>
              <w:jc w:val="right"/>
              <w:rPr>
                <w:color w:val="000000"/>
                <w:sz w:val="18"/>
                <w:szCs w:val="18"/>
              </w:rPr>
            </w:pPr>
            <w:r>
              <w:rPr>
                <w:color w:val="000000"/>
                <w:sz w:val="18"/>
                <w:szCs w:val="18"/>
              </w:rPr>
              <w:t>0.0000</w:t>
            </w:r>
          </w:p>
        </w:tc>
        <w:tc>
          <w:tcPr>
            <w:tcW w:w="1030" w:type="dxa"/>
          </w:tcPr>
          <w:p w:rsidR="004B40A3" w:rsidRDefault="004B40A3" w:rsidP="00900B10">
            <w:pPr>
              <w:jc w:val="right"/>
              <w:rPr>
                <w:color w:val="000000"/>
                <w:sz w:val="18"/>
                <w:szCs w:val="18"/>
              </w:rPr>
            </w:pPr>
            <w:r>
              <w:rPr>
                <w:color w:val="000000"/>
                <w:sz w:val="18"/>
                <w:szCs w:val="18"/>
              </w:rPr>
              <w:t>0.0000</w:t>
            </w:r>
          </w:p>
        </w:tc>
        <w:tc>
          <w:tcPr>
            <w:tcW w:w="980" w:type="dxa"/>
          </w:tcPr>
          <w:p w:rsidR="004B40A3" w:rsidRDefault="004B40A3" w:rsidP="00900B10">
            <w:pPr>
              <w:jc w:val="right"/>
              <w:rPr>
                <w:color w:val="000000"/>
                <w:sz w:val="18"/>
                <w:szCs w:val="18"/>
              </w:rPr>
            </w:pPr>
            <w:r>
              <w:rPr>
                <w:color w:val="000000"/>
                <w:sz w:val="18"/>
                <w:szCs w:val="18"/>
              </w:rPr>
              <w:t>-0.0008</w:t>
            </w:r>
          </w:p>
        </w:tc>
        <w:tc>
          <w:tcPr>
            <w:tcW w:w="1053" w:type="dxa"/>
          </w:tcPr>
          <w:p w:rsidR="004B40A3" w:rsidRDefault="004B40A3" w:rsidP="00900B10">
            <w:pPr>
              <w:jc w:val="right"/>
              <w:rPr>
                <w:color w:val="000000"/>
                <w:sz w:val="18"/>
                <w:szCs w:val="18"/>
              </w:rPr>
            </w:pPr>
            <w:r>
              <w:rPr>
                <w:color w:val="000000"/>
                <w:sz w:val="18"/>
                <w:szCs w:val="18"/>
              </w:rPr>
              <w:t>-0.0008</w:t>
            </w:r>
          </w:p>
        </w:tc>
      </w:tr>
      <w:tr w:rsidR="004B40A3" w:rsidTr="00900B10">
        <w:tc>
          <w:tcPr>
            <w:tcW w:w="4051" w:type="dxa"/>
            <w:gridSpan w:val="2"/>
            <w:tcBorders>
              <w:right w:val="single" w:sz="18" w:space="0" w:color="7F7F7F" w:themeColor="text1" w:themeTint="80"/>
            </w:tcBorders>
          </w:tcPr>
          <w:p w:rsidR="004B40A3" w:rsidRPr="00BD714E" w:rsidRDefault="004B40A3" w:rsidP="00900B10">
            <w:pPr>
              <w:tabs>
                <w:tab w:val="left" w:pos="146"/>
                <w:tab w:val="left" w:pos="438"/>
              </w:tabs>
              <w:spacing w:before="0"/>
              <w:rPr>
                <w:rFonts w:ascii="Times New Roman" w:hAnsi="Times New Roman" w:cs="Times New Roman"/>
                <w:b/>
                <w:sz w:val="20"/>
                <w:szCs w:val="20"/>
              </w:rPr>
            </w:pPr>
            <w:r w:rsidRPr="00BD714E">
              <w:rPr>
                <w:rFonts w:ascii="Times New Roman" w:hAnsi="Times New Roman" w:cs="Times New Roman"/>
                <w:b/>
                <w:sz w:val="20"/>
                <w:szCs w:val="20"/>
              </w:rPr>
              <w:t xml:space="preserve">8.  Loss of foreign visitor expenditure outside target city </w:t>
            </w:r>
          </w:p>
        </w:tc>
        <w:tc>
          <w:tcPr>
            <w:tcW w:w="832"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-0.0126</w:t>
            </w:r>
          </w:p>
        </w:tc>
        <w:tc>
          <w:tcPr>
            <w:tcW w:w="1030" w:type="dxa"/>
          </w:tcPr>
          <w:p w:rsidR="004B40A3" w:rsidRDefault="004B40A3" w:rsidP="00900B10">
            <w:pPr>
              <w:jc w:val="right"/>
              <w:rPr>
                <w:color w:val="000000"/>
                <w:sz w:val="18"/>
                <w:szCs w:val="18"/>
              </w:rPr>
            </w:pPr>
            <w:r>
              <w:rPr>
                <w:color w:val="000000"/>
                <w:sz w:val="18"/>
                <w:szCs w:val="18"/>
              </w:rPr>
              <w:t>-0.0104</w:t>
            </w:r>
          </w:p>
        </w:tc>
        <w:tc>
          <w:tcPr>
            <w:tcW w:w="1041" w:type="dxa"/>
          </w:tcPr>
          <w:p w:rsidR="004B40A3" w:rsidRDefault="004B40A3" w:rsidP="00900B10">
            <w:pPr>
              <w:jc w:val="right"/>
              <w:rPr>
                <w:color w:val="000000"/>
                <w:sz w:val="18"/>
                <w:szCs w:val="18"/>
              </w:rPr>
            </w:pPr>
            <w:r>
              <w:rPr>
                <w:color w:val="000000"/>
                <w:sz w:val="18"/>
                <w:szCs w:val="18"/>
              </w:rPr>
              <w:t>-0.0114</w:t>
            </w:r>
          </w:p>
        </w:tc>
        <w:tc>
          <w:tcPr>
            <w:tcW w:w="1041" w:type="dxa"/>
            <w:tcBorders>
              <w:right w:val="single" w:sz="18" w:space="0" w:color="7F7F7F" w:themeColor="text1" w:themeTint="80"/>
            </w:tcBorders>
          </w:tcPr>
          <w:p w:rsidR="004B40A3" w:rsidRDefault="004B40A3" w:rsidP="00900B10">
            <w:pPr>
              <w:jc w:val="right"/>
              <w:rPr>
                <w:color w:val="000000"/>
                <w:sz w:val="18"/>
                <w:szCs w:val="18"/>
              </w:rPr>
            </w:pPr>
            <w:r>
              <w:rPr>
                <w:color w:val="000000"/>
                <w:sz w:val="18"/>
                <w:szCs w:val="18"/>
              </w:rPr>
              <w:t>-0.0096</w:t>
            </w:r>
          </w:p>
        </w:tc>
        <w:tc>
          <w:tcPr>
            <w:tcW w:w="1030"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43" w:type="dxa"/>
          </w:tcPr>
          <w:p w:rsidR="004B40A3" w:rsidRDefault="004B40A3" w:rsidP="00900B10">
            <w:pPr>
              <w:jc w:val="right"/>
              <w:rPr>
                <w:color w:val="000000"/>
                <w:sz w:val="18"/>
                <w:szCs w:val="18"/>
              </w:rPr>
            </w:pPr>
            <w:r>
              <w:rPr>
                <w:color w:val="000000"/>
                <w:sz w:val="18"/>
                <w:szCs w:val="18"/>
              </w:rPr>
              <w:t>0.0000</w:t>
            </w:r>
          </w:p>
        </w:tc>
        <w:tc>
          <w:tcPr>
            <w:tcW w:w="1043" w:type="dxa"/>
          </w:tcPr>
          <w:p w:rsidR="004B40A3" w:rsidRDefault="004B40A3" w:rsidP="00900B10">
            <w:pPr>
              <w:jc w:val="right"/>
              <w:rPr>
                <w:color w:val="000000"/>
                <w:sz w:val="18"/>
                <w:szCs w:val="18"/>
              </w:rPr>
            </w:pPr>
            <w:r>
              <w:rPr>
                <w:color w:val="000000"/>
                <w:sz w:val="18"/>
                <w:szCs w:val="18"/>
              </w:rPr>
              <w:t>0.0000</w:t>
            </w:r>
          </w:p>
        </w:tc>
        <w:tc>
          <w:tcPr>
            <w:tcW w:w="1030" w:type="dxa"/>
          </w:tcPr>
          <w:p w:rsidR="004B40A3" w:rsidRDefault="004B40A3" w:rsidP="00900B10">
            <w:pPr>
              <w:jc w:val="right"/>
              <w:rPr>
                <w:color w:val="000000"/>
                <w:sz w:val="18"/>
                <w:szCs w:val="18"/>
              </w:rPr>
            </w:pPr>
            <w:r>
              <w:rPr>
                <w:color w:val="000000"/>
                <w:sz w:val="18"/>
                <w:szCs w:val="18"/>
              </w:rPr>
              <w:t>0.0000</w:t>
            </w:r>
          </w:p>
        </w:tc>
        <w:tc>
          <w:tcPr>
            <w:tcW w:w="980" w:type="dxa"/>
          </w:tcPr>
          <w:p w:rsidR="004B40A3" w:rsidRDefault="004B40A3" w:rsidP="00900B10">
            <w:pPr>
              <w:jc w:val="right"/>
              <w:rPr>
                <w:color w:val="000000"/>
                <w:sz w:val="18"/>
                <w:szCs w:val="18"/>
              </w:rPr>
            </w:pPr>
            <w:r>
              <w:rPr>
                <w:color w:val="000000"/>
                <w:sz w:val="18"/>
                <w:szCs w:val="18"/>
              </w:rPr>
              <w:t>-0.0086</w:t>
            </w:r>
          </w:p>
        </w:tc>
        <w:tc>
          <w:tcPr>
            <w:tcW w:w="1053" w:type="dxa"/>
          </w:tcPr>
          <w:p w:rsidR="004B40A3" w:rsidRDefault="004B40A3" w:rsidP="00900B10">
            <w:pPr>
              <w:jc w:val="right"/>
              <w:rPr>
                <w:color w:val="000000"/>
                <w:sz w:val="18"/>
                <w:szCs w:val="18"/>
              </w:rPr>
            </w:pPr>
            <w:r>
              <w:rPr>
                <w:color w:val="000000"/>
                <w:sz w:val="18"/>
                <w:szCs w:val="18"/>
              </w:rPr>
              <w:t>-0.0090</w:t>
            </w:r>
          </w:p>
        </w:tc>
      </w:tr>
      <w:tr w:rsidR="004B40A3" w:rsidTr="00900B10">
        <w:tc>
          <w:tcPr>
            <w:tcW w:w="4051" w:type="dxa"/>
            <w:gridSpan w:val="2"/>
            <w:tcBorders>
              <w:right w:val="single" w:sz="18" w:space="0" w:color="7F7F7F" w:themeColor="text1" w:themeTint="80"/>
            </w:tcBorders>
          </w:tcPr>
          <w:p w:rsidR="004B40A3" w:rsidRPr="00BD714E" w:rsidRDefault="004B40A3" w:rsidP="00900B10">
            <w:pPr>
              <w:tabs>
                <w:tab w:val="left" w:pos="146"/>
                <w:tab w:val="left" w:pos="438"/>
              </w:tabs>
              <w:spacing w:before="0"/>
              <w:rPr>
                <w:rFonts w:ascii="Times New Roman" w:hAnsi="Times New Roman" w:cs="Times New Roman"/>
                <w:b/>
                <w:sz w:val="20"/>
                <w:szCs w:val="20"/>
              </w:rPr>
            </w:pPr>
            <w:r w:rsidRPr="00BD714E">
              <w:rPr>
                <w:rFonts w:ascii="Times New Roman" w:hAnsi="Times New Roman" w:cs="Times New Roman"/>
                <w:b/>
                <w:sz w:val="20"/>
                <w:szCs w:val="20"/>
              </w:rPr>
              <w:t xml:space="preserve">9.  Loss of domestic traveler expenditure in target city </w:t>
            </w:r>
          </w:p>
        </w:tc>
        <w:tc>
          <w:tcPr>
            <w:tcW w:w="832"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30" w:type="dxa"/>
          </w:tcPr>
          <w:p w:rsidR="004B40A3" w:rsidRDefault="004B40A3" w:rsidP="00900B10">
            <w:pPr>
              <w:jc w:val="right"/>
              <w:rPr>
                <w:color w:val="000000"/>
                <w:sz w:val="18"/>
                <w:szCs w:val="18"/>
              </w:rPr>
            </w:pPr>
            <w:r>
              <w:rPr>
                <w:color w:val="000000"/>
                <w:sz w:val="18"/>
                <w:szCs w:val="18"/>
              </w:rPr>
              <w:t>0.0000</w:t>
            </w:r>
          </w:p>
        </w:tc>
        <w:tc>
          <w:tcPr>
            <w:tcW w:w="1041" w:type="dxa"/>
          </w:tcPr>
          <w:p w:rsidR="004B40A3" w:rsidRDefault="004B40A3" w:rsidP="00900B10">
            <w:pPr>
              <w:jc w:val="right"/>
              <w:rPr>
                <w:color w:val="000000"/>
                <w:sz w:val="18"/>
                <w:szCs w:val="18"/>
              </w:rPr>
            </w:pPr>
            <w:r>
              <w:rPr>
                <w:color w:val="000000"/>
                <w:sz w:val="18"/>
                <w:szCs w:val="18"/>
              </w:rPr>
              <w:t>-0.0804</w:t>
            </w:r>
          </w:p>
        </w:tc>
        <w:tc>
          <w:tcPr>
            <w:tcW w:w="1041" w:type="dxa"/>
            <w:tcBorders>
              <w:right w:val="single" w:sz="18" w:space="0" w:color="7F7F7F" w:themeColor="text1" w:themeTint="80"/>
            </w:tcBorders>
          </w:tcPr>
          <w:p w:rsidR="004B40A3" w:rsidRDefault="004B40A3" w:rsidP="00900B10">
            <w:pPr>
              <w:jc w:val="right"/>
              <w:rPr>
                <w:color w:val="000000"/>
                <w:sz w:val="18"/>
                <w:szCs w:val="18"/>
              </w:rPr>
            </w:pPr>
            <w:r>
              <w:rPr>
                <w:color w:val="000000"/>
                <w:sz w:val="18"/>
                <w:szCs w:val="18"/>
              </w:rPr>
              <w:t>-0.0708</w:t>
            </w:r>
          </w:p>
        </w:tc>
        <w:tc>
          <w:tcPr>
            <w:tcW w:w="1030"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43" w:type="dxa"/>
          </w:tcPr>
          <w:p w:rsidR="004B40A3" w:rsidRDefault="004B40A3" w:rsidP="00900B10">
            <w:pPr>
              <w:jc w:val="right"/>
              <w:rPr>
                <w:color w:val="000000"/>
                <w:sz w:val="18"/>
                <w:szCs w:val="18"/>
              </w:rPr>
            </w:pPr>
            <w:r>
              <w:rPr>
                <w:color w:val="000000"/>
                <w:sz w:val="18"/>
                <w:szCs w:val="18"/>
              </w:rPr>
              <w:t>0.0000</w:t>
            </w:r>
          </w:p>
        </w:tc>
        <w:tc>
          <w:tcPr>
            <w:tcW w:w="1043" w:type="dxa"/>
          </w:tcPr>
          <w:p w:rsidR="004B40A3" w:rsidRDefault="004B40A3" w:rsidP="00900B10">
            <w:pPr>
              <w:jc w:val="right"/>
              <w:rPr>
                <w:color w:val="000000"/>
                <w:sz w:val="18"/>
                <w:szCs w:val="18"/>
              </w:rPr>
            </w:pPr>
            <w:r>
              <w:rPr>
                <w:color w:val="000000"/>
                <w:sz w:val="18"/>
                <w:szCs w:val="18"/>
              </w:rPr>
              <w:t>-0.0003</w:t>
            </w:r>
          </w:p>
        </w:tc>
        <w:tc>
          <w:tcPr>
            <w:tcW w:w="1030" w:type="dxa"/>
          </w:tcPr>
          <w:p w:rsidR="004B40A3" w:rsidRDefault="004B40A3" w:rsidP="00900B10">
            <w:pPr>
              <w:jc w:val="right"/>
              <w:rPr>
                <w:color w:val="000000"/>
                <w:sz w:val="18"/>
                <w:szCs w:val="18"/>
              </w:rPr>
            </w:pPr>
            <w:r>
              <w:rPr>
                <w:color w:val="000000"/>
                <w:sz w:val="18"/>
                <w:szCs w:val="18"/>
              </w:rPr>
              <w:t>-0.0003</w:t>
            </w:r>
          </w:p>
        </w:tc>
        <w:tc>
          <w:tcPr>
            <w:tcW w:w="980" w:type="dxa"/>
          </w:tcPr>
          <w:p w:rsidR="004B40A3" w:rsidRDefault="004B40A3" w:rsidP="00900B10">
            <w:pPr>
              <w:jc w:val="right"/>
              <w:rPr>
                <w:color w:val="000000"/>
                <w:sz w:val="18"/>
                <w:szCs w:val="18"/>
              </w:rPr>
            </w:pPr>
            <w:r>
              <w:rPr>
                <w:color w:val="000000"/>
                <w:sz w:val="18"/>
                <w:szCs w:val="18"/>
              </w:rPr>
              <w:t>0.0000</w:t>
            </w:r>
          </w:p>
        </w:tc>
        <w:tc>
          <w:tcPr>
            <w:tcW w:w="1053" w:type="dxa"/>
          </w:tcPr>
          <w:p w:rsidR="004B40A3" w:rsidRDefault="004B40A3" w:rsidP="00900B10">
            <w:pPr>
              <w:jc w:val="right"/>
              <w:rPr>
                <w:color w:val="000000"/>
                <w:sz w:val="18"/>
                <w:szCs w:val="18"/>
              </w:rPr>
            </w:pPr>
            <w:r>
              <w:rPr>
                <w:color w:val="000000"/>
                <w:sz w:val="18"/>
                <w:szCs w:val="18"/>
              </w:rPr>
              <w:t>0.0000</w:t>
            </w:r>
          </w:p>
        </w:tc>
      </w:tr>
      <w:tr w:rsidR="004B40A3" w:rsidTr="00900B10">
        <w:tc>
          <w:tcPr>
            <w:tcW w:w="4051" w:type="dxa"/>
            <w:gridSpan w:val="2"/>
            <w:tcBorders>
              <w:right w:val="single" w:sz="18" w:space="0" w:color="7F7F7F" w:themeColor="text1" w:themeTint="80"/>
            </w:tcBorders>
          </w:tcPr>
          <w:p w:rsidR="004B40A3" w:rsidRPr="00BD714E" w:rsidRDefault="004B40A3" w:rsidP="00900B10">
            <w:pPr>
              <w:spacing w:before="0"/>
              <w:rPr>
                <w:rFonts w:ascii="Times New Roman" w:hAnsi="Times New Roman" w:cs="Times New Roman"/>
                <w:b/>
                <w:sz w:val="20"/>
                <w:szCs w:val="20"/>
              </w:rPr>
            </w:pPr>
            <w:r w:rsidRPr="00BD714E">
              <w:rPr>
                <w:rFonts w:ascii="Times New Roman" w:hAnsi="Times New Roman" w:cs="Times New Roman"/>
                <w:b/>
                <w:sz w:val="20"/>
                <w:szCs w:val="20"/>
              </w:rPr>
              <w:t xml:space="preserve">10. Loss of domestic traveler expenditure outside target city </w:t>
            </w:r>
          </w:p>
        </w:tc>
        <w:tc>
          <w:tcPr>
            <w:tcW w:w="832"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-0.0360</w:t>
            </w:r>
          </w:p>
        </w:tc>
        <w:tc>
          <w:tcPr>
            <w:tcW w:w="1030" w:type="dxa"/>
          </w:tcPr>
          <w:p w:rsidR="004B40A3" w:rsidRDefault="004B40A3" w:rsidP="00900B10">
            <w:pPr>
              <w:jc w:val="right"/>
              <w:rPr>
                <w:color w:val="000000"/>
                <w:sz w:val="18"/>
                <w:szCs w:val="18"/>
              </w:rPr>
            </w:pPr>
            <w:r>
              <w:rPr>
                <w:color w:val="000000"/>
                <w:sz w:val="18"/>
                <w:szCs w:val="18"/>
              </w:rPr>
              <w:t>-0.0284</w:t>
            </w:r>
          </w:p>
        </w:tc>
        <w:tc>
          <w:tcPr>
            <w:tcW w:w="1041" w:type="dxa"/>
          </w:tcPr>
          <w:p w:rsidR="004B40A3" w:rsidRDefault="004B40A3" w:rsidP="00900B10">
            <w:pPr>
              <w:jc w:val="right"/>
              <w:rPr>
                <w:color w:val="000000"/>
                <w:sz w:val="18"/>
                <w:szCs w:val="18"/>
              </w:rPr>
            </w:pPr>
            <w:r>
              <w:rPr>
                <w:color w:val="000000"/>
                <w:sz w:val="18"/>
                <w:szCs w:val="18"/>
              </w:rPr>
              <w:t>-0.0237</w:t>
            </w:r>
          </w:p>
        </w:tc>
        <w:tc>
          <w:tcPr>
            <w:tcW w:w="1041" w:type="dxa"/>
            <w:tcBorders>
              <w:right w:val="single" w:sz="18" w:space="0" w:color="7F7F7F" w:themeColor="text1" w:themeTint="80"/>
            </w:tcBorders>
          </w:tcPr>
          <w:p w:rsidR="004B40A3" w:rsidRDefault="004B40A3" w:rsidP="00900B10">
            <w:pPr>
              <w:jc w:val="right"/>
              <w:rPr>
                <w:color w:val="000000"/>
                <w:sz w:val="18"/>
                <w:szCs w:val="18"/>
              </w:rPr>
            </w:pPr>
            <w:r>
              <w:rPr>
                <w:color w:val="000000"/>
                <w:sz w:val="18"/>
                <w:szCs w:val="18"/>
              </w:rPr>
              <w:t>-0.0191</w:t>
            </w:r>
          </w:p>
        </w:tc>
        <w:tc>
          <w:tcPr>
            <w:tcW w:w="1030"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43" w:type="dxa"/>
          </w:tcPr>
          <w:p w:rsidR="004B40A3" w:rsidRDefault="004B40A3" w:rsidP="00900B10">
            <w:pPr>
              <w:jc w:val="right"/>
              <w:rPr>
                <w:color w:val="000000"/>
                <w:sz w:val="18"/>
                <w:szCs w:val="18"/>
              </w:rPr>
            </w:pPr>
            <w:r>
              <w:rPr>
                <w:color w:val="000000"/>
                <w:sz w:val="18"/>
                <w:szCs w:val="18"/>
              </w:rPr>
              <w:t>-0.0001</w:t>
            </w:r>
          </w:p>
        </w:tc>
        <w:tc>
          <w:tcPr>
            <w:tcW w:w="1043" w:type="dxa"/>
          </w:tcPr>
          <w:p w:rsidR="004B40A3" w:rsidRDefault="004B40A3" w:rsidP="00900B10">
            <w:pPr>
              <w:jc w:val="right"/>
              <w:rPr>
                <w:color w:val="000000"/>
                <w:sz w:val="18"/>
                <w:szCs w:val="18"/>
              </w:rPr>
            </w:pPr>
            <w:r>
              <w:rPr>
                <w:color w:val="000000"/>
                <w:sz w:val="18"/>
                <w:szCs w:val="18"/>
              </w:rPr>
              <w:t>0.0000</w:t>
            </w:r>
          </w:p>
        </w:tc>
        <w:tc>
          <w:tcPr>
            <w:tcW w:w="1030" w:type="dxa"/>
          </w:tcPr>
          <w:p w:rsidR="004B40A3" w:rsidRDefault="004B40A3" w:rsidP="00900B10">
            <w:pPr>
              <w:jc w:val="right"/>
              <w:rPr>
                <w:color w:val="000000"/>
                <w:sz w:val="18"/>
                <w:szCs w:val="18"/>
              </w:rPr>
            </w:pPr>
            <w:r>
              <w:rPr>
                <w:color w:val="000000"/>
                <w:sz w:val="18"/>
                <w:szCs w:val="18"/>
              </w:rPr>
              <w:t>-0.0001</w:t>
            </w:r>
          </w:p>
        </w:tc>
        <w:tc>
          <w:tcPr>
            <w:tcW w:w="980" w:type="dxa"/>
          </w:tcPr>
          <w:p w:rsidR="004B40A3" w:rsidRDefault="004B40A3" w:rsidP="00900B10">
            <w:pPr>
              <w:jc w:val="right"/>
              <w:rPr>
                <w:color w:val="000000"/>
                <w:sz w:val="18"/>
                <w:szCs w:val="18"/>
              </w:rPr>
            </w:pPr>
            <w:r>
              <w:rPr>
                <w:color w:val="000000"/>
                <w:sz w:val="18"/>
                <w:szCs w:val="18"/>
              </w:rPr>
              <w:t>-0.0263</w:t>
            </w:r>
          </w:p>
        </w:tc>
        <w:tc>
          <w:tcPr>
            <w:tcW w:w="1053" w:type="dxa"/>
          </w:tcPr>
          <w:p w:rsidR="004B40A3" w:rsidRDefault="004B40A3" w:rsidP="00900B10">
            <w:pPr>
              <w:jc w:val="right"/>
              <w:rPr>
                <w:color w:val="000000"/>
                <w:sz w:val="18"/>
                <w:szCs w:val="18"/>
              </w:rPr>
            </w:pPr>
            <w:r>
              <w:rPr>
                <w:color w:val="000000"/>
                <w:sz w:val="18"/>
                <w:szCs w:val="18"/>
              </w:rPr>
              <w:t>-0.0238</w:t>
            </w:r>
          </w:p>
        </w:tc>
      </w:tr>
      <w:tr w:rsidR="004B40A3" w:rsidTr="00900B10">
        <w:tc>
          <w:tcPr>
            <w:tcW w:w="4051" w:type="dxa"/>
            <w:gridSpan w:val="2"/>
            <w:tcBorders>
              <w:right w:val="single" w:sz="18" w:space="0" w:color="7F7F7F" w:themeColor="text1" w:themeTint="80"/>
            </w:tcBorders>
          </w:tcPr>
          <w:p w:rsidR="004B40A3" w:rsidRPr="00BD714E" w:rsidRDefault="004B40A3" w:rsidP="00900B10">
            <w:pPr>
              <w:spacing w:before="0"/>
              <w:rPr>
                <w:rFonts w:ascii="Times New Roman" w:hAnsi="Times New Roman" w:cs="Times New Roman"/>
                <w:b/>
                <w:sz w:val="20"/>
                <w:szCs w:val="20"/>
              </w:rPr>
            </w:pPr>
            <w:r w:rsidRPr="00BD714E">
              <w:rPr>
                <w:rFonts w:ascii="Times New Roman" w:hAnsi="Times New Roman" w:cs="Times New Roman"/>
                <w:b/>
                <w:sz w:val="20"/>
                <w:szCs w:val="20"/>
              </w:rPr>
              <w:t xml:space="preserve">11. Loss of food production in target state </w:t>
            </w:r>
          </w:p>
        </w:tc>
        <w:tc>
          <w:tcPr>
            <w:tcW w:w="832"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-0.0012</w:t>
            </w:r>
          </w:p>
        </w:tc>
        <w:tc>
          <w:tcPr>
            <w:tcW w:w="1030" w:type="dxa"/>
          </w:tcPr>
          <w:p w:rsidR="004B40A3" w:rsidRDefault="004B40A3" w:rsidP="00900B10">
            <w:pPr>
              <w:jc w:val="right"/>
              <w:rPr>
                <w:color w:val="000000"/>
                <w:sz w:val="18"/>
                <w:szCs w:val="18"/>
              </w:rPr>
            </w:pPr>
            <w:r>
              <w:rPr>
                <w:color w:val="000000"/>
                <w:sz w:val="18"/>
                <w:szCs w:val="18"/>
              </w:rPr>
              <w:t>-0.0009</w:t>
            </w:r>
          </w:p>
        </w:tc>
        <w:tc>
          <w:tcPr>
            <w:tcW w:w="1041" w:type="dxa"/>
          </w:tcPr>
          <w:p w:rsidR="004B40A3" w:rsidRDefault="004B40A3" w:rsidP="00900B10">
            <w:pPr>
              <w:jc w:val="right"/>
              <w:rPr>
                <w:color w:val="000000"/>
                <w:sz w:val="18"/>
                <w:szCs w:val="18"/>
              </w:rPr>
            </w:pPr>
            <w:r>
              <w:rPr>
                <w:color w:val="000000"/>
                <w:sz w:val="18"/>
                <w:szCs w:val="18"/>
              </w:rPr>
              <w:t>-0.0335</w:t>
            </w:r>
          </w:p>
        </w:tc>
        <w:tc>
          <w:tcPr>
            <w:tcW w:w="1041" w:type="dxa"/>
            <w:tcBorders>
              <w:right w:val="single" w:sz="18" w:space="0" w:color="7F7F7F" w:themeColor="text1" w:themeTint="80"/>
            </w:tcBorders>
          </w:tcPr>
          <w:p w:rsidR="004B40A3" w:rsidRDefault="004B40A3" w:rsidP="00900B10">
            <w:pPr>
              <w:jc w:val="right"/>
              <w:rPr>
                <w:color w:val="000000"/>
                <w:sz w:val="18"/>
                <w:szCs w:val="18"/>
              </w:rPr>
            </w:pPr>
            <w:r>
              <w:rPr>
                <w:color w:val="000000"/>
                <w:sz w:val="18"/>
                <w:szCs w:val="18"/>
              </w:rPr>
              <w:t>-0.0261</w:t>
            </w:r>
          </w:p>
        </w:tc>
        <w:tc>
          <w:tcPr>
            <w:tcW w:w="1030"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43" w:type="dxa"/>
          </w:tcPr>
          <w:p w:rsidR="004B40A3" w:rsidRDefault="004B40A3" w:rsidP="00900B10">
            <w:pPr>
              <w:jc w:val="right"/>
              <w:rPr>
                <w:color w:val="000000"/>
                <w:sz w:val="18"/>
                <w:szCs w:val="18"/>
              </w:rPr>
            </w:pPr>
            <w:r>
              <w:rPr>
                <w:color w:val="000000"/>
                <w:sz w:val="18"/>
                <w:szCs w:val="18"/>
              </w:rPr>
              <w:t>0.0000</w:t>
            </w:r>
          </w:p>
        </w:tc>
        <w:tc>
          <w:tcPr>
            <w:tcW w:w="1043" w:type="dxa"/>
          </w:tcPr>
          <w:p w:rsidR="004B40A3" w:rsidRDefault="004B40A3" w:rsidP="00900B10">
            <w:pPr>
              <w:jc w:val="right"/>
              <w:rPr>
                <w:color w:val="000000"/>
                <w:sz w:val="18"/>
                <w:szCs w:val="18"/>
              </w:rPr>
            </w:pPr>
            <w:r>
              <w:rPr>
                <w:color w:val="000000"/>
                <w:sz w:val="18"/>
                <w:szCs w:val="18"/>
              </w:rPr>
              <w:t>0.0001</w:t>
            </w:r>
          </w:p>
        </w:tc>
        <w:tc>
          <w:tcPr>
            <w:tcW w:w="1030" w:type="dxa"/>
          </w:tcPr>
          <w:p w:rsidR="004B40A3" w:rsidRDefault="004B40A3" w:rsidP="00900B10">
            <w:pPr>
              <w:jc w:val="right"/>
              <w:rPr>
                <w:color w:val="000000"/>
                <w:sz w:val="18"/>
                <w:szCs w:val="18"/>
              </w:rPr>
            </w:pPr>
            <w:r>
              <w:rPr>
                <w:color w:val="000000"/>
                <w:sz w:val="18"/>
                <w:szCs w:val="18"/>
              </w:rPr>
              <w:t>0.0001</w:t>
            </w:r>
          </w:p>
        </w:tc>
        <w:tc>
          <w:tcPr>
            <w:tcW w:w="980" w:type="dxa"/>
          </w:tcPr>
          <w:p w:rsidR="004B40A3" w:rsidRDefault="004B40A3" w:rsidP="00900B10">
            <w:pPr>
              <w:jc w:val="right"/>
              <w:rPr>
                <w:color w:val="000000"/>
                <w:sz w:val="18"/>
                <w:szCs w:val="18"/>
              </w:rPr>
            </w:pPr>
            <w:r>
              <w:rPr>
                <w:color w:val="000000"/>
                <w:sz w:val="18"/>
                <w:szCs w:val="18"/>
              </w:rPr>
              <w:t>-0.0009</w:t>
            </w:r>
          </w:p>
        </w:tc>
        <w:tc>
          <w:tcPr>
            <w:tcW w:w="1053" w:type="dxa"/>
          </w:tcPr>
          <w:p w:rsidR="004B40A3" w:rsidRDefault="004B40A3" w:rsidP="00900B10">
            <w:pPr>
              <w:jc w:val="right"/>
              <w:rPr>
                <w:color w:val="000000"/>
                <w:sz w:val="18"/>
                <w:szCs w:val="18"/>
              </w:rPr>
            </w:pPr>
            <w:r>
              <w:rPr>
                <w:color w:val="000000"/>
                <w:sz w:val="18"/>
                <w:szCs w:val="18"/>
              </w:rPr>
              <w:t>-0.0010</w:t>
            </w:r>
          </w:p>
        </w:tc>
      </w:tr>
      <w:tr w:rsidR="004B40A3" w:rsidTr="00900B10">
        <w:tc>
          <w:tcPr>
            <w:tcW w:w="4051" w:type="dxa"/>
            <w:gridSpan w:val="2"/>
            <w:tcBorders>
              <w:right w:val="single" w:sz="18" w:space="0" w:color="7F7F7F" w:themeColor="text1" w:themeTint="80"/>
            </w:tcBorders>
          </w:tcPr>
          <w:p w:rsidR="004B40A3" w:rsidRPr="00BD714E" w:rsidRDefault="004B40A3" w:rsidP="00900B10">
            <w:pPr>
              <w:spacing w:before="0"/>
              <w:rPr>
                <w:rFonts w:ascii="Times New Roman" w:hAnsi="Times New Roman" w:cs="Times New Roman"/>
                <w:b/>
                <w:sz w:val="20"/>
                <w:szCs w:val="20"/>
              </w:rPr>
            </w:pPr>
            <w:r w:rsidRPr="00BD714E">
              <w:rPr>
                <w:rFonts w:ascii="Times New Roman" w:hAnsi="Times New Roman" w:cs="Times New Roman"/>
                <w:b/>
                <w:sz w:val="20"/>
                <w:szCs w:val="20"/>
              </w:rPr>
              <w:t xml:space="preserve">12. Total loss of food production in U.S. including target state </w:t>
            </w:r>
          </w:p>
        </w:tc>
        <w:tc>
          <w:tcPr>
            <w:tcW w:w="832"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-0.1421</w:t>
            </w:r>
          </w:p>
        </w:tc>
        <w:tc>
          <w:tcPr>
            <w:tcW w:w="1030" w:type="dxa"/>
          </w:tcPr>
          <w:p w:rsidR="004B40A3" w:rsidRDefault="004B40A3" w:rsidP="00900B10">
            <w:pPr>
              <w:jc w:val="right"/>
              <w:rPr>
                <w:color w:val="000000"/>
                <w:sz w:val="18"/>
                <w:szCs w:val="18"/>
              </w:rPr>
            </w:pPr>
            <w:r>
              <w:rPr>
                <w:color w:val="000000"/>
                <w:sz w:val="18"/>
                <w:szCs w:val="18"/>
              </w:rPr>
              <w:t>-0.1012</w:t>
            </w:r>
          </w:p>
        </w:tc>
        <w:tc>
          <w:tcPr>
            <w:tcW w:w="1041" w:type="dxa"/>
          </w:tcPr>
          <w:p w:rsidR="004B40A3" w:rsidRDefault="004B40A3" w:rsidP="00900B10">
            <w:pPr>
              <w:jc w:val="right"/>
              <w:rPr>
                <w:color w:val="000000"/>
                <w:sz w:val="18"/>
                <w:szCs w:val="18"/>
              </w:rPr>
            </w:pPr>
            <w:r>
              <w:rPr>
                <w:color w:val="000000"/>
                <w:sz w:val="18"/>
                <w:szCs w:val="18"/>
              </w:rPr>
              <w:t>-0.1310</w:t>
            </w:r>
          </w:p>
        </w:tc>
        <w:tc>
          <w:tcPr>
            <w:tcW w:w="1041" w:type="dxa"/>
            <w:tcBorders>
              <w:right w:val="single" w:sz="18" w:space="0" w:color="7F7F7F" w:themeColor="text1" w:themeTint="80"/>
            </w:tcBorders>
          </w:tcPr>
          <w:p w:rsidR="004B40A3" w:rsidRDefault="004B40A3" w:rsidP="00900B10">
            <w:pPr>
              <w:jc w:val="right"/>
              <w:rPr>
                <w:color w:val="000000"/>
                <w:sz w:val="18"/>
                <w:szCs w:val="18"/>
              </w:rPr>
            </w:pPr>
            <w:r>
              <w:rPr>
                <w:color w:val="000000"/>
                <w:sz w:val="18"/>
                <w:szCs w:val="18"/>
              </w:rPr>
              <w:t>-0.1179</w:t>
            </w:r>
          </w:p>
        </w:tc>
        <w:tc>
          <w:tcPr>
            <w:tcW w:w="1030"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-0.0004</w:t>
            </w:r>
          </w:p>
        </w:tc>
        <w:tc>
          <w:tcPr>
            <w:tcW w:w="1043" w:type="dxa"/>
          </w:tcPr>
          <w:p w:rsidR="004B40A3" w:rsidRDefault="004B40A3" w:rsidP="00900B10">
            <w:pPr>
              <w:jc w:val="right"/>
              <w:rPr>
                <w:color w:val="000000"/>
                <w:sz w:val="18"/>
                <w:szCs w:val="18"/>
              </w:rPr>
            </w:pPr>
            <w:r>
              <w:rPr>
                <w:color w:val="000000"/>
                <w:sz w:val="18"/>
                <w:szCs w:val="18"/>
              </w:rPr>
              <w:t>-0.0005</w:t>
            </w:r>
          </w:p>
        </w:tc>
        <w:tc>
          <w:tcPr>
            <w:tcW w:w="1043" w:type="dxa"/>
          </w:tcPr>
          <w:p w:rsidR="004B40A3" w:rsidRDefault="004B40A3" w:rsidP="00900B10">
            <w:pPr>
              <w:jc w:val="right"/>
              <w:rPr>
                <w:color w:val="000000"/>
                <w:sz w:val="18"/>
                <w:szCs w:val="18"/>
              </w:rPr>
            </w:pPr>
            <w:r>
              <w:rPr>
                <w:color w:val="000000"/>
                <w:sz w:val="18"/>
                <w:szCs w:val="18"/>
              </w:rPr>
              <w:t>-0.0013</w:t>
            </w:r>
          </w:p>
        </w:tc>
        <w:tc>
          <w:tcPr>
            <w:tcW w:w="1030" w:type="dxa"/>
          </w:tcPr>
          <w:p w:rsidR="004B40A3" w:rsidRDefault="004B40A3" w:rsidP="00900B10">
            <w:pPr>
              <w:jc w:val="right"/>
              <w:rPr>
                <w:color w:val="000000"/>
                <w:sz w:val="18"/>
                <w:szCs w:val="18"/>
              </w:rPr>
            </w:pPr>
            <w:r>
              <w:rPr>
                <w:color w:val="000000"/>
                <w:sz w:val="18"/>
                <w:szCs w:val="18"/>
              </w:rPr>
              <w:t>-0.0004</w:t>
            </w:r>
          </w:p>
        </w:tc>
        <w:tc>
          <w:tcPr>
            <w:tcW w:w="980" w:type="dxa"/>
          </w:tcPr>
          <w:p w:rsidR="004B40A3" w:rsidRDefault="004B40A3" w:rsidP="00900B10">
            <w:pPr>
              <w:jc w:val="right"/>
              <w:rPr>
                <w:color w:val="000000"/>
                <w:sz w:val="18"/>
                <w:szCs w:val="18"/>
              </w:rPr>
            </w:pPr>
            <w:r>
              <w:rPr>
                <w:color w:val="000000"/>
                <w:sz w:val="18"/>
                <w:szCs w:val="18"/>
              </w:rPr>
              <w:t>-0.0999</w:t>
            </w:r>
          </w:p>
        </w:tc>
        <w:tc>
          <w:tcPr>
            <w:tcW w:w="1053" w:type="dxa"/>
          </w:tcPr>
          <w:p w:rsidR="004B40A3" w:rsidRDefault="004B40A3" w:rsidP="00900B10">
            <w:pPr>
              <w:jc w:val="right"/>
              <w:rPr>
                <w:color w:val="000000"/>
                <w:sz w:val="18"/>
                <w:szCs w:val="18"/>
              </w:rPr>
            </w:pPr>
            <w:r>
              <w:rPr>
                <w:color w:val="000000"/>
                <w:sz w:val="18"/>
                <w:szCs w:val="18"/>
              </w:rPr>
              <w:t>-0.1020</w:t>
            </w:r>
          </w:p>
        </w:tc>
      </w:tr>
      <w:tr w:rsidR="004B40A3" w:rsidTr="00900B10">
        <w:tc>
          <w:tcPr>
            <w:tcW w:w="4051" w:type="dxa"/>
            <w:gridSpan w:val="2"/>
            <w:tcBorders>
              <w:right w:val="single" w:sz="18" w:space="0" w:color="7F7F7F" w:themeColor="text1" w:themeTint="80"/>
            </w:tcBorders>
          </w:tcPr>
          <w:p w:rsidR="004B40A3" w:rsidRPr="00BD714E" w:rsidRDefault="004B40A3" w:rsidP="00900B10">
            <w:pPr>
              <w:spacing w:before="0"/>
              <w:rPr>
                <w:rFonts w:ascii="Times New Roman" w:hAnsi="Times New Roman" w:cs="Times New Roman"/>
                <w:b/>
                <w:sz w:val="20"/>
                <w:szCs w:val="20"/>
              </w:rPr>
            </w:pPr>
            <w:r w:rsidRPr="00BD714E">
              <w:rPr>
                <w:rFonts w:ascii="Times New Roman" w:hAnsi="Times New Roman" w:cs="Times New Roman"/>
                <w:b/>
                <w:sz w:val="20"/>
                <w:szCs w:val="20"/>
              </w:rPr>
              <w:t>13. Deaths &amp; serious injuries, permanent removal from work (people)</w:t>
            </w:r>
          </w:p>
        </w:tc>
        <w:tc>
          <w:tcPr>
            <w:tcW w:w="832"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-0.5470</w:t>
            </w:r>
          </w:p>
        </w:tc>
        <w:tc>
          <w:tcPr>
            <w:tcW w:w="1030" w:type="dxa"/>
          </w:tcPr>
          <w:p w:rsidR="004B40A3" w:rsidRDefault="004B40A3" w:rsidP="00900B10">
            <w:pPr>
              <w:jc w:val="right"/>
              <w:rPr>
                <w:color w:val="000000"/>
                <w:sz w:val="18"/>
                <w:szCs w:val="18"/>
              </w:rPr>
            </w:pPr>
            <w:r>
              <w:rPr>
                <w:color w:val="000000"/>
                <w:sz w:val="18"/>
                <w:szCs w:val="18"/>
              </w:rPr>
              <w:t>-0.6131</w:t>
            </w:r>
          </w:p>
        </w:tc>
        <w:tc>
          <w:tcPr>
            <w:tcW w:w="1041" w:type="dxa"/>
          </w:tcPr>
          <w:p w:rsidR="004B40A3" w:rsidRDefault="004B40A3" w:rsidP="00900B10">
            <w:pPr>
              <w:jc w:val="right"/>
              <w:rPr>
                <w:color w:val="000000"/>
                <w:sz w:val="18"/>
                <w:szCs w:val="18"/>
              </w:rPr>
            </w:pPr>
            <w:r>
              <w:rPr>
                <w:color w:val="000000"/>
                <w:sz w:val="18"/>
                <w:szCs w:val="18"/>
              </w:rPr>
              <w:t>-51.3175</w:t>
            </w:r>
          </w:p>
        </w:tc>
        <w:tc>
          <w:tcPr>
            <w:tcW w:w="1041" w:type="dxa"/>
            <w:tcBorders>
              <w:right w:val="single" w:sz="18" w:space="0" w:color="7F7F7F" w:themeColor="text1" w:themeTint="80"/>
            </w:tcBorders>
          </w:tcPr>
          <w:p w:rsidR="004B40A3" w:rsidRDefault="004B40A3" w:rsidP="00900B10">
            <w:pPr>
              <w:jc w:val="right"/>
              <w:rPr>
                <w:color w:val="000000"/>
                <w:sz w:val="18"/>
                <w:szCs w:val="18"/>
              </w:rPr>
            </w:pPr>
            <w:r>
              <w:rPr>
                <w:color w:val="000000"/>
                <w:sz w:val="18"/>
                <w:szCs w:val="18"/>
              </w:rPr>
              <w:t>-56.4681</w:t>
            </w:r>
          </w:p>
        </w:tc>
        <w:tc>
          <w:tcPr>
            <w:tcW w:w="1030"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-0.9546</w:t>
            </w:r>
          </w:p>
        </w:tc>
        <w:tc>
          <w:tcPr>
            <w:tcW w:w="1043" w:type="dxa"/>
          </w:tcPr>
          <w:p w:rsidR="004B40A3" w:rsidRDefault="004B40A3" w:rsidP="00900B10">
            <w:pPr>
              <w:jc w:val="right"/>
              <w:rPr>
                <w:color w:val="000000"/>
                <w:sz w:val="18"/>
                <w:szCs w:val="18"/>
              </w:rPr>
            </w:pPr>
            <w:r>
              <w:rPr>
                <w:color w:val="000000"/>
                <w:sz w:val="18"/>
                <w:szCs w:val="18"/>
              </w:rPr>
              <w:t>-0.9873</w:t>
            </w:r>
          </w:p>
        </w:tc>
        <w:tc>
          <w:tcPr>
            <w:tcW w:w="1043" w:type="dxa"/>
          </w:tcPr>
          <w:p w:rsidR="004B40A3" w:rsidRDefault="004B40A3" w:rsidP="00900B10">
            <w:pPr>
              <w:jc w:val="right"/>
              <w:rPr>
                <w:color w:val="000000"/>
                <w:sz w:val="18"/>
                <w:szCs w:val="18"/>
              </w:rPr>
            </w:pPr>
            <w:r>
              <w:rPr>
                <w:color w:val="000000"/>
                <w:sz w:val="18"/>
                <w:szCs w:val="18"/>
              </w:rPr>
              <w:t>-0.0130</w:t>
            </w:r>
          </w:p>
        </w:tc>
        <w:tc>
          <w:tcPr>
            <w:tcW w:w="1030" w:type="dxa"/>
          </w:tcPr>
          <w:p w:rsidR="004B40A3" w:rsidRDefault="004B40A3" w:rsidP="00900B10">
            <w:pPr>
              <w:jc w:val="right"/>
              <w:rPr>
                <w:color w:val="000000"/>
                <w:sz w:val="18"/>
                <w:szCs w:val="18"/>
              </w:rPr>
            </w:pPr>
            <w:r>
              <w:rPr>
                <w:color w:val="000000"/>
                <w:sz w:val="18"/>
                <w:szCs w:val="18"/>
              </w:rPr>
              <w:t>-0.0096</w:t>
            </w:r>
          </w:p>
        </w:tc>
        <w:tc>
          <w:tcPr>
            <w:tcW w:w="980" w:type="dxa"/>
          </w:tcPr>
          <w:p w:rsidR="004B40A3" w:rsidRDefault="004B40A3" w:rsidP="00900B10">
            <w:pPr>
              <w:jc w:val="right"/>
              <w:rPr>
                <w:color w:val="000000"/>
                <w:sz w:val="18"/>
                <w:szCs w:val="18"/>
              </w:rPr>
            </w:pPr>
            <w:r>
              <w:rPr>
                <w:color w:val="000000"/>
                <w:sz w:val="18"/>
                <w:szCs w:val="18"/>
              </w:rPr>
              <w:t>-298.6371</w:t>
            </w:r>
          </w:p>
        </w:tc>
        <w:tc>
          <w:tcPr>
            <w:tcW w:w="1053" w:type="dxa"/>
          </w:tcPr>
          <w:p w:rsidR="004B40A3" w:rsidRDefault="004B40A3" w:rsidP="00900B10">
            <w:pPr>
              <w:jc w:val="right"/>
              <w:rPr>
                <w:color w:val="000000"/>
                <w:sz w:val="18"/>
                <w:szCs w:val="18"/>
              </w:rPr>
            </w:pPr>
            <w:r>
              <w:rPr>
                <w:color w:val="000000"/>
                <w:sz w:val="18"/>
                <w:szCs w:val="18"/>
              </w:rPr>
              <w:t>-307.3186</w:t>
            </w:r>
          </w:p>
        </w:tc>
      </w:tr>
      <w:tr w:rsidR="004B40A3" w:rsidTr="00900B10">
        <w:tc>
          <w:tcPr>
            <w:tcW w:w="4051" w:type="dxa"/>
            <w:gridSpan w:val="2"/>
            <w:tcBorders>
              <w:bottom w:val="single" w:sz="18" w:space="0" w:color="7F7F7F" w:themeColor="text1" w:themeTint="80"/>
              <w:right w:val="single" w:sz="18" w:space="0" w:color="7F7F7F" w:themeColor="text1" w:themeTint="80"/>
            </w:tcBorders>
          </w:tcPr>
          <w:p w:rsidR="004B40A3" w:rsidRPr="00BD714E" w:rsidRDefault="004B40A3" w:rsidP="00900B10">
            <w:pPr>
              <w:spacing w:before="0"/>
              <w:rPr>
                <w:rFonts w:ascii="Times New Roman" w:hAnsi="Times New Roman" w:cs="Times New Roman"/>
                <w:b/>
                <w:sz w:val="20"/>
                <w:szCs w:val="20"/>
              </w:rPr>
            </w:pPr>
            <w:r w:rsidRPr="00BD714E">
              <w:rPr>
                <w:rFonts w:ascii="Times New Roman" w:hAnsi="Times New Roman" w:cs="Times New Roman"/>
                <w:b/>
                <w:sz w:val="20"/>
                <w:szCs w:val="20"/>
              </w:rPr>
              <w:t>14. Aversion, per cent reduction in labor supply to target region</w:t>
            </w:r>
          </w:p>
        </w:tc>
        <w:tc>
          <w:tcPr>
            <w:tcW w:w="832" w:type="dxa"/>
            <w:tcBorders>
              <w:left w:val="single" w:sz="18" w:space="0" w:color="7F7F7F" w:themeColor="text1" w:themeTint="80"/>
              <w:bottom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30" w:type="dxa"/>
            <w:tcBorders>
              <w:bottom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41" w:type="dxa"/>
            <w:tcBorders>
              <w:bottom w:val="single" w:sz="18" w:space="0" w:color="7F7F7F" w:themeColor="text1" w:themeTint="80"/>
            </w:tcBorders>
          </w:tcPr>
          <w:p w:rsidR="004B40A3" w:rsidRDefault="004B40A3" w:rsidP="00900B10">
            <w:pPr>
              <w:jc w:val="right"/>
              <w:rPr>
                <w:color w:val="000000"/>
                <w:sz w:val="18"/>
                <w:szCs w:val="18"/>
              </w:rPr>
            </w:pPr>
            <w:r>
              <w:rPr>
                <w:color w:val="000000"/>
                <w:sz w:val="18"/>
                <w:szCs w:val="18"/>
              </w:rPr>
              <w:t>-0.4354</w:t>
            </w:r>
          </w:p>
        </w:tc>
        <w:tc>
          <w:tcPr>
            <w:tcW w:w="1041" w:type="dxa"/>
            <w:tcBorders>
              <w:bottom w:val="single" w:sz="18" w:space="0" w:color="7F7F7F" w:themeColor="text1" w:themeTint="80"/>
              <w:right w:val="single" w:sz="18" w:space="0" w:color="7F7F7F" w:themeColor="text1" w:themeTint="80"/>
            </w:tcBorders>
          </w:tcPr>
          <w:p w:rsidR="004B40A3" w:rsidRDefault="004B40A3" w:rsidP="00900B10">
            <w:pPr>
              <w:jc w:val="right"/>
              <w:rPr>
                <w:color w:val="000000"/>
                <w:sz w:val="18"/>
                <w:szCs w:val="18"/>
              </w:rPr>
            </w:pPr>
            <w:r>
              <w:rPr>
                <w:color w:val="000000"/>
                <w:sz w:val="18"/>
                <w:szCs w:val="18"/>
              </w:rPr>
              <w:t>-0.4796</w:t>
            </w:r>
          </w:p>
        </w:tc>
        <w:tc>
          <w:tcPr>
            <w:tcW w:w="1030" w:type="dxa"/>
            <w:tcBorders>
              <w:left w:val="single" w:sz="18" w:space="0" w:color="7F7F7F" w:themeColor="text1" w:themeTint="80"/>
              <w:bottom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43" w:type="dxa"/>
            <w:tcBorders>
              <w:bottom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43" w:type="dxa"/>
            <w:tcBorders>
              <w:bottom w:val="single" w:sz="18" w:space="0" w:color="7F7F7F" w:themeColor="text1" w:themeTint="80"/>
            </w:tcBorders>
          </w:tcPr>
          <w:p w:rsidR="004B40A3" w:rsidRDefault="004B40A3" w:rsidP="00900B10">
            <w:pPr>
              <w:jc w:val="right"/>
              <w:rPr>
                <w:color w:val="000000"/>
                <w:sz w:val="18"/>
                <w:szCs w:val="18"/>
              </w:rPr>
            </w:pPr>
            <w:r>
              <w:rPr>
                <w:color w:val="000000"/>
                <w:sz w:val="18"/>
                <w:szCs w:val="18"/>
              </w:rPr>
              <w:t>-0.8123</w:t>
            </w:r>
          </w:p>
        </w:tc>
        <w:tc>
          <w:tcPr>
            <w:tcW w:w="1030" w:type="dxa"/>
            <w:tcBorders>
              <w:bottom w:val="single" w:sz="18" w:space="0" w:color="7F7F7F" w:themeColor="text1" w:themeTint="80"/>
            </w:tcBorders>
          </w:tcPr>
          <w:p w:rsidR="004B40A3" w:rsidRDefault="004B40A3" w:rsidP="00900B10">
            <w:pPr>
              <w:jc w:val="right"/>
              <w:rPr>
                <w:color w:val="000000"/>
                <w:sz w:val="18"/>
                <w:szCs w:val="18"/>
              </w:rPr>
            </w:pPr>
            <w:r>
              <w:rPr>
                <w:color w:val="000000"/>
                <w:sz w:val="18"/>
                <w:szCs w:val="18"/>
              </w:rPr>
              <w:t>-0.8927</w:t>
            </w:r>
          </w:p>
        </w:tc>
        <w:tc>
          <w:tcPr>
            <w:tcW w:w="980" w:type="dxa"/>
            <w:tcBorders>
              <w:bottom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53" w:type="dxa"/>
            <w:tcBorders>
              <w:bottom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r>
    </w:tbl>
    <w:p w:rsidR="004B40A3" w:rsidRDefault="004B40A3" w:rsidP="004B40A3">
      <w:pPr>
        <w:jc w:val="center"/>
      </w:pPr>
      <w:r w:rsidRPr="00356F17">
        <w:rPr>
          <w:rFonts w:ascii="Times New Roman" w:hAnsi="Times New Roman" w:cs="Times New Roman"/>
          <w:b/>
          <w:i/>
          <w:sz w:val="24"/>
          <w:szCs w:val="24"/>
        </w:rPr>
        <w:lastRenderedPageBreak/>
        <w:t xml:space="preserve">Table 6.3.  Elasticities for incident in </w:t>
      </w:r>
      <w:r w:rsidRPr="00356F17">
        <w:rPr>
          <w:rFonts w:ascii="Times New Roman" w:hAnsi="Times New Roman" w:cs="Times New Roman"/>
          <w:b/>
          <w:i/>
          <w:color w:val="FF0000"/>
          <w:sz w:val="24"/>
          <w:szCs w:val="24"/>
        </w:rPr>
        <w:t>FL24</w:t>
      </w:r>
      <w:r w:rsidRPr="00356F17">
        <w:rPr>
          <w:rFonts w:ascii="Times New Roman" w:hAnsi="Times New Roman" w:cs="Times New Roman"/>
          <w:b/>
          <w:i/>
          <w:sz w:val="24"/>
          <w:szCs w:val="24"/>
        </w:rPr>
        <w:t xml:space="preserve"> with </w:t>
      </w:r>
      <w:r w:rsidRPr="00356F17">
        <w:rPr>
          <w:rFonts w:ascii="Times New Roman" w:hAnsi="Times New Roman" w:cs="Times New Roman"/>
          <w:b/>
          <w:i/>
          <w:color w:val="FF0000"/>
          <w:sz w:val="24"/>
          <w:szCs w:val="24"/>
        </w:rPr>
        <w:t xml:space="preserve">Neoclassical </w:t>
      </w:r>
      <w:r w:rsidRPr="00356F17">
        <w:rPr>
          <w:rFonts w:ascii="Times New Roman" w:hAnsi="Times New Roman" w:cs="Times New Roman"/>
          <w:b/>
          <w:i/>
          <w:sz w:val="24"/>
          <w:szCs w:val="24"/>
        </w:rPr>
        <w:t>assumptions: % effects on implication variables of 1% shocks to driving variables</w:t>
      </w:r>
      <w:r>
        <w:rPr>
          <w:rFonts w:ascii="Times New Roman" w:hAnsi="Times New Roman" w:cs="Times New Roman"/>
          <w:b/>
          <w:i/>
          <w:sz w:val="24"/>
          <w:szCs w:val="24"/>
        </w:rPr>
        <w:t xml:space="preserve"> </w:t>
      </w:r>
    </w:p>
    <w:tbl>
      <w:tblPr>
        <w:tblStyle w:val="TableGrid"/>
        <w:tblW w:w="141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9"/>
        <w:gridCol w:w="2042"/>
        <w:gridCol w:w="832"/>
        <w:gridCol w:w="1030"/>
        <w:gridCol w:w="1041"/>
        <w:gridCol w:w="1041"/>
        <w:gridCol w:w="1030"/>
        <w:gridCol w:w="1043"/>
        <w:gridCol w:w="1043"/>
        <w:gridCol w:w="1030"/>
        <w:gridCol w:w="980"/>
        <w:gridCol w:w="1053"/>
      </w:tblGrid>
      <w:tr w:rsidR="004B40A3" w:rsidTr="00900B10">
        <w:trPr>
          <w:trHeight w:val="2286"/>
        </w:trPr>
        <w:tc>
          <w:tcPr>
            <w:tcW w:w="2009" w:type="dxa"/>
            <w:tcBorders>
              <w:top w:val="single" w:sz="18" w:space="0" w:color="7F7F7F" w:themeColor="text1" w:themeTint="80"/>
            </w:tcBorders>
            <w:vAlign w:val="bottom"/>
          </w:tcPr>
          <w:p w:rsidR="004B40A3" w:rsidRPr="00BD714E" w:rsidRDefault="004B40A3" w:rsidP="00900B10">
            <w:pPr>
              <w:spacing w:before="0"/>
              <w:rPr>
                <w:rFonts w:ascii="Times New Roman" w:hAnsi="Times New Roman" w:cs="Times New Roman"/>
                <w:b/>
                <w:sz w:val="24"/>
                <w:szCs w:val="24"/>
              </w:rPr>
            </w:pPr>
            <w:r w:rsidRPr="00BD714E">
              <w:rPr>
                <w:rFonts w:ascii="Times New Roman" w:hAnsi="Times New Roman" w:cs="Times New Roman"/>
                <w:b/>
                <w:sz w:val="24"/>
                <w:szCs w:val="24"/>
              </w:rPr>
              <w:t>Driving variables</w:t>
            </w:r>
          </w:p>
        </w:tc>
        <w:tc>
          <w:tcPr>
            <w:tcW w:w="2042" w:type="dxa"/>
            <w:tcBorders>
              <w:top w:val="single" w:sz="18" w:space="0" w:color="7F7F7F" w:themeColor="text1" w:themeTint="80"/>
              <w:right w:val="single" w:sz="18" w:space="0" w:color="7F7F7F" w:themeColor="text1" w:themeTint="80"/>
            </w:tcBorders>
          </w:tcPr>
          <w:p w:rsidR="004B40A3" w:rsidRPr="00BD714E" w:rsidRDefault="004B40A3" w:rsidP="00900B10">
            <w:pPr>
              <w:spacing w:before="0"/>
              <w:jc w:val="right"/>
              <w:rPr>
                <w:rFonts w:ascii="Times New Roman" w:hAnsi="Times New Roman" w:cs="Times New Roman"/>
                <w:b/>
                <w:sz w:val="24"/>
                <w:szCs w:val="24"/>
              </w:rPr>
            </w:pPr>
            <w:r w:rsidRPr="00BD714E">
              <w:rPr>
                <w:rFonts w:ascii="Times New Roman" w:hAnsi="Times New Roman" w:cs="Times New Roman"/>
                <w:b/>
                <w:sz w:val="24"/>
                <w:szCs w:val="24"/>
              </w:rPr>
              <w:t>Implication variables</w:t>
            </w:r>
          </w:p>
        </w:tc>
        <w:tc>
          <w:tcPr>
            <w:tcW w:w="832" w:type="dxa"/>
            <w:tcBorders>
              <w:top w:val="single" w:sz="18" w:space="0" w:color="7F7F7F" w:themeColor="text1" w:themeTint="80"/>
              <w:left w:val="single" w:sz="18" w:space="0" w:color="7F7F7F" w:themeColor="text1" w:themeTint="80"/>
            </w:tcBorders>
            <w:textDirection w:val="tbRl"/>
            <w:vAlign w:val="center"/>
          </w:tcPr>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 xml:space="preserve">National GDP </w:t>
            </w:r>
          </w:p>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Year 1</w:t>
            </w:r>
          </w:p>
        </w:tc>
        <w:tc>
          <w:tcPr>
            <w:tcW w:w="1030" w:type="dxa"/>
            <w:tcBorders>
              <w:top w:val="single" w:sz="18" w:space="0" w:color="7F7F7F" w:themeColor="text1" w:themeTint="80"/>
            </w:tcBorders>
            <w:textDirection w:val="tbRl"/>
            <w:vAlign w:val="center"/>
          </w:tcPr>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 xml:space="preserve">National employment  </w:t>
            </w:r>
          </w:p>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Year 1</w:t>
            </w:r>
          </w:p>
        </w:tc>
        <w:tc>
          <w:tcPr>
            <w:tcW w:w="1041" w:type="dxa"/>
            <w:tcBorders>
              <w:top w:val="single" w:sz="18" w:space="0" w:color="7F7F7F" w:themeColor="text1" w:themeTint="80"/>
            </w:tcBorders>
            <w:textDirection w:val="tbRl"/>
            <w:vAlign w:val="center"/>
          </w:tcPr>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 xml:space="preserve">Target  region GRP </w:t>
            </w:r>
          </w:p>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Year 1</w:t>
            </w:r>
          </w:p>
        </w:tc>
        <w:tc>
          <w:tcPr>
            <w:tcW w:w="1041" w:type="dxa"/>
            <w:tcBorders>
              <w:top w:val="single" w:sz="18" w:space="0" w:color="7F7F7F" w:themeColor="text1" w:themeTint="80"/>
              <w:right w:val="single" w:sz="18" w:space="0" w:color="7F7F7F" w:themeColor="text1" w:themeTint="80"/>
            </w:tcBorders>
            <w:textDirection w:val="tbRl"/>
            <w:vAlign w:val="center"/>
          </w:tcPr>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Target  region employment Year 1</w:t>
            </w:r>
          </w:p>
        </w:tc>
        <w:tc>
          <w:tcPr>
            <w:tcW w:w="1030" w:type="dxa"/>
            <w:tcBorders>
              <w:top w:val="single" w:sz="18" w:space="0" w:color="7F7F7F" w:themeColor="text1" w:themeTint="80"/>
              <w:left w:val="single" w:sz="18" w:space="0" w:color="7F7F7F" w:themeColor="text1" w:themeTint="80"/>
            </w:tcBorders>
            <w:textDirection w:val="tbRl"/>
            <w:vAlign w:val="center"/>
          </w:tcPr>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 xml:space="preserve">National GDP </w:t>
            </w:r>
          </w:p>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Year 20</w:t>
            </w:r>
          </w:p>
        </w:tc>
        <w:tc>
          <w:tcPr>
            <w:tcW w:w="1043" w:type="dxa"/>
            <w:tcBorders>
              <w:top w:val="single" w:sz="18" w:space="0" w:color="7F7F7F" w:themeColor="text1" w:themeTint="80"/>
            </w:tcBorders>
            <w:textDirection w:val="tbRl"/>
            <w:vAlign w:val="center"/>
          </w:tcPr>
          <w:p w:rsidR="004B40A3" w:rsidRPr="00F66BB7" w:rsidRDefault="004B40A3" w:rsidP="00900B10">
            <w:pPr>
              <w:spacing w:before="0"/>
              <w:ind w:left="115" w:right="115"/>
              <w:rPr>
                <w:rFonts w:ascii="Times New Roman" w:hAnsi="Times New Roman" w:cs="Times New Roman"/>
                <w:b/>
                <w:sz w:val="20"/>
                <w:szCs w:val="20"/>
              </w:rPr>
            </w:pPr>
            <w:r w:rsidRPr="00F66BB7">
              <w:rPr>
                <w:rFonts w:ascii="Times New Roman" w:hAnsi="Times New Roman" w:cs="Times New Roman"/>
                <w:b/>
                <w:sz w:val="20"/>
                <w:szCs w:val="20"/>
              </w:rPr>
              <w:t xml:space="preserve">National employment  </w:t>
            </w:r>
          </w:p>
          <w:p w:rsidR="004B40A3" w:rsidRPr="00F66BB7" w:rsidRDefault="004B40A3" w:rsidP="00900B10">
            <w:pPr>
              <w:spacing w:before="0"/>
              <w:ind w:left="115" w:right="115"/>
              <w:rPr>
                <w:rFonts w:ascii="Times New Roman" w:hAnsi="Times New Roman" w:cs="Times New Roman"/>
                <w:b/>
                <w:sz w:val="20"/>
                <w:szCs w:val="20"/>
              </w:rPr>
            </w:pPr>
            <w:r w:rsidRPr="00F66BB7">
              <w:rPr>
                <w:rFonts w:ascii="Times New Roman" w:hAnsi="Times New Roman" w:cs="Times New Roman"/>
                <w:b/>
                <w:sz w:val="20"/>
                <w:szCs w:val="20"/>
              </w:rPr>
              <w:t>Year 20</w:t>
            </w:r>
          </w:p>
        </w:tc>
        <w:tc>
          <w:tcPr>
            <w:tcW w:w="1043" w:type="dxa"/>
            <w:tcBorders>
              <w:top w:val="single" w:sz="18" w:space="0" w:color="7F7F7F" w:themeColor="text1" w:themeTint="80"/>
            </w:tcBorders>
            <w:textDirection w:val="tbRl"/>
            <w:vAlign w:val="center"/>
          </w:tcPr>
          <w:p w:rsidR="004B40A3" w:rsidRPr="00F66BB7" w:rsidRDefault="004B40A3" w:rsidP="00900B10">
            <w:pPr>
              <w:spacing w:before="0"/>
              <w:ind w:left="115" w:right="115"/>
              <w:rPr>
                <w:rFonts w:ascii="Times New Roman" w:hAnsi="Times New Roman" w:cs="Times New Roman"/>
                <w:b/>
                <w:sz w:val="20"/>
                <w:szCs w:val="20"/>
              </w:rPr>
            </w:pPr>
            <w:r w:rsidRPr="00F66BB7">
              <w:rPr>
                <w:rFonts w:ascii="Times New Roman" w:hAnsi="Times New Roman" w:cs="Times New Roman"/>
                <w:b/>
                <w:sz w:val="20"/>
                <w:szCs w:val="20"/>
              </w:rPr>
              <w:t xml:space="preserve">Target  region GRP </w:t>
            </w:r>
          </w:p>
          <w:p w:rsidR="004B40A3" w:rsidRPr="00F66BB7" w:rsidRDefault="004B40A3" w:rsidP="00900B10">
            <w:pPr>
              <w:spacing w:before="0"/>
              <w:ind w:left="115" w:right="115"/>
              <w:rPr>
                <w:rFonts w:ascii="Times New Roman" w:hAnsi="Times New Roman" w:cs="Times New Roman"/>
                <w:b/>
                <w:sz w:val="20"/>
                <w:szCs w:val="20"/>
              </w:rPr>
            </w:pPr>
            <w:r w:rsidRPr="00F66BB7">
              <w:rPr>
                <w:rFonts w:ascii="Times New Roman" w:hAnsi="Times New Roman" w:cs="Times New Roman"/>
                <w:b/>
                <w:sz w:val="20"/>
                <w:szCs w:val="20"/>
              </w:rPr>
              <w:t>Year 20</w:t>
            </w:r>
          </w:p>
        </w:tc>
        <w:tc>
          <w:tcPr>
            <w:tcW w:w="1030" w:type="dxa"/>
            <w:tcBorders>
              <w:top w:val="single" w:sz="18" w:space="0" w:color="7F7F7F" w:themeColor="text1" w:themeTint="80"/>
            </w:tcBorders>
            <w:textDirection w:val="tbRl"/>
            <w:vAlign w:val="center"/>
          </w:tcPr>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 xml:space="preserve">Target  region employment  </w:t>
            </w:r>
          </w:p>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Year20</w:t>
            </w:r>
          </w:p>
        </w:tc>
        <w:tc>
          <w:tcPr>
            <w:tcW w:w="980" w:type="dxa"/>
            <w:tcBorders>
              <w:top w:val="single" w:sz="18" w:space="0" w:color="7F7F7F" w:themeColor="text1" w:themeTint="80"/>
            </w:tcBorders>
            <w:textDirection w:val="tbRl"/>
            <w:vAlign w:val="center"/>
          </w:tcPr>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 xml:space="preserve">National welfare </w:t>
            </w:r>
          </w:p>
          <w:p w:rsidR="004B40A3" w:rsidRPr="00BD714E" w:rsidRDefault="004B40A3" w:rsidP="00900B10">
            <w:pPr>
              <w:spacing w:before="0"/>
              <w:ind w:left="115" w:right="115"/>
              <w:rPr>
                <w:rFonts w:ascii="Times New Roman" w:hAnsi="Times New Roman" w:cs="Times New Roman"/>
                <w:b/>
                <w:sz w:val="20"/>
                <w:szCs w:val="20"/>
              </w:rPr>
            </w:pPr>
            <w:r>
              <w:rPr>
                <w:rFonts w:ascii="Times New Roman" w:hAnsi="Times New Roman" w:cs="Times New Roman"/>
                <w:b/>
                <w:sz w:val="20"/>
                <w:szCs w:val="20"/>
              </w:rPr>
              <w:t>a</w:t>
            </w:r>
            <w:r w:rsidRPr="00BD714E">
              <w:rPr>
                <w:rFonts w:ascii="Times New Roman" w:hAnsi="Times New Roman" w:cs="Times New Roman"/>
                <w:b/>
                <w:sz w:val="20"/>
                <w:szCs w:val="20"/>
              </w:rPr>
              <w:t>ccumulated years 1 to 20</w:t>
            </w:r>
            <w:r>
              <w:rPr>
                <w:rFonts w:ascii="Times New Roman" w:hAnsi="Times New Roman" w:cs="Times New Roman"/>
                <w:b/>
                <w:sz w:val="20"/>
                <w:szCs w:val="20"/>
              </w:rPr>
              <w:t>, discount rate 0.05</w:t>
            </w:r>
          </w:p>
        </w:tc>
        <w:tc>
          <w:tcPr>
            <w:tcW w:w="1053" w:type="dxa"/>
            <w:tcBorders>
              <w:top w:val="single" w:sz="18" w:space="0" w:color="7F7F7F" w:themeColor="text1" w:themeTint="80"/>
            </w:tcBorders>
            <w:textDirection w:val="tbRl"/>
          </w:tcPr>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 xml:space="preserve">National welfare </w:t>
            </w:r>
          </w:p>
          <w:p w:rsidR="004B40A3" w:rsidRPr="00BD714E" w:rsidRDefault="004B40A3" w:rsidP="00900B10">
            <w:pPr>
              <w:spacing w:before="0"/>
              <w:ind w:left="115" w:right="115"/>
              <w:rPr>
                <w:rFonts w:ascii="Times New Roman" w:hAnsi="Times New Roman" w:cs="Times New Roman"/>
                <w:b/>
                <w:sz w:val="20"/>
                <w:szCs w:val="20"/>
              </w:rPr>
            </w:pPr>
            <w:r>
              <w:rPr>
                <w:rFonts w:ascii="Times New Roman" w:hAnsi="Times New Roman" w:cs="Times New Roman"/>
                <w:b/>
                <w:sz w:val="20"/>
                <w:szCs w:val="20"/>
              </w:rPr>
              <w:t>a</w:t>
            </w:r>
            <w:r w:rsidRPr="00BD714E">
              <w:rPr>
                <w:rFonts w:ascii="Times New Roman" w:hAnsi="Times New Roman" w:cs="Times New Roman"/>
                <w:b/>
                <w:sz w:val="20"/>
                <w:szCs w:val="20"/>
              </w:rPr>
              <w:t>ccumulated years 1 to 20</w:t>
            </w:r>
            <w:r>
              <w:rPr>
                <w:rFonts w:ascii="Times New Roman" w:hAnsi="Times New Roman" w:cs="Times New Roman"/>
                <w:b/>
                <w:sz w:val="20"/>
                <w:szCs w:val="20"/>
              </w:rPr>
              <w:t>, discount rate 0.02</w:t>
            </w:r>
          </w:p>
        </w:tc>
      </w:tr>
      <w:tr w:rsidR="004B40A3" w:rsidRPr="004C4A77" w:rsidTr="00900B10">
        <w:tc>
          <w:tcPr>
            <w:tcW w:w="4051" w:type="dxa"/>
            <w:gridSpan w:val="2"/>
            <w:tcBorders>
              <w:top w:val="single" w:sz="18" w:space="0" w:color="7F7F7F" w:themeColor="text1" w:themeTint="80"/>
              <w:right w:val="single" w:sz="18" w:space="0" w:color="7F7F7F" w:themeColor="text1" w:themeTint="80"/>
            </w:tcBorders>
          </w:tcPr>
          <w:p w:rsidR="004B40A3" w:rsidRPr="004C4A77" w:rsidRDefault="004B40A3" w:rsidP="00900B10">
            <w:pPr>
              <w:tabs>
                <w:tab w:val="left" w:pos="146"/>
                <w:tab w:val="left" w:pos="438"/>
              </w:tabs>
              <w:spacing w:before="0"/>
              <w:rPr>
                <w:rFonts w:ascii="Times New Roman" w:hAnsi="Times New Roman" w:cs="Times New Roman"/>
                <w:b/>
                <w:sz w:val="20"/>
                <w:szCs w:val="20"/>
              </w:rPr>
            </w:pPr>
            <w:r w:rsidRPr="004C4A77">
              <w:rPr>
                <w:rFonts w:ascii="Times New Roman" w:hAnsi="Times New Roman" w:cs="Times New Roman"/>
                <w:b/>
                <w:sz w:val="20"/>
                <w:szCs w:val="20"/>
              </w:rPr>
              <w:t xml:space="preserve">1.  Value of capital taken out of use in target region </w:t>
            </w:r>
          </w:p>
        </w:tc>
        <w:tc>
          <w:tcPr>
            <w:tcW w:w="832" w:type="dxa"/>
            <w:tcBorders>
              <w:top w:val="single" w:sz="18" w:space="0" w:color="7F7F7F" w:themeColor="text1" w:themeTint="80"/>
              <w:left w:val="single" w:sz="18" w:space="0" w:color="7F7F7F" w:themeColor="text1" w:themeTint="80"/>
            </w:tcBorders>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-0.0013</w:t>
            </w:r>
          </w:p>
        </w:tc>
        <w:tc>
          <w:tcPr>
            <w:tcW w:w="1030" w:type="dxa"/>
            <w:tcBorders>
              <w:top w:val="single" w:sz="18" w:space="0" w:color="7F7F7F" w:themeColor="text1" w:themeTint="80"/>
            </w:tcBorders>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-0.0009</w:t>
            </w:r>
          </w:p>
        </w:tc>
        <w:tc>
          <w:tcPr>
            <w:tcW w:w="1041" w:type="dxa"/>
            <w:tcBorders>
              <w:top w:val="single" w:sz="18" w:space="0" w:color="7F7F7F" w:themeColor="text1" w:themeTint="80"/>
            </w:tcBorders>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-0.7828</w:t>
            </w:r>
          </w:p>
        </w:tc>
        <w:tc>
          <w:tcPr>
            <w:tcW w:w="1041" w:type="dxa"/>
            <w:tcBorders>
              <w:top w:val="single" w:sz="18" w:space="0" w:color="7F7F7F" w:themeColor="text1" w:themeTint="80"/>
              <w:right w:val="single" w:sz="18" w:space="0" w:color="7F7F7F" w:themeColor="text1" w:themeTint="80"/>
            </w:tcBorders>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-0.6304</w:t>
            </w:r>
          </w:p>
        </w:tc>
        <w:tc>
          <w:tcPr>
            <w:tcW w:w="1030" w:type="dxa"/>
            <w:tcBorders>
              <w:top w:val="single" w:sz="18" w:space="0" w:color="7F7F7F" w:themeColor="text1" w:themeTint="80"/>
              <w:left w:val="single" w:sz="18" w:space="0" w:color="7F7F7F" w:themeColor="text1" w:themeTint="80"/>
            </w:tcBorders>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43" w:type="dxa"/>
            <w:tcBorders>
              <w:top w:val="single" w:sz="18" w:space="0" w:color="7F7F7F" w:themeColor="text1" w:themeTint="80"/>
            </w:tcBorders>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43" w:type="dxa"/>
            <w:tcBorders>
              <w:top w:val="single" w:sz="18" w:space="0" w:color="7F7F7F" w:themeColor="text1" w:themeTint="80"/>
            </w:tcBorders>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-0.0145</w:t>
            </w:r>
          </w:p>
        </w:tc>
        <w:tc>
          <w:tcPr>
            <w:tcW w:w="1030" w:type="dxa"/>
            <w:tcBorders>
              <w:top w:val="single" w:sz="18" w:space="0" w:color="7F7F7F" w:themeColor="text1" w:themeTint="80"/>
            </w:tcBorders>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0.0078</w:t>
            </w:r>
          </w:p>
        </w:tc>
        <w:tc>
          <w:tcPr>
            <w:tcW w:w="980" w:type="dxa"/>
            <w:tcBorders>
              <w:top w:val="single" w:sz="18" w:space="0" w:color="7F7F7F" w:themeColor="text1" w:themeTint="80"/>
            </w:tcBorders>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-0.0076</w:t>
            </w:r>
          </w:p>
        </w:tc>
        <w:tc>
          <w:tcPr>
            <w:tcW w:w="1053" w:type="dxa"/>
            <w:tcBorders>
              <w:top w:val="single" w:sz="18" w:space="0" w:color="7F7F7F" w:themeColor="text1" w:themeTint="80"/>
            </w:tcBorders>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-0.0101</w:t>
            </w:r>
          </w:p>
        </w:tc>
      </w:tr>
      <w:tr w:rsidR="004B40A3" w:rsidRPr="004C4A77" w:rsidTr="00900B10">
        <w:tc>
          <w:tcPr>
            <w:tcW w:w="4051" w:type="dxa"/>
            <w:gridSpan w:val="2"/>
            <w:tcBorders>
              <w:right w:val="single" w:sz="18" w:space="0" w:color="7F7F7F" w:themeColor="text1" w:themeTint="80"/>
            </w:tcBorders>
          </w:tcPr>
          <w:p w:rsidR="004B40A3" w:rsidRPr="004C4A77" w:rsidRDefault="004B40A3" w:rsidP="00900B10">
            <w:pPr>
              <w:tabs>
                <w:tab w:val="left" w:pos="146"/>
                <w:tab w:val="left" w:pos="438"/>
              </w:tabs>
              <w:spacing w:before="0"/>
              <w:rPr>
                <w:rFonts w:ascii="Times New Roman" w:hAnsi="Times New Roman" w:cs="Times New Roman"/>
                <w:b/>
                <w:sz w:val="20"/>
                <w:szCs w:val="20"/>
              </w:rPr>
            </w:pPr>
            <w:r w:rsidRPr="004C4A77">
              <w:rPr>
                <w:rFonts w:ascii="Times New Roman" w:hAnsi="Times New Roman" w:cs="Times New Roman"/>
                <w:b/>
                <w:sz w:val="20"/>
                <w:szCs w:val="20"/>
              </w:rPr>
              <w:t xml:space="preserve">2.  Value of capital returned to use after 1yr in target region </w:t>
            </w:r>
          </w:p>
        </w:tc>
        <w:tc>
          <w:tcPr>
            <w:tcW w:w="832" w:type="dxa"/>
            <w:tcBorders>
              <w:left w:val="single" w:sz="18" w:space="0" w:color="7F7F7F" w:themeColor="text1" w:themeTint="80"/>
            </w:tcBorders>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30" w:type="dxa"/>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41" w:type="dxa"/>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41" w:type="dxa"/>
            <w:tcBorders>
              <w:right w:val="single" w:sz="18" w:space="0" w:color="7F7F7F" w:themeColor="text1" w:themeTint="80"/>
            </w:tcBorders>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30" w:type="dxa"/>
            <w:tcBorders>
              <w:left w:val="single" w:sz="18" w:space="0" w:color="7F7F7F" w:themeColor="text1" w:themeTint="80"/>
            </w:tcBorders>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43" w:type="dxa"/>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-0.0001</w:t>
            </w:r>
          </w:p>
        </w:tc>
        <w:tc>
          <w:tcPr>
            <w:tcW w:w="1043" w:type="dxa"/>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0.0324</w:t>
            </w:r>
          </w:p>
        </w:tc>
        <w:tc>
          <w:tcPr>
            <w:tcW w:w="1030" w:type="dxa"/>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-0.0011</w:t>
            </w:r>
          </w:p>
        </w:tc>
        <w:tc>
          <w:tcPr>
            <w:tcW w:w="980" w:type="dxa"/>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0.0073</w:t>
            </w:r>
          </w:p>
        </w:tc>
        <w:tc>
          <w:tcPr>
            <w:tcW w:w="1053" w:type="dxa"/>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0.0101</w:t>
            </w:r>
          </w:p>
        </w:tc>
      </w:tr>
      <w:tr w:rsidR="004B40A3" w:rsidRPr="004C4A77" w:rsidTr="00900B10">
        <w:tc>
          <w:tcPr>
            <w:tcW w:w="4051" w:type="dxa"/>
            <w:gridSpan w:val="2"/>
            <w:tcBorders>
              <w:right w:val="single" w:sz="18" w:space="0" w:color="7F7F7F" w:themeColor="text1" w:themeTint="80"/>
            </w:tcBorders>
          </w:tcPr>
          <w:p w:rsidR="004B40A3" w:rsidRPr="004C4A77" w:rsidRDefault="004B40A3" w:rsidP="00900B10">
            <w:pPr>
              <w:tabs>
                <w:tab w:val="left" w:pos="146"/>
                <w:tab w:val="left" w:pos="438"/>
              </w:tabs>
              <w:spacing w:before="0"/>
              <w:rPr>
                <w:rFonts w:ascii="Times New Roman" w:hAnsi="Times New Roman" w:cs="Times New Roman"/>
                <w:b/>
                <w:sz w:val="20"/>
                <w:szCs w:val="20"/>
              </w:rPr>
            </w:pPr>
            <w:r w:rsidRPr="004C4A77">
              <w:rPr>
                <w:rFonts w:ascii="Times New Roman" w:hAnsi="Times New Roman" w:cs="Times New Roman"/>
                <w:b/>
                <w:sz w:val="20"/>
                <w:szCs w:val="20"/>
              </w:rPr>
              <w:t xml:space="preserve">3.  Public expenditure in target city, </w:t>
            </w:r>
            <w:r w:rsidR="00B6529C">
              <w:rPr>
                <w:rFonts w:ascii="Times New Roman" w:hAnsi="Times New Roman" w:cs="Times New Roman"/>
                <w:b/>
                <w:sz w:val="20"/>
                <w:szCs w:val="20"/>
              </w:rPr>
              <w:t>clean-up</w:t>
            </w:r>
            <w:r w:rsidRPr="004C4A77">
              <w:rPr>
                <w:rFonts w:ascii="Times New Roman" w:hAnsi="Times New Roman" w:cs="Times New Roman"/>
                <w:b/>
                <w:sz w:val="20"/>
                <w:szCs w:val="20"/>
              </w:rPr>
              <w:t xml:space="preserve">  </w:t>
            </w:r>
          </w:p>
        </w:tc>
        <w:tc>
          <w:tcPr>
            <w:tcW w:w="832" w:type="dxa"/>
            <w:tcBorders>
              <w:left w:val="single" w:sz="18" w:space="0" w:color="7F7F7F" w:themeColor="text1" w:themeTint="80"/>
            </w:tcBorders>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0.0007</w:t>
            </w:r>
          </w:p>
        </w:tc>
        <w:tc>
          <w:tcPr>
            <w:tcW w:w="1030" w:type="dxa"/>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0.0013</w:t>
            </w:r>
          </w:p>
        </w:tc>
        <w:tc>
          <w:tcPr>
            <w:tcW w:w="1041" w:type="dxa"/>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0.0211</w:t>
            </w:r>
          </w:p>
        </w:tc>
        <w:tc>
          <w:tcPr>
            <w:tcW w:w="1041" w:type="dxa"/>
            <w:tcBorders>
              <w:right w:val="single" w:sz="18" w:space="0" w:color="7F7F7F" w:themeColor="text1" w:themeTint="80"/>
            </w:tcBorders>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0.0430</w:t>
            </w:r>
          </w:p>
        </w:tc>
        <w:tc>
          <w:tcPr>
            <w:tcW w:w="1030" w:type="dxa"/>
            <w:tcBorders>
              <w:left w:val="single" w:sz="18" w:space="0" w:color="7F7F7F" w:themeColor="text1" w:themeTint="80"/>
            </w:tcBorders>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43" w:type="dxa"/>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43" w:type="dxa"/>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-0.0009</w:t>
            </w:r>
          </w:p>
        </w:tc>
        <w:tc>
          <w:tcPr>
            <w:tcW w:w="1030" w:type="dxa"/>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-0.0003</w:t>
            </w:r>
          </w:p>
        </w:tc>
        <w:tc>
          <w:tcPr>
            <w:tcW w:w="980" w:type="dxa"/>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-0.0006</w:t>
            </w:r>
          </w:p>
        </w:tc>
        <w:tc>
          <w:tcPr>
            <w:tcW w:w="1053" w:type="dxa"/>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-0.0009</w:t>
            </w:r>
          </w:p>
        </w:tc>
      </w:tr>
      <w:tr w:rsidR="004B40A3" w:rsidRPr="004C4A77" w:rsidTr="00900B10">
        <w:tc>
          <w:tcPr>
            <w:tcW w:w="4051" w:type="dxa"/>
            <w:gridSpan w:val="2"/>
            <w:tcBorders>
              <w:right w:val="single" w:sz="18" w:space="0" w:color="7F7F7F" w:themeColor="text1" w:themeTint="80"/>
            </w:tcBorders>
          </w:tcPr>
          <w:p w:rsidR="004B40A3" w:rsidRPr="004C4A77" w:rsidRDefault="004B40A3" w:rsidP="00900B10">
            <w:pPr>
              <w:tabs>
                <w:tab w:val="left" w:pos="146"/>
                <w:tab w:val="left" w:pos="438"/>
              </w:tabs>
              <w:spacing w:before="0"/>
              <w:rPr>
                <w:rFonts w:ascii="Times New Roman" w:hAnsi="Times New Roman" w:cs="Times New Roman"/>
                <w:b/>
                <w:sz w:val="20"/>
                <w:szCs w:val="20"/>
              </w:rPr>
            </w:pPr>
            <w:r w:rsidRPr="004C4A77">
              <w:rPr>
                <w:rFonts w:ascii="Times New Roman" w:hAnsi="Times New Roman" w:cs="Times New Roman"/>
                <w:b/>
                <w:sz w:val="20"/>
                <w:szCs w:val="20"/>
              </w:rPr>
              <w:t xml:space="preserve">4.  </w:t>
            </w:r>
            <w:r w:rsidRPr="00BD714E">
              <w:rPr>
                <w:rFonts w:ascii="Times New Roman" w:hAnsi="Times New Roman" w:cs="Times New Roman"/>
                <w:b/>
                <w:sz w:val="20"/>
                <w:szCs w:val="20"/>
              </w:rPr>
              <w:t>Public health expenditures in target city</w:t>
            </w:r>
          </w:p>
        </w:tc>
        <w:tc>
          <w:tcPr>
            <w:tcW w:w="832" w:type="dxa"/>
            <w:tcBorders>
              <w:left w:val="single" w:sz="18" w:space="0" w:color="7F7F7F" w:themeColor="text1" w:themeTint="80"/>
            </w:tcBorders>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30" w:type="dxa"/>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0.0001</w:t>
            </w:r>
          </w:p>
        </w:tc>
        <w:tc>
          <w:tcPr>
            <w:tcW w:w="1041" w:type="dxa"/>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0.0023</w:t>
            </w:r>
          </w:p>
        </w:tc>
        <w:tc>
          <w:tcPr>
            <w:tcW w:w="1041" w:type="dxa"/>
            <w:tcBorders>
              <w:right w:val="single" w:sz="18" w:space="0" w:color="7F7F7F" w:themeColor="text1" w:themeTint="80"/>
            </w:tcBorders>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0.0044</w:t>
            </w:r>
          </w:p>
        </w:tc>
        <w:tc>
          <w:tcPr>
            <w:tcW w:w="1030" w:type="dxa"/>
            <w:tcBorders>
              <w:left w:val="single" w:sz="18" w:space="0" w:color="7F7F7F" w:themeColor="text1" w:themeTint="80"/>
            </w:tcBorders>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43" w:type="dxa"/>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43" w:type="dxa"/>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30" w:type="dxa"/>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980" w:type="dxa"/>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53" w:type="dxa"/>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-0.0001</w:t>
            </w:r>
          </w:p>
        </w:tc>
      </w:tr>
      <w:tr w:rsidR="004B40A3" w:rsidRPr="004C4A77" w:rsidTr="00900B10">
        <w:tc>
          <w:tcPr>
            <w:tcW w:w="4051" w:type="dxa"/>
            <w:gridSpan w:val="2"/>
            <w:tcBorders>
              <w:right w:val="single" w:sz="18" w:space="0" w:color="7F7F7F" w:themeColor="text1" w:themeTint="80"/>
            </w:tcBorders>
          </w:tcPr>
          <w:p w:rsidR="004B40A3" w:rsidRPr="004C4A77" w:rsidRDefault="004B40A3" w:rsidP="00900B10">
            <w:pPr>
              <w:tabs>
                <w:tab w:val="left" w:pos="146"/>
                <w:tab w:val="left" w:pos="438"/>
              </w:tabs>
              <w:spacing w:before="0"/>
              <w:rPr>
                <w:rFonts w:ascii="Times New Roman" w:hAnsi="Times New Roman" w:cs="Times New Roman"/>
                <w:b/>
                <w:sz w:val="20"/>
                <w:szCs w:val="20"/>
              </w:rPr>
            </w:pPr>
            <w:r w:rsidRPr="004C4A77">
              <w:rPr>
                <w:rFonts w:ascii="Times New Roman" w:hAnsi="Times New Roman" w:cs="Times New Roman"/>
                <w:b/>
                <w:sz w:val="20"/>
                <w:szCs w:val="20"/>
              </w:rPr>
              <w:t xml:space="preserve">5.  Accommodation expenses in target city </w:t>
            </w:r>
          </w:p>
        </w:tc>
        <w:tc>
          <w:tcPr>
            <w:tcW w:w="832" w:type="dxa"/>
            <w:tcBorders>
              <w:left w:val="single" w:sz="18" w:space="0" w:color="7F7F7F" w:themeColor="text1" w:themeTint="80"/>
            </w:tcBorders>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0.0001</w:t>
            </w:r>
          </w:p>
        </w:tc>
        <w:tc>
          <w:tcPr>
            <w:tcW w:w="1030" w:type="dxa"/>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0.0001</w:t>
            </w:r>
          </w:p>
        </w:tc>
        <w:tc>
          <w:tcPr>
            <w:tcW w:w="1041" w:type="dxa"/>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0.0035</w:t>
            </w:r>
          </w:p>
        </w:tc>
        <w:tc>
          <w:tcPr>
            <w:tcW w:w="1041" w:type="dxa"/>
            <w:tcBorders>
              <w:right w:val="single" w:sz="18" w:space="0" w:color="7F7F7F" w:themeColor="text1" w:themeTint="80"/>
            </w:tcBorders>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0.0053</w:t>
            </w:r>
          </w:p>
        </w:tc>
        <w:tc>
          <w:tcPr>
            <w:tcW w:w="1030" w:type="dxa"/>
            <w:tcBorders>
              <w:left w:val="single" w:sz="18" w:space="0" w:color="7F7F7F" w:themeColor="text1" w:themeTint="80"/>
            </w:tcBorders>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43" w:type="dxa"/>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43" w:type="dxa"/>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0.0003</w:t>
            </w:r>
          </w:p>
        </w:tc>
        <w:tc>
          <w:tcPr>
            <w:tcW w:w="1030" w:type="dxa"/>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0.0002</w:t>
            </w:r>
          </w:p>
        </w:tc>
        <w:tc>
          <w:tcPr>
            <w:tcW w:w="980" w:type="dxa"/>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-0.0001</w:t>
            </w:r>
          </w:p>
        </w:tc>
        <w:tc>
          <w:tcPr>
            <w:tcW w:w="1053" w:type="dxa"/>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-0.0002</w:t>
            </w:r>
          </w:p>
        </w:tc>
      </w:tr>
      <w:tr w:rsidR="004B40A3" w:rsidRPr="004C4A77" w:rsidTr="00900B10">
        <w:tc>
          <w:tcPr>
            <w:tcW w:w="4051" w:type="dxa"/>
            <w:gridSpan w:val="2"/>
            <w:tcBorders>
              <w:right w:val="single" w:sz="18" w:space="0" w:color="7F7F7F" w:themeColor="text1" w:themeTint="80"/>
            </w:tcBorders>
            <w:shd w:val="clear" w:color="auto" w:fill="auto"/>
          </w:tcPr>
          <w:p w:rsidR="004B40A3" w:rsidRPr="004C4A77" w:rsidRDefault="004B40A3" w:rsidP="00900B10">
            <w:pPr>
              <w:tabs>
                <w:tab w:val="left" w:pos="146"/>
                <w:tab w:val="left" w:pos="438"/>
              </w:tabs>
              <w:spacing w:before="0"/>
              <w:rPr>
                <w:rFonts w:ascii="Times New Roman" w:hAnsi="Times New Roman" w:cs="Times New Roman"/>
                <w:b/>
                <w:sz w:val="20"/>
                <w:szCs w:val="20"/>
              </w:rPr>
            </w:pPr>
            <w:r w:rsidRPr="004C4A77">
              <w:rPr>
                <w:rFonts w:ascii="Times New Roman" w:hAnsi="Times New Roman" w:cs="Times New Roman"/>
                <w:b/>
                <w:sz w:val="20"/>
                <w:szCs w:val="20"/>
              </w:rPr>
              <w:t xml:space="preserve">6.  Accommodation expenses outside target city </w:t>
            </w:r>
          </w:p>
        </w:tc>
        <w:tc>
          <w:tcPr>
            <w:tcW w:w="832" w:type="dxa"/>
            <w:tcBorders>
              <w:left w:val="single" w:sz="18" w:space="0" w:color="7F7F7F" w:themeColor="text1" w:themeTint="80"/>
            </w:tcBorders>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0.0085</w:t>
            </w:r>
          </w:p>
        </w:tc>
        <w:tc>
          <w:tcPr>
            <w:tcW w:w="1030"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0.0129</w:t>
            </w:r>
          </w:p>
        </w:tc>
        <w:tc>
          <w:tcPr>
            <w:tcW w:w="1041"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0.0018</w:t>
            </w:r>
          </w:p>
        </w:tc>
        <w:tc>
          <w:tcPr>
            <w:tcW w:w="1041" w:type="dxa"/>
            <w:tcBorders>
              <w:right w:val="single" w:sz="18" w:space="0" w:color="7F7F7F" w:themeColor="text1" w:themeTint="80"/>
            </w:tcBorders>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0.0041</w:t>
            </w:r>
          </w:p>
        </w:tc>
        <w:tc>
          <w:tcPr>
            <w:tcW w:w="1030" w:type="dxa"/>
            <w:tcBorders>
              <w:left w:val="single" w:sz="18" w:space="0" w:color="7F7F7F" w:themeColor="text1" w:themeTint="80"/>
            </w:tcBorders>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43"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43"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-0.0001</w:t>
            </w:r>
          </w:p>
        </w:tc>
        <w:tc>
          <w:tcPr>
            <w:tcW w:w="1030"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980"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-0.0231</w:t>
            </w:r>
          </w:p>
        </w:tc>
        <w:tc>
          <w:tcPr>
            <w:tcW w:w="1053"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-0.0324</w:t>
            </w:r>
          </w:p>
        </w:tc>
      </w:tr>
      <w:tr w:rsidR="004B40A3" w:rsidRPr="004C4A77" w:rsidTr="00900B10">
        <w:tc>
          <w:tcPr>
            <w:tcW w:w="4051" w:type="dxa"/>
            <w:gridSpan w:val="2"/>
            <w:tcBorders>
              <w:right w:val="single" w:sz="18" w:space="0" w:color="7F7F7F" w:themeColor="text1" w:themeTint="80"/>
            </w:tcBorders>
            <w:shd w:val="clear" w:color="auto" w:fill="auto"/>
          </w:tcPr>
          <w:p w:rsidR="004B40A3" w:rsidRPr="004C4A77" w:rsidRDefault="004B40A3" w:rsidP="00900B10">
            <w:pPr>
              <w:tabs>
                <w:tab w:val="left" w:pos="146"/>
                <w:tab w:val="left" w:pos="438"/>
              </w:tabs>
              <w:spacing w:before="0"/>
              <w:rPr>
                <w:rFonts w:ascii="Times New Roman" w:hAnsi="Times New Roman" w:cs="Times New Roman"/>
                <w:b/>
                <w:sz w:val="20"/>
                <w:szCs w:val="20"/>
              </w:rPr>
            </w:pPr>
            <w:r w:rsidRPr="004C4A77">
              <w:rPr>
                <w:rFonts w:ascii="Times New Roman" w:hAnsi="Times New Roman" w:cs="Times New Roman"/>
                <w:b/>
                <w:sz w:val="20"/>
                <w:szCs w:val="20"/>
              </w:rPr>
              <w:t xml:space="preserve">7.  Loss of foreign visitor expenditure in target city </w:t>
            </w:r>
          </w:p>
        </w:tc>
        <w:tc>
          <w:tcPr>
            <w:tcW w:w="832" w:type="dxa"/>
            <w:tcBorders>
              <w:left w:val="single" w:sz="18" w:space="0" w:color="7F7F7F" w:themeColor="text1" w:themeTint="80"/>
            </w:tcBorders>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-0.0002</w:t>
            </w:r>
          </w:p>
        </w:tc>
        <w:tc>
          <w:tcPr>
            <w:tcW w:w="1030"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-0.0003</w:t>
            </w:r>
          </w:p>
        </w:tc>
        <w:tc>
          <w:tcPr>
            <w:tcW w:w="1041"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-0.0089</w:t>
            </w:r>
          </w:p>
        </w:tc>
        <w:tc>
          <w:tcPr>
            <w:tcW w:w="1041" w:type="dxa"/>
            <w:tcBorders>
              <w:right w:val="single" w:sz="18" w:space="0" w:color="7F7F7F" w:themeColor="text1" w:themeTint="80"/>
            </w:tcBorders>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-0.0115</w:t>
            </w:r>
          </w:p>
        </w:tc>
        <w:tc>
          <w:tcPr>
            <w:tcW w:w="1030" w:type="dxa"/>
            <w:tcBorders>
              <w:left w:val="single" w:sz="18" w:space="0" w:color="7F7F7F" w:themeColor="text1" w:themeTint="80"/>
            </w:tcBorders>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43"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43"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-0.0002</w:t>
            </w:r>
          </w:p>
        </w:tc>
        <w:tc>
          <w:tcPr>
            <w:tcW w:w="1030"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-0.0001</w:t>
            </w:r>
          </w:p>
        </w:tc>
        <w:tc>
          <w:tcPr>
            <w:tcW w:w="980"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-0.0004</w:t>
            </w:r>
          </w:p>
        </w:tc>
        <w:tc>
          <w:tcPr>
            <w:tcW w:w="1053"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-0.0005</w:t>
            </w:r>
          </w:p>
        </w:tc>
      </w:tr>
      <w:tr w:rsidR="004B40A3" w:rsidRPr="004C4A77" w:rsidTr="00900B10">
        <w:tc>
          <w:tcPr>
            <w:tcW w:w="4051" w:type="dxa"/>
            <w:gridSpan w:val="2"/>
            <w:tcBorders>
              <w:right w:val="single" w:sz="18" w:space="0" w:color="7F7F7F" w:themeColor="text1" w:themeTint="80"/>
            </w:tcBorders>
            <w:shd w:val="clear" w:color="auto" w:fill="auto"/>
          </w:tcPr>
          <w:p w:rsidR="004B40A3" w:rsidRPr="004C4A77" w:rsidRDefault="004B40A3" w:rsidP="00900B10">
            <w:pPr>
              <w:tabs>
                <w:tab w:val="left" w:pos="146"/>
                <w:tab w:val="left" w:pos="438"/>
              </w:tabs>
              <w:spacing w:before="0"/>
              <w:rPr>
                <w:rFonts w:ascii="Times New Roman" w:hAnsi="Times New Roman" w:cs="Times New Roman"/>
                <w:b/>
                <w:sz w:val="20"/>
                <w:szCs w:val="20"/>
              </w:rPr>
            </w:pPr>
            <w:r w:rsidRPr="004C4A77">
              <w:rPr>
                <w:rFonts w:ascii="Times New Roman" w:hAnsi="Times New Roman" w:cs="Times New Roman"/>
                <w:b/>
                <w:sz w:val="20"/>
                <w:szCs w:val="20"/>
              </w:rPr>
              <w:t xml:space="preserve">8.  Loss of foreign visitor expenditure outside target city </w:t>
            </w:r>
          </w:p>
        </w:tc>
        <w:tc>
          <w:tcPr>
            <w:tcW w:w="832" w:type="dxa"/>
            <w:tcBorders>
              <w:left w:val="single" w:sz="18" w:space="0" w:color="7F7F7F" w:themeColor="text1" w:themeTint="80"/>
            </w:tcBorders>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-0.0020</w:t>
            </w:r>
          </w:p>
        </w:tc>
        <w:tc>
          <w:tcPr>
            <w:tcW w:w="1030"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-0.0029</w:t>
            </w:r>
          </w:p>
        </w:tc>
        <w:tc>
          <w:tcPr>
            <w:tcW w:w="1041"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-0.0020</w:t>
            </w:r>
          </w:p>
        </w:tc>
        <w:tc>
          <w:tcPr>
            <w:tcW w:w="1041" w:type="dxa"/>
            <w:tcBorders>
              <w:right w:val="single" w:sz="18" w:space="0" w:color="7F7F7F" w:themeColor="text1" w:themeTint="80"/>
            </w:tcBorders>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-0.0039</w:t>
            </w:r>
          </w:p>
        </w:tc>
        <w:tc>
          <w:tcPr>
            <w:tcW w:w="1030" w:type="dxa"/>
            <w:tcBorders>
              <w:left w:val="single" w:sz="18" w:space="0" w:color="7F7F7F" w:themeColor="text1" w:themeTint="80"/>
            </w:tcBorders>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43"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43"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0.0001</w:t>
            </w:r>
          </w:p>
        </w:tc>
        <w:tc>
          <w:tcPr>
            <w:tcW w:w="1030"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980"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-0.0040</w:t>
            </w:r>
          </w:p>
        </w:tc>
        <w:tc>
          <w:tcPr>
            <w:tcW w:w="1053"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-0.0045</w:t>
            </w:r>
          </w:p>
        </w:tc>
      </w:tr>
      <w:tr w:rsidR="004B40A3" w:rsidRPr="004C4A77" w:rsidTr="00900B10">
        <w:tc>
          <w:tcPr>
            <w:tcW w:w="4051" w:type="dxa"/>
            <w:gridSpan w:val="2"/>
            <w:tcBorders>
              <w:right w:val="single" w:sz="18" w:space="0" w:color="7F7F7F" w:themeColor="text1" w:themeTint="80"/>
            </w:tcBorders>
            <w:shd w:val="clear" w:color="auto" w:fill="auto"/>
          </w:tcPr>
          <w:p w:rsidR="004B40A3" w:rsidRPr="004C4A77" w:rsidRDefault="004B40A3" w:rsidP="00900B10">
            <w:pPr>
              <w:tabs>
                <w:tab w:val="left" w:pos="146"/>
                <w:tab w:val="left" w:pos="438"/>
              </w:tabs>
              <w:spacing w:before="0"/>
              <w:rPr>
                <w:rFonts w:ascii="Times New Roman" w:hAnsi="Times New Roman" w:cs="Times New Roman"/>
                <w:b/>
                <w:sz w:val="20"/>
                <w:szCs w:val="20"/>
              </w:rPr>
            </w:pPr>
            <w:r w:rsidRPr="004C4A77">
              <w:rPr>
                <w:rFonts w:ascii="Times New Roman" w:hAnsi="Times New Roman" w:cs="Times New Roman"/>
                <w:b/>
                <w:sz w:val="20"/>
                <w:szCs w:val="20"/>
              </w:rPr>
              <w:t xml:space="preserve">9.  Loss of domestic traveler expenditure in target city </w:t>
            </w:r>
          </w:p>
        </w:tc>
        <w:tc>
          <w:tcPr>
            <w:tcW w:w="832" w:type="dxa"/>
            <w:tcBorders>
              <w:left w:val="single" w:sz="18" w:space="0" w:color="7F7F7F" w:themeColor="text1" w:themeTint="80"/>
            </w:tcBorders>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30"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41"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-0.0182</w:t>
            </w:r>
          </w:p>
        </w:tc>
        <w:tc>
          <w:tcPr>
            <w:tcW w:w="1041" w:type="dxa"/>
            <w:tcBorders>
              <w:right w:val="single" w:sz="18" w:space="0" w:color="7F7F7F" w:themeColor="text1" w:themeTint="80"/>
            </w:tcBorders>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-0.0218</w:t>
            </w:r>
          </w:p>
        </w:tc>
        <w:tc>
          <w:tcPr>
            <w:tcW w:w="1030" w:type="dxa"/>
            <w:tcBorders>
              <w:left w:val="single" w:sz="18" w:space="0" w:color="7F7F7F" w:themeColor="text1" w:themeTint="80"/>
            </w:tcBorders>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43"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43"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-0.0002</w:t>
            </w:r>
          </w:p>
        </w:tc>
        <w:tc>
          <w:tcPr>
            <w:tcW w:w="1030"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980"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53"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r>
      <w:tr w:rsidR="004B40A3" w:rsidRPr="004C4A77" w:rsidTr="00900B10">
        <w:tc>
          <w:tcPr>
            <w:tcW w:w="4051" w:type="dxa"/>
            <w:gridSpan w:val="2"/>
            <w:tcBorders>
              <w:right w:val="single" w:sz="18" w:space="0" w:color="7F7F7F" w:themeColor="text1" w:themeTint="80"/>
            </w:tcBorders>
            <w:shd w:val="clear" w:color="auto" w:fill="auto"/>
          </w:tcPr>
          <w:p w:rsidR="004B40A3" w:rsidRPr="004C4A77" w:rsidRDefault="004B40A3" w:rsidP="00900B10">
            <w:pPr>
              <w:spacing w:before="0"/>
              <w:rPr>
                <w:rFonts w:ascii="Times New Roman" w:hAnsi="Times New Roman" w:cs="Times New Roman"/>
                <w:b/>
                <w:sz w:val="20"/>
                <w:szCs w:val="20"/>
              </w:rPr>
            </w:pPr>
            <w:r w:rsidRPr="004C4A77">
              <w:rPr>
                <w:rFonts w:ascii="Times New Roman" w:hAnsi="Times New Roman" w:cs="Times New Roman"/>
                <w:b/>
                <w:sz w:val="20"/>
                <w:szCs w:val="20"/>
              </w:rPr>
              <w:t xml:space="preserve">10. Loss of domestic traveler expenditure outside target city </w:t>
            </w:r>
          </w:p>
        </w:tc>
        <w:tc>
          <w:tcPr>
            <w:tcW w:w="832" w:type="dxa"/>
            <w:tcBorders>
              <w:left w:val="single" w:sz="18" w:space="0" w:color="7F7F7F" w:themeColor="text1" w:themeTint="80"/>
            </w:tcBorders>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-0.0044</w:t>
            </w:r>
          </w:p>
        </w:tc>
        <w:tc>
          <w:tcPr>
            <w:tcW w:w="1030"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-0.0064</w:t>
            </w:r>
          </w:p>
        </w:tc>
        <w:tc>
          <w:tcPr>
            <w:tcW w:w="1041"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-0.0019</w:t>
            </w:r>
          </w:p>
        </w:tc>
        <w:tc>
          <w:tcPr>
            <w:tcW w:w="1041" w:type="dxa"/>
            <w:tcBorders>
              <w:right w:val="single" w:sz="18" w:space="0" w:color="7F7F7F" w:themeColor="text1" w:themeTint="80"/>
            </w:tcBorders>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-0.0054</w:t>
            </w:r>
          </w:p>
        </w:tc>
        <w:tc>
          <w:tcPr>
            <w:tcW w:w="1030" w:type="dxa"/>
            <w:tcBorders>
              <w:left w:val="single" w:sz="18" w:space="0" w:color="7F7F7F" w:themeColor="text1" w:themeTint="80"/>
            </w:tcBorders>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0.0002</w:t>
            </w:r>
          </w:p>
        </w:tc>
        <w:tc>
          <w:tcPr>
            <w:tcW w:w="1043"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43"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0.0002</w:t>
            </w:r>
          </w:p>
        </w:tc>
        <w:tc>
          <w:tcPr>
            <w:tcW w:w="1030"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980"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-0.0125</w:t>
            </w:r>
          </w:p>
        </w:tc>
        <w:tc>
          <w:tcPr>
            <w:tcW w:w="1053"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-0.0102</w:t>
            </w:r>
          </w:p>
        </w:tc>
      </w:tr>
      <w:tr w:rsidR="004B40A3" w:rsidRPr="004C4A77" w:rsidTr="00900B10">
        <w:tc>
          <w:tcPr>
            <w:tcW w:w="4051" w:type="dxa"/>
            <w:gridSpan w:val="2"/>
            <w:tcBorders>
              <w:right w:val="single" w:sz="18" w:space="0" w:color="7F7F7F" w:themeColor="text1" w:themeTint="80"/>
            </w:tcBorders>
            <w:shd w:val="clear" w:color="auto" w:fill="auto"/>
          </w:tcPr>
          <w:p w:rsidR="004B40A3" w:rsidRPr="004C4A77" w:rsidRDefault="004B40A3" w:rsidP="00900B10">
            <w:pPr>
              <w:spacing w:before="0"/>
              <w:rPr>
                <w:rFonts w:ascii="Times New Roman" w:hAnsi="Times New Roman" w:cs="Times New Roman"/>
                <w:b/>
                <w:sz w:val="20"/>
                <w:szCs w:val="20"/>
              </w:rPr>
            </w:pPr>
            <w:r w:rsidRPr="004C4A77">
              <w:rPr>
                <w:rFonts w:ascii="Times New Roman" w:hAnsi="Times New Roman" w:cs="Times New Roman"/>
                <w:b/>
                <w:sz w:val="20"/>
                <w:szCs w:val="20"/>
              </w:rPr>
              <w:t xml:space="preserve">11. Loss of food production in target state </w:t>
            </w:r>
          </w:p>
        </w:tc>
        <w:tc>
          <w:tcPr>
            <w:tcW w:w="832" w:type="dxa"/>
            <w:tcBorders>
              <w:left w:val="single" w:sz="18" w:space="0" w:color="7F7F7F" w:themeColor="text1" w:themeTint="80"/>
            </w:tcBorders>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-0.0013</w:t>
            </w:r>
          </w:p>
        </w:tc>
        <w:tc>
          <w:tcPr>
            <w:tcW w:w="1030"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-0.0011</w:t>
            </w:r>
          </w:p>
        </w:tc>
        <w:tc>
          <w:tcPr>
            <w:tcW w:w="1041"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-0.0133</w:t>
            </w:r>
          </w:p>
        </w:tc>
        <w:tc>
          <w:tcPr>
            <w:tcW w:w="1041" w:type="dxa"/>
            <w:tcBorders>
              <w:right w:val="single" w:sz="18" w:space="0" w:color="7F7F7F" w:themeColor="text1" w:themeTint="80"/>
            </w:tcBorders>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-0.0101</w:t>
            </w:r>
          </w:p>
        </w:tc>
        <w:tc>
          <w:tcPr>
            <w:tcW w:w="1030" w:type="dxa"/>
            <w:tcBorders>
              <w:left w:val="single" w:sz="18" w:space="0" w:color="7F7F7F" w:themeColor="text1" w:themeTint="80"/>
            </w:tcBorders>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43"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43"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30"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980"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-0.0002</w:t>
            </w:r>
          </w:p>
        </w:tc>
        <w:tc>
          <w:tcPr>
            <w:tcW w:w="1053"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-0.0002</w:t>
            </w:r>
          </w:p>
        </w:tc>
      </w:tr>
      <w:tr w:rsidR="004B40A3" w:rsidRPr="004C4A77" w:rsidTr="00900B10">
        <w:tc>
          <w:tcPr>
            <w:tcW w:w="4051" w:type="dxa"/>
            <w:gridSpan w:val="2"/>
            <w:tcBorders>
              <w:right w:val="single" w:sz="18" w:space="0" w:color="7F7F7F" w:themeColor="text1" w:themeTint="80"/>
            </w:tcBorders>
            <w:shd w:val="clear" w:color="auto" w:fill="auto"/>
          </w:tcPr>
          <w:p w:rsidR="004B40A3" w:rsidRPr="004C4A77" w:rsidRDefault="004B40A3" w:rsidP="00900B10">
            <w:pPr>
              <w:spacing w:before="0"/>
              <w:rPr>
                <w:rFonts w:ascii="Times New Roman" w:hAnsi="Times New Roman" w:cs="Times New Roman"/>
                <w:b/>
                <w:sz w:val="20"/>
                <w:szCs w:val="20"/>
              </w:rPr>
            </w:pPr>
            <w:r w:rsidRPr="004C4A77">
              <w:rPr>
                <w:rFonts w:ascii="Times New Roman" w:hAnsi="Times New Roman" w:cs="Times New Roman"/>
                <w:b/>
                <w:sz w:val="20"/>
                <w:szCs w:val="20"/>
              </w:rPr>
              <w:t xml:space="preserve">12. Total loss of food production in U.S. including target state </w:t>
            </w:r>
          </w:p>
        </w:tc>
        <w:tc>
          <w:tcPr>
            <w:tcW w:w="832" w:type="dxa"/>
            <w:tcBorders>
              <w:left w:val="single" w:sz="18" w:space="0" w:color="7F7F7F" w:themeColor="text1" w:themeTint="80"/>
            </w:tcBorders>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-0.0539</w:t>
            </w:r>
          </w:p>
        </w:tc>
        <w:tc>
          <w:tcPr>
            <w:tcW w:w="1030"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-0.0373</w:t>
            </w:r>
          </w:p>
        </w:tc>
        <w:tc>
          <w:tcPr>
            <w:tcW w:w="1041"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-0.0208</w:t>
            </w:r>
          </w:p>
        </w:tc>
        <w:tc>
          <w:tcPr>
            <w:tcW w:w="1041" w:type="dxa"/>
            <w:tcBorders>
              <w:right w:val="single" w:sz="18" w:space="0" w:color="7F7F7F" w:themeColor="text1" w:themeTint="80"/>
            </w:tcBorders>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-0.0479</w:t>
            </w:r>
          </w:p>
        </w:tc>
        <w:tc>
          <w:tcPr>
            <w:tcW w:w="1030" w:type="dxa"/>
            <w:tcBorders>
              <w:left w:val="single" w:sz="18" w:space="0" w:color="7F7F7F" w:themeColor="text1" w:themeTint="80"/>
            </w:tcBorders>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0.0003</w:t>
            </w:r>
          </w:p>
        </w:tc>
        <w:tc>
          <w:tcPr>
            <w:tcW w:w="1043"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43"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0.0012</w:t>
            </w:r>
          </w:p>
        </w:tc>
        <w:tc>
          <w:tcPr>
            <w:tcW w:w="1030"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-0.0001</w:t>
            </w:r>
          </w:p>
        </w:tc>
        <w:tc>
          <w:tcPr>
            <w:tcW w:w="980"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-0.0631</w:t>
            </w:r>
          </w:p>
        </w:tc>
        <w:tc>
          <w:tcPr>
            <w:tcW w:w="1053"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-0.0655</w:t>
            </w:r>
          </w:p>
        </w:tc>
      </w:tr>
      <w:tr w:rsidR="004B40A3" w:rsidRPr="004C4A77" w:rsidTr="00900B10">
        <w:tc>
          <w:tcPr>
            <w:tcW w:w="4051" w:type="dxa"/>
            <w:gridSpan w:val="2"/>
            <w:tcBorders>
              <w:right w:val="single" w:sz="18" w:space="0" w:color="7F7F7F" w:themeColor="text1" w:themeTint="80"/>
            </w:tcBorders>
            <w:shd w:val="clear" w:color="auto" w:fill="auto"/>
          </w:tcPr>
          <w:p w:rsidR="004B40A3" w:rsidRPr="004C4A77" w:rsidRDefault="004B40A3" w:rsidP="00900B10">
            <w:pPr>
              <w:spacing w:before="0"/>
              <w:rPr>
                <w:rFonts w:ascii="Times New Roman" w:hAnsi="Times New Roman" w:cs="Times New Roman"/>
                <w:b/>
                <w:sz w:val="20"/>
                <w:szCs w:val="20"/>
              </w:rPr>
            </w:pPr>
            <w:r w:rsidRPr="004C4A77">
              <w:rPr>
                <w:rFonts w:ascii="Times New Roman" w:hAnsi="Times New Roman" w:cs="Times New Roman"/>
                <w:b/>
                <w:sz w:val="20"/>
                <w:szCs w:val="20"/>
              </w:rPr>
              <w:t>13. Deaths &amp; serious injuries, permanent removal from work (people)</w:t>
            </w:r>
          </w:p>
        </w:tc>
        <w:tc>
          <w:tcPr>
            <w:tcW w:w="832" w:type="dxa"/>
            <w:tcBorders>
              <w:left w:val="single" w:sz="18" w:space="0" w:color="7F7F7F" w:themeColor="text1" w:themeTint="80"/>
            </w:tcBorders>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-0.2086</w:t>
            </w:r>
          </w:p>
        </w:tc>
        <w:tc>
          <w:tcPr>
            <w:tcW w:w="1030"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-0.3564</w:t>
            </w:r>
          </w:p>
        </w:tc>
        <w:tc>
          <w:tcPr>
            <w:tcW w:w="1041"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-19.8407</w:t>
            </w:r>
          </w:p>
        </w:tc>
        <w:tc>
          <w:tcPr>
            <w:tcW w:w="1041" w:type="dxa"/>
            <w:tcBorders>
              <w:right w:val="single" w:sz="18" w:space="0" w:color="7F7F7F" w:themeColor="text1" w:themeTint="80"/>
            </w:tcBorders>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-33.3864</w:t>
            </w:r>
          </w:p>
        </w:tc>
        <w:tc>
          <w:tcPr>
            <w:tcW w:w="1030" w:type="dxa"/>
            <w:tcBorders>
              <w:left w:val="single" w:sz="18" w:space="0" w:color="7F7F7F" w:themeColor="text1" w:themeTint="80"/>
            </w:tcBorders>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-0.9552</w:t>
            </w:r>
          </w:p>
        </w:tc>
        <w:tc>
          <w:tcPr>
            <w:tcW w:w="1043"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-0.9910</w:t>
            </w:r>
          </w:p>
        </w:tc>
        <w:tc>
          <w:tcPr>
            <w:tcW w:w="1043"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-0.0145</w:t>
            </w:r>
          </w:p>
        </w:tc>
        <w:tc>
          <w:tcPr>
            <w:tcW w:w="1030"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-0.0099</w:t>
            </w:r>
          </w:p>
        </w:tc>
        <w:tc>
          <w:tcPr>
            <w:tcW w:w="980"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-298.6014</w:t>
            </w:r>
          </w:p>
        </w:tc>
        <w:tc>
          <w:tcPr>
            <w:tcW w:w="1053" w:type="dxa"/>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-307.2679</w:t>
            </w:r>
          </w:p>
        </w:tc>
      </w:tr>
      <w:tr w:rsidR="004B40A3" w:rsidTr="00900B10">
        <w:tc>
          <w:tcPr>
            <w:tcW w:w="4051" w:type="dxa"/>
            <w:gridSpan w:val="2"/>
            <w:tcBorders>
              <w:bottom w:val="single" w:sz="18" w:space="0" w:color="7F7F7F" w:themeColor="text1" w:themeTint="80"/>
              <w:right w:val="single" w:sz="18" w:space="0" w:color="7F7F7F" w:themeColor="text1" w:themeTint="80"/>
            </w:tcBorders>
            <w:shd w:val="clear" w:color="auto" w:fill="auto"/>
          </w:tcPr>
          <w:p w:rsidR="004B40A3" w:rsidRPr="004C4A77" w:rsidRDefault="004B40A3" w:rsidP="00900B10">
            <w:pPr>
              <w:spacing w:before="0"/>
              <w:rPr>
                <w:rFonts w:ascii="Times New Roman" w:hAnsi="Times New Roman" w:cs="Times New Roman"/>
                <w:b/>
                <w:sz w:val="20"/>
                <w:szCs w:val="20"/>
              </w:rPr>
            </w:pPr>
            <w:r w:rsidRPr="004C4A77">
              <w:rPr>
                <w:rFonts w:ascii="Times New Roman" w:hAnsi="Times New Roman" w:cs="Times New Roman"/>
                <w:b/>
                <w:sz w:val="20"/>
                <w:szCs w:val="20"/>
              </w:rPr>
              <w:t>14. Aversion, per cent reduction in labor supply to target region</w:t>
            </w:r>
          </w:p>
        </w:tc>
        <w:tc>
          <w:tcPr>
            <w:tcW w:w="832" w:type="dxa"/>
            <w:tcBorders>
              <w:left w:val="single" w:sz="18" w:space="0" w:color="7F7F7F" w:themeColor="text1" w:themeTint="80"/>
              <w:bottom w:val="single" w:sz="18" w:space="0" w:color="7F7F7F" w:themeColor="text1" w:themeTint="80"/>
            </w:tcBorders>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30" w:type="dxa"/>
            <w:tcBorders>
              <w:bottom w:val="single" w:sz="18" w:space="0" w:color="7F7F7F" w:themeColor="text1" w:themeTint="80"/>
            </w:tcBorders>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41" w:type="dxa"/>
            <w:tcBorders>
              <w:bottom w:val="single" w:sz="18" w:space="0" w:color="7F7F7F" w:themeColor="text1" w:themeTint="80"/>
            </w:tcBorders>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-0.1478</w:t>
            </w:r>
          </w:p>
        </w:tc>
        <w:tc>
          <w:tcPr>
            <w:tcW w:w="1041" w:type="dxa"/>
            <w:tcBorders>
              <w:bottom w:val="single" w:sz="18" w:space="0" w:color="7F7F7F" w:themeColor="text1" w:themeTint="80"/>
              <w:right w:val="single" w:sz="18" w:space="0" w:color="7F7F7F" w:themeColor="text1" w:themeTint="80"/>
            </w:tcBorders>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-0.2488</w:t>
            </w:r>
          </w:p>
        </w:tc>
        <w:tc>
          <w:tcPr>
            <w:tcW w:w="1030" w:type="dxa"/>
            <w:tcBorders>
              <w:left w:val="single" w:sz="18" w:space="0" w:color="7F7F7F" w:themeColor="text1" w:themeTint="80"/>
              <w:bottom w:val="single" w:sz="18" w:space="0" w:color="7F7F7F" w:themeColor="text1" w:themeTint="80"/>
            </w:tcBorders>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43" w:type="dxa"/>
            <w:tcBorders>
              <w:bottom w:val="single" w:sz="18" w:space="0" w:color="7F7F7F" w:themeColor="text1" w:themeTint="80"/>
            </w:tcBorders>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43" w:type="dxa"/>
            <w:tcBorders>
              <w:bottom w:val="single" w:sz="18" w:space="0" w:color="7F7F7F" w:themeColor="text1" w:themeTint="80"/>
            </w:tcBorders>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-0.8142</w:t>
            </w:r>
          </w:p>
        </w:tc>
        <w:tc>
          <w:tcPr>
            <w:tcW w:w="1030" w:type="dxa"/>
            <w:tcBorders>
              <w:bottom w:val="single" w:sz="18" w:space="0" w:color="7F7F7F" w:themeColor="text1" w:themeTint="80"/>
            </w:tcBorders>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-0.8930</w:t>
            </w:r>
          </w:p>
        </w:tc>
        <w:tc>
          <w:tcPr>
            <w:tcW w:w="980" w:type="dxa"/>
            <w:tcBorders>
              <w:bottom w:val="single" w:sz="18" w:space="0" w:color="7F7F7F" w:themeColor="text1" w:themeTint="80"/>
            </w:tcBorders>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c>
          <w:tcPr>
            <w:tcW w:w="1053" w:type="dxa"/>
            <w:tcBorders>
              <w:bottom w:val="single" w:sz="18" w:space="0" w:color="7F7F7F" w:themeColor="text1" w:themeTint="80"/>
            </w:tcBorders>
            <w:shd w:val="clear" w:color="auto" w:fill="auto"/>
          </w:tcPr>
          <w:p w:rsidR="004B40A3" w:rsidRPr="004C4A77" w:rsidRDefault="004B40A3" w:rsidP="00900B10">
            <w:pPr>
              <w:jc w:val="right"/>
              <w:rPr>
                <w:rFonts w:ascii="Times New Roman" w:hAnsi="Times New Roman" w:cs="Times New Roman"/>
                <w:color w:val="000000"/>
                <w:sz w:val="18"/>
                <w:szCs w:val="18"/>
              </w:rPr>
            </w:pPr>
            <w:r w:rsidRPr="004C4A77">
              <w:rPr>
                <w:rFonts w:ascii="Times New Roman" w:hAnsi="Times New Roman" w:cs="Times New Roman"/>
                <w:color w:val="000000"/>
                <w:sz w:val="18"/>
                <w:szCs w:val="18"/>
              </w:rPr>
              <w:t>0.0000</w:t>
            </w:r>
          </w:p>
        </w:tc>
      </w:tr>
    </w:tbl>
    <w:p w:rsidR="004B40A3" w:rsidRDefault="004B40A3" w:rsidP="004B40A3">
      <w:pPr>
        <w:jc w:val="center"/>
      </w:pPr>
      <w:r w:rsidRPr="00356F17">
        <w:rPr>
          <w:rFonts w:ascii="Times New Roman" w:hAnsi="Times New Roman" w:cs="Times New Roman"/>
          <w:b/>
          <w:i/>
          <w:sz w:val="24"/>
          <w:szCs w:val="24"/>
        </w:rPr>
        <w:lastRenderedPageBreak/>
        <w:t xml:space="preserve">Table 6.4.  Elasticities for incident in </w:t>
      </w:r>
      <w:r w:rsidRPr="00356F17">
        <w:rPr>
          <w:rFonts w:ascii="Times New Roman" w:hAnsi="Times New Roman" w:cs="Times New Roman"/>
          <w:b/>
          <w:i/>
          <w:color w:val="FF0000"/>
          <w:sz w:val="24"/>
          <w:szCs w:val="24"/>
        </w:rPr>
        <w:t>CA34</w:t>
      </w:r>
      <w:r w:rsidRPr="00356F17">
        <w:rPr>
          <w:rFonts w:ascii="Times New Roman" w:hAnsi="Times New Roman" w:cs="Times New Roman"/>
          <w:b/>
          <w:i/>
          <w:sz w:val="24"/>
          <w:szCs w:val="24"/>
        </w:rPr>
        <w:t xml:space="preserve"> with </w:t>
      </w:r>
      <w:r w:rsidRPr="00356F17">
        <w:rPr>
          <w:rFonts w:ascii="Times New Roman" w:hAnsi="Times New Roman" w:cs="Times New Roman"/>
          <w:b/>
          <w:i/>
          <w:color w:val="FF0000"/>
          <w:sz w:val="24"/>
          <w:szCs w:val="24"/>
        </w:rPr>
        <w:t xml:space="preserve">Keynesian </w:t>
      </w:r>
      <w:r w:rsidRPr="00356F17">
        <w:rPr>
          <w:rFonts w:ascii="Times New Roman" w:hAnsi="Times New Roman" w:cs="Times New Roman"/>
          <w:b/>
          <w:i/>
          <w:sz w:val="24"/>
          <w:szCs w:val="24"/>
        </w:rPr>
        <w:t>assumptions: % effects on implication variables of 1% shocks to driving variables</w:t>
      </w:r>
      <w:r w:rsidRPr="00BE4DCC">
        <w:rPr>
          <w:rFonts w:ascii="Times New Roman" w:hAnsi="Times New Roman" w:cs="Times New Roman"/>
          <w:b/>
          <w:color w:val="FF0000"/>
          <w:sz w:val="24"/>
          <w:szCs w:val="24"/>
        </w:rPr>
        <w:t xml:space="preserve"> </w:t>
      </w:r>
    </w:p>
    <w:tbl>
      <w:tblPr>
        <w:tblStyle w:val="TableGrid"/>
        <w:tblW w:w="141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9"/>
        <w:gridCol w:w="2042"/>
        <w:gridCol w:w="832"/>
        <w:gridCol w:w="1030"/>
        <w:gridCol w:w="1041"/>
        <w:gridCol w:w="1041"/>
        <w:gridCol w:w="1030"/>
        <w:gridCol w:w="1043"/>
        <w:gridCol w:w="1043"/>
        <w:gridCol w:w="1030"/>
        <w:gridCol w:w="980"/>
        <w:gridCol w:w="1053"/>
      </w:tblGrid>
      <w:tr w:rsidR="004B40A3" w:rsidTr="00900B10">
        <w:trPr>
          <w:trHeight w:val="2286"/>
        </w:trPr>
        <w:tc>
          <w:tcPr>
            <w:tcW w:w="2009" w:type="dxa"/>
            <w:tcBorders>
              <w:top w:val="single" w:sz="18" w:space="0" w:color="7F7F7F" w:themeColor="text1" w:themeTint="80"/>
            </w:tcBorders>
            <w:vAlign w:val="bottom"/>
          </w:tcPr>
          <w:p w:rsidR="004B40A3" w:rsidRPr="00BD714E" w:rsidRDefault="004B40A3" w:rsidP="00900B10">
            <w:pPr>
              <w:spacing w:before="0"/>
              <w:rPr>
                <w:rFonts w:ascii="Times New Roman" w:hAnsi="Times New Roman" w:cs="Times New Roman"/>
                <w:b/>
                <w:sz w:val="24"/>
                <w:szCs w:val="24"/>
              </w:rPr>
            </w:pPr>
            <w:r w:rsidRPr="00BD714E">
              <w:rPr>
                <w:rFonts w:ascii="Times New Roman" w:hAnsi="Times New Roman" w:cs="Times New Roman"/>
                <w:b/>
                <w:sz w:val="24"/>
                <w:szCs w:val="24"/>
              </w:rPr>
              <w:t>Driving variables</w:t>
            </w:r>
          </w:p>
        </w:tc>
        <w:tc>
          <w:tcPr>
            <w:tcW w:w="2042" w:type="dxa"/>
            <w:tcBorders>
              <w:top w:val="single" w:sz="18" w:space="0" w:color="7F7F7F" w:themeColor="text1" w:themeTint="80"/>
              <w:right w:val="single" w:sz="18" w:space="0" w:color="7F7F7F" w:themeColor="text1" w:themeTint="80"/>
            </w:tcBorders>
          </w:tcPr>
          <w:p w:rsidR="004B40A3" w:rsidRPr="00BD714E" w:rsidRDefault="004B40A3" w:rsidP="00900B10">
            <w:pPr>
              <w:spacing w:before="0"/>
              <w:jc w:val="right"/>
              <w:rPr>
                <w:rFonts w:ascii="Times New Roman" w:hAnsi="Times New Roman" w:cs="Times New Roman"/>
                <w:b/>
                <w:sz w:val="24"/>
                <w:szCs w:val="24"/>
              </w:rPr>
            </w:pPr>
            <w:r w:rsidRPr="00BD714E">
              <w:rPr>
                <w:rFonts w:ascii="Times New Roman" w:hAnsi="Times New Roman" w:cs="Times New Roman"/>
                <w:b/>
                <w:sz w:val="24"/>
                <w:szCs w:val="24"/>
              </w:rPr>
              <w:t>Implication variables</w:t>
            </w:r>
          </w:p>
        </w:tc>
        <w:tc>
          <w:tcPr>
            <w:tcW w:w="832" w:type="dxa"/>
            <w:tcBorders>
              <w:top w:val="single" w:sz="18" w:space="0" w:color="7F7F7F" w:themeColor="text1" w:themeTint="80"/>
              <w:left w:val="single" w:sz="18" w:space="0" w:color="7F7F7F" w:themeColor="text1" w:themeTint="80"/>
            </w:tcBorders>
            <w:textDirection w:val="tbRl"/>
            <w:vAlign w:val="center"/>
          </w:tcPr>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 xml:space="preserve">National GDP </w:t>
            </w:r>
          </w:p>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Year 1</w:t>
            </w:r>
          </w:p>
        </w:tc>
        <w:tc>
          <w:tcPr>
            <w:tcW w:w="1030" w:type="dxa"/>
            <w:tcBorders>
              <w:top w:val="single" w:sz="18" w:space="0" w:color="7F7F7F" w:themeColor="text1" w:themeTint="80"/>
            </w:tcBorders>
            <w:textDirection w:val="tbRl"/>
            <w:vAlign w:val="center"/>
          </w:tcPr>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 xml:space="preserve">National employment  </w:t>
            </w:r>
          </w:p>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Year 1</w:t>
            </w:r>
          </w:p>
        </w:tc>
        <w:tc>
          <w:tcPr>
            <w:tcW w:w="1041" w:type="dxa"/>
            <w:tcBorders>
              <w:top w:val="single" w:sz="18" w:space="0" w:color="7F7F7F" w:themeColor="text1" w:themeTint="80"/>
            </w:tcBorders>
            <w:textDirection w:val="tbRl"/>
            <w:vAlign w:val="center"/>
          </w:tcPr>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 xml:space="preserve">Target  region GRP </w:t>
            </w:r>
          </w:p>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Year 1</w:t>
            </w:r>
          </w:p>
        </w:tc>
        <w:tc>
          <w:tcPr>
            <w:tcW w:w="1041" w:type="dxa"/>
            <w:tcBorders>
              <w:top w:val="single" w:sz="18" w:space="0" w:color="7F7F7F" w:themeColor="text1" w:themeTint="80"/>
              <w:right w:val="single" w:sz="18" w:space="0" w:color="7F7F7F" w:themeColor="text1" w:themeTint="80"/>
            </w:tcBorders>
            <w:textDirection w:val="tbRl"/>
            <w:vAlign w:val="center"/>
          </w:tcPr>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Target  region employment Year 1</w:t>
            </w:r>
          </w:p>
        </w:tc>
        <w:tc>
          <w:tcPr>
            <w:tcW w:w="1030" w:type="dxa"/>
            <w:tcBorders>
              <w:top w:val="single" w:sz="18" w:space="0" w:color="7F7F7F" w:themeColor="text1" w:themeTint="80"/>
              <w:left w:val="single" w:sz="18" w:space="0" w:color="7F7F7F" w:themeColor="text1" w:themeTint="80"/>
            </w:tcBorders>
            <w:textDirection w:val="tbRl"/>
            <w:vAlign w:val="center"/>
          </w:tcPr>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 xml:space="preserve">National GDP </w:t>
            </w:r>
          </w:p>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Year 20</w:t>
            </w:r>
          </w:p>
        </w:tc>
        <w:tc>
          <w:tcPr>
            <w:tcW w:w="1043" w:type="dxa"/>
            <w:tcBorders>
              <w:top w:val="single" w:sz="18" w:space="0" w:color="7F7F7F" w:themeColor="text1" w:themeTint="80"/>
            </w:tcBorders>
            <w:textDirection w:val="tbRl"/>
            <w:vAlign w:val="center"/>
          </w:tcPr>
          <w:p w:rsidR="004B40A3" w:rsidRPr="00F66BB7" w:rsidRDefault="004B40A3" w:rsidP="00900B10">
            <w:pPr>
              <w:spacing w:before="0"/>
              <w:ind w:left="115" w:right="115"/>
              <w:rPr>
                <w:rFonts w:ascii="Times New Roman" w:hAnsi="Times New Roman" w:cs="Times New Roman"/>
                <w:b/>
                <w:sz w:val="20"/>
                <w:szCs w:val="20"/>
              </w:rPr>
            </w:pPr>
            <w:r w:rsidRPr="00F66BB7">
              <w:rPr>
                <w:rFonts w:ascii="Times New Roman" w:hAnsi="Times New Roman" w:cs="Times New Roman"/>
                <w:b/>
                <w:sz w:val="20"/>
                <w:szCs w:val="20"/>
              </w:rPr>
              <w:t xml:space="preserve">National employment  </w:t>
            </w:r>
          </w:p>
          <w:p w:rsidR="004B40A3" w:rsidRPr="00F66BB7" w:rsidRDefault="004B40A3" w:rsidP="00900B10">
            <w:pPr>
              <w:spacing w:before="0"/>
              <w:ind w:left="115" w:right="115"/>
              <w:rPr>
                <w:rFonts w:ascii="Times New Roman" w:hAnsi="Times New Roman" w:cs="Times New Roman"/>
                <w:b/>
                <w:sz w:val="20"/>
                <w:szCs w:val="20"/>
              </w:rPr>
            </w:pPr>
            <w:r w:rsidRPr="00F66BB7">
              <w:rPr>
                <w:rFonts w:ascii="Times New Roman" w:hAnsi="Times New Roman" w:cs="Times New Roman"/>
                <w:b/>
                <w:sz w:val="20"/>
                <w:szCs w:val="20"/>
              </w:rPr>
              <w:t>Year 20</w:t>
            </w:r>
          </w:p>
        </w:tc>
        <w:tc>
          <w:tcPr>
            <w:tcW w:w="1043" w:type="dxa"/>
            <w:tcBorders>
              <w:top w:val="single" w:sz="18" w:space="0" w:color="7F7F7F" w:themeColor="text1" w:themeTint="80"/>
            </w:tcBorders>
            <w:textDirection w:val="tbRl"/>
            <w:vAlign w:val="center"/>
          </w:tcPr>
          <w:p w:rsidR="004B40A3" w:rsidRPr="00F66BB7" w:rsidRDefault="004B40A3" w:rsidP="00900B10">
            <w:pPr>
              <w:spacing w:before="0"/>
              <w:ind w:left="115" w:right="115"/>
              <w:rPr>
                <w:rFonts w:ascii="Times New Roman" w:hAnsi="Times New Roman" w:cs="Times New Roman"/>
                <w:b/>
                <w:sz w:val="20"/>
                <w:szCs w:val="20"/>
              </w:rPr>
            </w:pPr>
            <w:r w:rsidRPr="00F66BB7">
              <w:rPr>
                <w:rFonts w:ascii="Times New Roman" w:hAnsi="Times New Roman" w:cs="Times New Roman"/>
                <w:b/>
                <w:sz w:val="20"/>
                <w:szCs w:val="20"/>
              </w:rPr>
              <w:t xml:space="preserve">Target  region GRP </w:t>
            </w:r>
          </w:p>
          <w:p w:rsidR="004B40A3" w:rsidRPr="00F66BB7" w:rsidRDefault="004B40A3" w:rsidP="00900B10">
            <w:pPr>
              <w:spacing w:before="0"/>
              <w:ind w:left="115" w:right="115"/>
              <w:rPr>
                <w:rFonts w:ascii="Times New Roman" w:hAnsi="Times New Roman" w:cs="Times New Roman"/>
                <w:b/>
                <w:sz w:val="20"/>
                <w:szCs w:val="20"/>
              </w:rPr>
            </w:pPr>
            <w:r w:rsidRPr="00F66BB7">
              <w:rPr>
                <w:rFonts w:ascii="Times New Roman" w:hAnsi="Times New Roman" w:cs="Times New Roman"/>
                <w:b/>
                <w:sz w:val="20"/>
                <w:szCs w:val="20"/>
              </w:rPr>
              <w:t>Year 20</w:t>
            </w:r>
          </w:p>
        </w:tc>
        <w:tc>
          <w:tcPr>
            <w:tcW w:w="1030" w:type="dxa"/>
            <w:tcBorders>
              <w:top w:val="single" w:sz="18" w:space="0" w:color="7F7F7F" w:themeColor="text1" w:themeTint="80"/>
            </w:tcBorders>
            <w:textDirection w:val="tbRl"/>
            <w:vAlign w:val="center"/>
          </w:tcPr>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 xml:space="preserve">Target  region employment  </w:t>
            </w:r>
          </w:p>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Year20</w:t>
            </w:r>
          </w:p>
        </w:tc>
        <w:tc>
          <w:tcPr>
            <w:tcW w:w="980" w:type="dxa"/>
            <w:tcBorders>
              <w:top w:val="single" w:sz="18" w:space="0" w:color="7F7F7F" w:themeColor="text1" w:themeTint="80"/>
            </w:tcBorders>
            <w:textDirection w:val="tbRl"/>
            <w:vAlign w:val="center"/>
          </w:tcPr>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 xml:space="preserve">National welfare </w:t>
            </w:r>
          </w:p>
          <w:p w:rsidR="004B40A3" w:rsidRPr="00BD714E" w:rsidRDefault="004B40A3" w:rsidP="00900B10">
            <w:pPr>
              <w:spacing w:before="0"/>
              <w:ind w:left="115" w:right="115"/>
              <w:rPr>
                <w:rFonts w:ascii="Times New Roman" w:hAnsi="Times New Roman" w:cs="Times New Roman"/>
                <w:b/>
                <w:sz w:val="20"/>
                <w:szCs w:val="20"/>
              </w:rPr>
            </w:pPr>
            <w:r>
              <w:rPr>
                <w:rFonts w:ascii="Times New Roman" w:hAnsi="Times New Roman" w:cs="Times New Roman"/>
                <w:b/>
                <w:sz w:val="20"/>
                <w:szCs w:val="20"/>
              </w:rPr>
              <w:t>a</w:t>
            </w:r>
            <w:r w:rsidRPr="00BD714E">
              <w:rPr>
                <w:rFonts w:ascii="Times New Roman" w:hAnsi="Times New Roman" w:cs="Times New Roman"/>
                <w:b/>
                <w:sz w:val="20"/>
                <w:szCs w:val="20"/>
              </w:rPr>
              <w:t>ccumulated years 1 to 20</w:t>
            </w:r>
            <w:r>
              <w:rPr>
                <w:rFonts w:ascii="Times New Roman" w:hAnsi="Times New Roman" w:cs="Times New Roman"/>
                <w:b/>
                <w:sz w:val="20"/>
                <w:szCs w:val="20"/>
              </w:rPr>
              <w:t>, discount rate 0.05</w:t>
            </w:r>
          </w:p>
        </w:tc>
        <w:tc>
          <w:tcPr>
            <w:tcW w:w="1053" w:type="dxa"/>
            <w:tcBorders>
              <w:top w:val="single" w:sz="18" w:space="0" w:color="7F7F7F" w:themeColor="text1" w:themeTint="80"/>
            </w:tcBorders>
            <w:textDirection w:val="tbRl"/>
          </w:tcPr>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 xml:space="preserve">National welfare </w:t>
            </w:r>
          </w:p>
          <w:p w:rsidR="004B40A3" w:rsidRPr="00BD714E" w:rsidRDefault="004B40A3" w:rsidP="00900B10">
            <w:pPr>
              <w:spacing w:before="0"/>
              <w:ind w:left="115" w:right="115"/>
              <w:rPr>
                <w:rFonts w:ascii="Times New Roman" w:hAnsi="Times New Roman" w:cs="Times New Roman"/>
                <w:b/>
                <w:sz w:val="20"/>
                <w:szCs w:val="20"/>
              </w:rPr>
            </w:pPr>
            <w:r>
              <w:rPr>
                <w:rFonts w:ascii="Times New Roman" w:hAnsi="Times New Roman" w:cs="Times New Roman"/>
                <w:b/>
                <w:sz w:val="20"/>
                <w:szCs w:val="20"/>
              </w:rPr>
              <w:t>a</w:t>
            </w:r>
            <w:r w:rsidRPr="00BD714E">
              <w:rPr>
                <w:rFonts w:ascii="Times New Roman" w:hAnsi="Times New Roman" w:cs="Times New Roman"/>
                <w:b/>
                <w:sz w:val="20"/>
                <w:szCs w:val="20"/>
              </w:rPr>
              <w:t>ccumulated years 1 to 20</w:t>
            </w:r>
            <w:r>
              <w:rPr>
                <w:rFonts w:ascii="Times New Roman" w:hAnsi="Times New Roman" w:cs="Times New Roman"/>
                <w:b/>
                <w:sz w:val="20"/>
                <w:szCs w:val="20"/>
              </w:rPr>
              <w:t>, discount rate 0.02</w:t>
            </w:r>
          </w:p>
        </w:tc>
      </w:tr>
      <w:tr w:rsidR="004B40A3" w:rsidTr="00900B10">
        <w:tc>
          <w:tcPr>
            <w:tcW w:w="4051" w:type="dxa"/>
            <w:gridSpan w:val="2"/>
            <w:tcBorders>
              <w:top w:val="single" w:sz="18" w:space="0" w:color="7F7F7F" w:themeColor="text1" w:themeTint="80"/>
              <w:right w:val="single" w:sz="18" w:space="0" w:color="7F7F7F" w:themeColor="text1" w:themeTint="80"/>
            </w:tcBorders>
          </w:tcPr>
          <w:p w:rsidR="004B40A3" w:rsidRPr="00BD714E" w:rsidRDefault="004B40A3" w:rsidP="00900B10">
            <w:pPr>
              <w:tabs>
                <w:tab w:val="left" w:pos="146"/>
                <w:tab w:val="left" w:pos="438"/>
              </w:tabs>
              <w:spacing w:before="0"/>
              <w:rPr>
                <w:rFonts w:ascii="Times New Roman" w:hAnsi="Times New Roman" w:cs="Times New Roman"/>
                <w:b/>
                <w:sz w:val="20"/>
                <w:szCs w:val="20"/>
              </w:rPr>
            </w:pPr>
            <w:r w:rsidRPr="00BD714E">
              <w:rPr>
                <w:rFonts w:ascii="Times New Roman" w:hAnsi="Times New Roman" w:cs="Times New Roman"/>
                <w:b/>
                <w:sz w:val="20"/>
                <w:szCs w:val="20"/>
              </w:rPr>
              <w:t xml:space="preserve">1.  Value of capital taken out of use in target region </w:t>
            </w:r>
          </w:p>
        </w:tc>
        <w:tc>
          <w:tcPr>
            <w:tcW w:w="832" w:type="dxa"/>
            <w:tcBorders>
              <w:top w:val="single" w:sz="18" w:space="0" w:color="7F7F7F" w:themeColor="text1" w:themeTint="80"/>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-0.0019</w:t>
            </w:r>
          </w:p>
        </w:tc>
        <w:tc>
          <w:tcPr>
            <w:tcW w:w="1030" w:type="dxa"/>
            <w:tcBorders>
              <w:top w:val="single" w:sz="18" w:space="0" w:color="7F7F7F" w:themeColor="text1" w:themeTint="80"/>
            </w:tcBorders>
          </w:tcPr>
          <w:p w:rsidR="004B40A3" w:rsidRDefault="004B40A3" w:rsidP="00900B10">
            <w:pPr>
              <w:jc w:val="right"/>
              <w:rPr>
                <w:color w:val="000000"/>
                <w:sz w:val="18"/>
                <w:szCs w:val="18"/>
              </w:rPr>
            </w:pPr>
            <w:r>
              <w:rPr>
                <w:color w:val="000000"/>
                <w:sz w:val="18"/>
                <w:szCs w:val="18"/>
              </w:rPr>
              <w:t>-0.0012</w:t>
            </w:r>
          </w:p>
        </w:tc>
        <w:tc>
          <w:tcPr>
            <w:tcW w:w="1041" w:type="dxa"/>
            <w:tcBorders>
              <w:top w:val="single" w:sz="18" w:space="0" w:color="7F7F7F" w:themeColor="text1" w:themeTint="80"/>
            </w:tcBorders>
          </w:tcPr>
          <w:p w:rsidR="004B40A3" w:rsidRDefault="004B40A3" w:rsidP="00900B10">
            <w:pPr>
              <w:jc w:val="right"/>
              <w:rPr>
                <w:color w:val="000000"/>
                <w:sz w:val="18"/>
                <w:szCs w:val="18"/>
              </w:rPr>
            </w:pPr>
            <w:r>
              <w:rPr>
                <w:color w:val="000000"/>
                <w:sz w:val="18"/>
                <w:szCs w:val="18"/>
              </w:rPr>
              <w:t>-0.8668</w:t>
            </w:r>
          </w:p>
        </w:tc>
        <w:tc>
          <w:tcPr>
            <w:tcW w:w="1041" w:type="dxa"/>
            <w:tcBorders>
              <w:top w:val="single" w:sz="18" w:space="0" w:color="7F7F7F" w:themeColor="text1" w:themeTint="80"/>
              <w:right w:val="single" w:sz="18" w:space="0" w:color="7F7F7F" w:themeColor="text1" w:themeTint="80"/>
            </w:tcBorders>
          </w:tcPr>
          <w:p w:rsidR="004B40A3" w:rsidRDefault="004B40A3" w:rsidP="00900B10">
            <w:pPr>
              <w:jc w:val="right"/>
              <w:rPr>
                <w:color w:val="000000"/>
                <w:sz w:val="18"/>
                <w:szCs w:val="18"/>
              </w:rPr>
            </w:pPr>
            <w:r>
              <w:rPr>
                <w:color w:val="000000"/>
                <w:sz w:val="18"/>
                <w:szCs w:val="18"/>
              </w:rPr>
              <w:t>-0.6980</w:t>
            </w:r>
          </w:p>
        </w:tc>
        <w:tc>
          <w:tcPr>
            <w:tcW w:w="1030" w:type="dxa"/>
            <w:tcBorders>
              <w:top w:val="single" w:sz="18" w:space="0" w:color="7F7F7F" w:themeColor="text1" w:themeTint="80"/>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43" w:type="dxa"/>
            <w:tcBorders>
              <w:top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43" w:type="dxa"/>
            <w:tcBorders>
              <w:top w:val="single" w:sz="18" w:space="0" w:color="7F7F7F" w:themeColor="text1" w:themeTint="80"/>
            </w:tcBorders>
          </w:tcPr>
          <w:p w:rsidR="004B40A3" w:rsidRDefault="004B40A3" w:rsidP="00900B10">
            <w:pPr>
              <w:jc w:val="right"/>
              <w:rPr>
                <w:color w:val="000000"/>
                <w:sz w:val="18"/>
                <w:szCs w:val="18"/>
              </w:rPr>
            </w:pPr>
            <w:r>
              <w:rPr>
                <w:color w:val="000000"/>
                <w:sz w:val="18"/>
                <w:szCs w:val="18"/>
              </w:rPr>
              <w:t>-0.0160</w:t>
            </w:r>
          </w:p>
        </w:tc>
        <w:tc>
          <w:tcPr>
            <w:tcW w:w="1030" w:type="dxa"/>
            <w:tcBorders>
              <w:top w:val="single" w:sz="18" w:space="0" w:color="7F7F7F" w:themeColor="text1" w:themeTint="80"/>
            </w:tcBorders>
          </w:tcPr>
          <w:p w:rsidR="004B40A3" w:rsidRDefault="004B40A3" w:rsidP="00900B10">
            <w:pPr>
              <w:jc w:val="right"/>
              <w:rPr>
                <w:color w:val="000000"/>
                <w:sz w:val="18"/>
                <w:szCs w:val="18"/>
              </w:rPr>
            </w:pPr>
            <w:r>
              <w:rPr>
                <w:color w:val="000000"/>
                <w:sz w:val="18"/>
                <w:szCs w:val="18"/>
              </w:rPr>
              <w:t>0.0087</w:t>
            </w:r>
          </w:p>
        </w:tc>
        <w:tc>
          <w:tcPr>
            <w:tcW w:w="980" w:type="dxa"/>
            <w:tcBorders>
              <w:top w:val="single" w:sz="18" w:space="0" w:color="7F7F7F" w:themeColor="text1" w:themeTint="80"/>
            </w:tcBorders>
          </w:tcPr>
          <w:p w:rsidR="004B40A3" w:rsidRDefault="004B40A3" w:rsidP="00900B10">
            <w:pPr>
              <w:jc w:val="right"/>
              <w:rPr>
                <w:color w:val="000000"/>
                <w:sz w:val="18"/>
                <w:szCs w:val="18"/>
              </w:rPr>
            </w:pPr>
            <w:r>
              <w:rPr>
                <w:color w:val="000000"/>
                <w:sz w:val="18"/>
                <w:szCs w:val="18"/>
              </w:rPr>
              <w:t>-0.0109</w:t>
            </w:r>
          </w:p>
        </w:tc>
        <w:tc>
          <w:tcPr>
            <w:tcW w:w="1053" w:type="dxa"/>
            <w:tcBorders>
              <w:top w:val="single" w:sz="18" w:space="0" w:color="7F7F7F" w:themeColor="text1" w:themeTint="80"/>
            </w:tcBorders>
          </w:tcPr>
          <w:p w:rsidR="004B40A3" w:rsidRDefault="004B40A3" w:rsidP="00900B10">
            <w:pPr>
              <w:jc w:val="right"/>
              <w:rPr>
                <w:color w:val="000000"/>
                <w:sz w:val="18"/>
                <w:szCs w:val="18"/>
              </w:rPr>
            </w:pPr>
            <w:r>
              <w:rPr>
                <w:color w:val="000000"/>
                <w:sz w:val="18"/>
                <w:szCs w:val="18"/>
              </w:rPr>
              <w:t>-0.0146</w:t>
            </w:r>
          </w:p>
        </w:tc>
      </w:tr>
      <w:tr w:rsidR="004B40A3" w:rsidTr="00900B10">
        <w:tc>
          <w:tcPr>
            <w:tcW w:w="4051" w:type="dxa"/>
            <w:gridSpan w:val="2"/>
            <w:tcBorders>
              <w:right w:val="single" w:sz="18" w:space="0" w:color="7F7F7F" w:themeColor="text1" w:themeTint="80"/>
            </w:tcBorders>
          </w:tcPr>
          <w:p w:rsidR="004B40A3" w:rsidRPr="00BD714E" w:rsidRDefault="004B40A3" w:rsidP="00900B10">
            <w:pPr>
              <w:tabs>
                <w:tab w:val="left" w:pos="146"/>
                <w:tab w:val="left" w:pos="438"/>
              </w:tabs>
              <w:spacing w:before="0"/>
              <w:rPr>
                <w:rFonts w:ascii="Times New Roman" w:hAnsi="Times New Roman" w:cs="Times New Roman"/>
                <w:b/>
                <w:sz w:val="20"/>
                <w:szCs w:val="20"/>
              </w:rPr>
            </w:pPr>
            <w:r w:rsidRPr="00BD714E">
              <w:rPr>
                <w:rFonts w:ascii="Times New Roman" w:hAnsi="Times New Roman" w:cs="Times New Roman"/>
                <w:b/>
                <w:sz w:val="20"/>
                <w:szCs w:val="20"/>
              </w:rPr>
              <w:t xml:space="preserve">2.  Value of capital returned to use after 1yr in target region </w:t>
            </w:r>
          </w:p>
        </w:tc>
        <w:tc>
          <w:tcPr>
            <w:tcW w:w="832"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30" w:type="dxa"/>
          </w:tcPr>
          <w:p w:rsidR="004B40A3" w:rsidRDefault="004B40A3" w:rsidP="00900B10">
            <w:pPr>
              <w:jc w:val="right"/>
              <w:rPr>
                <w:color w:val="000000"/>
                <w:sz w:val="18"/>
                <w:szCs w:val="18"/>
              </w:rPr>
            </w:pPr>
            <w:r>
              <w:rPr>
                <w:color w:val="000000"/>
                <w:sz w:val="18"/>
                <w:szCs w:val="18"/>
              </w:rPr>
              <w:t>0.0000</w:t>
            </w:r>
          </w:p>
        </w:tc>
        <w:tc>
          <w:tcPr>
            <w:tcW w:w="1041" w:type="dxa"/>
          </w:tcPr>
          <w:p w:rsidR="004B40A3" w:rsidRDefault="004B40A3" w:rsidP="00900B10">
            <w:pPr>
              <w:jc w:val="right"/>
              <w:rPr>
                <w:color w:val="000000"/>
                <w:sz w:val="18"/>
                <w:szCs w:val="18"/>
              </w:rPr>
            </w:pPr>
            <w:r>
              <w:rPr>
                <w:color w:val="000000"/>
                <w:sz w:val="18"/>
                <w:szCs w:val="18"/>
              </w:rPr>
              <w:t>0.0000</w:t>
            </w:r>
          </w:p>
        </w:tc>
        <w:tc>
          <w:tcPr>
            <w:tcW w:w="1041" w:type="dxa"/>
            <w:tcBorders>
              <w:right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30"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43" w:type="dxa"/>
          </w:tcPr>
          <w:p w:rsidR="004B40A3" w:rsidRDefault="004B40A3" w:rsidP="00900B10">
            <w:pPr>
              <w:jc w:val="right"/>
              <w:rPr>
                <w:color w:val="000000"/>
                <w:sz w:val="18"/>
                <w:szCs w:val="18"/>
              </w:rPr>
            </w:pPr>
            <w:r>
              <w:rPr>
                <w:color w:val="000000"/>
                <w:sz w:val="18"/>
                <w:szCs w:val="18"/>
              </w:rPr>
              <w:t>-0.0001</w:t>
            </w:r>
          </w:p>
        </w:tc>
        <w:tc>
          <w:tcPr>
            <w:tcW w:w="1043" w:type="dxa"/>
          </w:tcPr>
          <w:p w:rsidR="004B40A3" w:rsidRDefault="004B40A3" w:rsidP="00900B10">
            <w:pPr>
              <w:jc w:val="right"/>
              <w:rPr>
                <w:color w:val="000000"/>
                <w:sz w:val="18"/>
                <w:szCs w:val="18"/>
              </w:rPr>
            </w:pPr>
            <w:r>
              <w:rPr>
                <w:color w:val="000000"/>
                <w:sz w:val="18"/>
                <w:szCs w:val="18"/>
              </w:rPr>
              <w:t>0.0359</w:t>
            </w:r>
          </w:p>
        </w:tc>
        <w:tc>
          <w:tcPr>
            <w:tcW w:w="1030" w:type="dxa"/>
          </w:tcPr>
          <w:p w:rsidR="004B40A3" w:rsidRDefault="004B40A3" w:rsidP="00900B10">
            <w:pPr>
              <w:jc w:val="right"/>
              <w:rPr>
                <w:color w:val="000000"/>
                <w:sz w:val="18"/>
                <w:szCs w:val="18"/>
              </w:rPr>
            </w:pPr>
            <w:r>
              <w:rPr>
                <w:color w:val="000000"/>
                <w:sz w:val="18"/>
                <w:szCs w:val="18"/>
              </w:rPr>
              <w:t>-0.0013</w:t>
            </w:r>
          </w:p>
        </w:tc>
        <w:tc>
          <w:tcPr>
            <w:tcW w:w="980" w:type="dxa"/>
          </w:tcPr>
          <w:p w:rsidR="004B40A3" w:rsidRDefault="004B40A3" w:rsidP="00900B10">
            <w:pPr>
              <w:jc w:val="right"/>
              <w:rPr>
                <w:color w:val="000000"/>
                <w:sz w:val="18"/>
                <w:szCs w:val="18"/>
              </w:rPr>
            </w:pPr>
            <w:r>
              <w:rPr>
                <w:color w:val="000000"/>
                <w:sz w:val="18"/>
                <w:szCs w:val="18"/>
              </w:rPr>
              <w:t>0.0104</w:t>
            </w:r>
          </w:p>
        </w:tc>
        <w:tc>
          <w:tcPr>
            <w:tcW w:w="1053" w:type="dxa"/>
          </w:tcPr>
          <w:p w:rsidR="004B40A3" w:rsidRDefault="004B40A3" w:rsidP="00900B10">
            <w:pPr>
              <w:jc w:val="right"/>
              <w:rPr>
                <w:color w:val="000000"/>
                <w:sz w:val="18"/>
                <w:szCs w:val="18"/>
              </w:rPr>
            </w:pPr>
            <w:r>
              <w:rPr>
                <w:color w:val="000000"/>
                <w:sz w:val="18"/>
                <w:szCs w:val="18"/>
              </w:rPr>
              <w:t>0.0145</w:t>
            </w:r>
          </w:p>
        </w:tc>
      </w:tr>
      <w:tr w:rsidR="004B40A3" w:rsidTr="00900B10">
        <w:tc>
          <w:tcPr>
            <w:tcW w:w="4051" w:type="dxa"/>
            <w:gridSpan w:val="2"/>
            <w:tcBorders>
              <w:right w:val="single" w:sz="18" w:space="0" w:color="7F7F7F" w:themeColor="text1" w:themeTint="80"/>
            </w:tcBorders>
          </w:tcPr>
          <w:p w:rsidR="004B40A3" w:rsidRPr="00BD714E" w:rsidRDefault="004B40A3" w:rsidP="00900B10">
            <w:pPr>
              <w:tabs>
                <w:tab w:val="left" w:pos="146"/>
                <w:tab w:val="left" w:pos="438"/>
              </w:tabs>
              <w:spacing w:before="0"/>
              <w:rPr>
                <w:rFonts w:ascii="Times New Roman" w:hAnsi="Times New Roman" w:cs="Times New Roman"/>
                <w:b/>
                <w:sz w:val="20"/>
                <w:szCs w:val="20"/>
              </w:rPr>
            </w:pPr>
            <w:r w:rsidRPr="00BD714E">
              <w:rPr>
                <w:rFonts w:ascii="Times New Roman" w:hAnsi="Times New Roman" w:cs="Times New Roman"/>
                <w:b/>
                <w:sz w:val="20"/>
                <w:szCs w:val="20"/>
              </w:rPr>
              <w:t xml:space="preserve">3.  Public expenditure in target city, </w:t>
            </w:r>
            <w:r w:rsidR="00B6529C">
              <w:rPr>
                <w:rFonts w:ascii="Times New Roman" w:hAnsi="Times New Roman" w:cs="Times New Roman"/>
                <w:b/>
                <w:sz w:val="20"/>
                <w:szCs w:val="20"/>
              </w:rPr>
              <w:t>clean-up</w:t>
            </w:r>
            <w:r w:rsidRPr="00BD714E">
              <w:rPr>
                <w:rFonts w:ascii="Times New Roman" w:hAnsi="Times New Roman" w:cs="Times New Roman"/>
                <w:b/>
                <w:sz w:val="20"/>
                <w:szCs w:val="20"/>
              </w:rPr>
              <w:t xml:space="preserve">  </w:t>
            </w:r>
          </w:p>
        </w:tc>
        <w:tc>
          <w:tcPr>
            <w:tcW w:w="832"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0.0069</w:t>
            </w:r>
          </w:p>
        </w:tc>
        <w:tc>
          <w:tcPr>
            <w:tcW w:w="1030" w:type="dxa"/>
          </w:tcPr>
          <w:p w:rsidR="004B40A3" w:rsidRDefault="004B40A3" w:rsidP="00900B10">
            <w:pPr>
              <w:jc w:val="right"/>
              <w:rPr>
                <w:color w:val="000000"/>
                <w:sz w:val="18"/>
                <w:szCs w:val="18"/>
              </w:rPr>
            </w:pPr>
            <w:r>
              <w:rPr>
                <w:color w:val="000000"/>
                <w:sz w:val="18"/>
                <w:szCs w:val="18"/>
              </w:rPr>
              <w:t>0.0063</w:t>
            </w:r>
          </w:p>
        </w:tc>
        <w:tc>
          <w:tcPr>
            <w:tcW w:w="1041" w:type="dxa"/>
          </w:tcPr>
          <w:p w:rsidR="004B40A3" w:rsidRDefault="004B40A3" w:rsidP="00900B10">
            <w:pPr>
              <w:jc w:val="right"/>
              <w:rPr>
                <w:color w:val="000000"/>
                <w:sz w:val="18"/>
                <w:szCs w:val="18"/>
              </w:rPr>
            </w:pPr>
            <w:r>
              <w:rPr>
                <w:color w:val="000000"/>
                <w:sz w:val="18"/>
                <w:szCs w:val="18"/>
              </w:rPr>
              <w:t>0.0579</w:t>
            </w:r>
          </w:p>
        </w:tc>
        <w:tc>
          <w:tcPr>
            <w:tcW w:w="1041" w:type="dxa"/>
            <w:tcBorders>
              <w:right w:val="single" w:sz="18" w:space="0" w:color="7F7F7F" w:themeColor="text1" w:themeTint="80"/>
            </w:tcBorders>
          </w:tcPr>
          <w:p w:rsidR="004B40A3" w:rsidRDefault="004B40A3" w:rsidP="00900B10">
            <w:pPr>
              <w:jc w:val="right"/>
              <w:rPr>
                <w:color w:val="000000"/>
                <w:sz w:val="18"/>
                <w:szCs w:val="18"/>
              </w:rPr>
            </w:pPr>
            <w:r>
              <w:rPr>
                <w:color w:val="000000"/>
                <w:sz w:val="18"/>
                <w:szCs w:val="18"/>
              </w:rPr>
              <w:t>0.0613</w:t>
            </w:r>
          </w:p>
        </w:tc>
        <w:tc>
          <w:tcPr>
            <w:tcW w:w="1030"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43" w:type="dxa"/>
          </w:tcPr>
          <w:p w:rsidR="004B40A3" w:rsidRDefault="004B40A3" w:rsidP="00900B10">
            <w:pPr>
              <w:jc w:val="right"/>
              <w:rPr>
                <w:color w:val="000000"/>
                <w:sz w:val="18"/>
                <w:szCs w:val="18"/>
              </w:rPr>
            </w:pPr>
            <w:r>
              <w:rPr>
                <w:color w:val="000000"/>
                <w:sz w:val="18"/>
                <w:szCs w:val="18"/>
              </w:rPr>
              <w:t>0.0000</w:t>
            </w:r>
          </w:p>
        </w:tc>
        <w:tc>
          <w:tcPr>
            <w:tcW w:w="1043" w:type="dxa"/>
          </w:tcPr>
          <w:p w:rsidR="004B40A3" w:rsidRDefault="004B40A3" w:rsidP="00900B10">
            <w:pPr>
              <w:jc w:val="right"/>
              <w:rPr>
                <w:color w:val="000000"/>
                <w:sz w:val="18"/>
                <w:szCs w:val="18"/>
              </w:rPr>
            </w:pPr>
            <w:r>
              <w:rPr>
                <w:color w:val="000000"/>
                <w:sz w:val="18"/>
                <w:szCs w:val="18"/>
              </w:rPr>
              <w:t>-0.0008</w:t>
            </w:r>
          </w:p>
        </w:tc>
        <w:tc>
          <w:tcPr>
            <w:tcW w:w="1030" w:type="dxa"/>
          </w:tcPr>
          <w:p w:rsidR="004B40A3" w:rsidRDefault="004B40A3" w:rsidP="00900B10">
            <w:pPr>
              <w:jc w:val="right"/>
              <w:rPr>
                <w:color w:val="000000"/>
                <w:sz w:val="18"/>
                <w:szCs w:val="18"/>
              </w:rPr>
            </w:pPr>
            <w:r>
              <w:rPr>
                <w:color w:val="000000"/>
                <w:sz w:val="18"/>
                <w:szCs w:val="18"/>
              </w:rPr>
              <w:t>-0.0001</w:t>
            </w:r>
          </w:p>
        </w:tc>
        <w:tc>
          <w:tcPr>
            <w:tcW w:w="980" w:type="dxa"/>
          </w:tcPr>
          <w:p w:rsidR="004B40A3" w:rsidRDefault="004B40A3" w:rsidP="00900B10">
            <w:pPr>
              <w:jc w:val="right"/>
              <w:rPr>
                <w:color w:val="000000"/>
                <w:sz w:val="18"/>
                <w:szCs w:val="18"/>
              </w:rPr>
            </w:pPr>
            <w:r>
              <w:rPr>
                <w:color w:val="000000"/>
                <w:sz w:val="18"/>
                <w:szCs w:val="18"/>
              </w:rPr>
              <w:t>-0.0002</w:t>
            </w:r>
          </w:p>
        </w:tc>
        <w:tc>
          <w:tcPr>
            <w:tcW w:w="1053" w:type="dxa"/>
          </w:tcPr>
          <w:p w:rsidR="004B40A3" w:rsidRDefault="004B40A3" w:rsidP="00900B10">
            <w:pPr>
              <w:jc w:val="right"/>
              <w:rPr>
                <w:color w:val="000000"/>
                <w:sz w:val="18"/>
                <w:szCs w:val="18"/>
              </w:rPr>
            </w:pPr>
            <w:r>
              <w:rPr>
                <w:color w:val="000000"/>
                <w:sz w:val="18"/>
                <w:szCs w:val="18"/>
              </w:rPr>
              <w:t>-0.0021</w:t>
            </w:r>
          </w:p>
        </w:tc>
      </w:tr>
      <w:tr w:rsidR="004B40A3" w:rsidTr="00900B10">
        <w:tc>
          <w:tcPr>
            <w:tcW w:w="4051" w:type="dxa"/>
            <w:gridSpan w:val="2"/>
            <w:tcBorders>
              <w:right w:val="single" w:sz="18" w:space="0" w:color="7F7F7F" w:themeColor="text1" w:themeTint="80"/>
            </w:tcBorders>
          </w:tcPr>
          <w:p w:rsidR="004B40A3" w:rsidRPr="00BD714E" w:rsidRDefault="004B40A3" w:rsidP="00900B10">
            <w:pPr>
              <w:tabs>
                <w:tab w:val="left" w:pos="146"/>
                <w:tab w:val="left" w:pos="438"/>
              </w:tabs>
              <w:spacing w:before="0"/>
              <w:rPr>
                <w:rFonts w:ascii="Times New Roman" w:hAnsi="Times New Roman" w:cs="Times New Roman"/>
                <w:b/>
                <w:sz w:val="20"/>
                <w:szCs w:val="20"/>
              </w:rPr>
            </w:pPr>
            <w:r w:rsidRPr="00BD714E">
              <w:rPr>
                <w:rFonts w:ascii="Times New Roman" w:hAnsi="Times New Roman" w:cs="Times New Roman"/>
                <w:b/>
                <w:sz w:val="20"/>
                <w:szCs w:val="20"/>
              </w:rPr>
              <w:t>4.  Public health expenditures in target city</w:t>
            </w:r>
          </w:p>
        </w:tc>
        <w:tc>
          <w:tcPr>
            <w:tcW w:w="832"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0.0005</w:t>
            </w:r>
          </w:p>
        </w:tc>
        <w:tc>
          <w:tcPr>
            <w:tcW w:w="1030" w:type="dxa"/>
          </w:tcPr>
          <w:p w:rsidR="004B40A3" w:rsidRDefault="004B40A3" w:rsidP="00900B10">
            <w:pPr>
              <w:jc w:val="right"/>
              <w:rPr>
                <w:color w:val="000000"/>
                <w:sz w:val="18"/>
                <w:szCs w:val="18"/>
              </w:rPr>
            </w:pPr>
            <w:r>
              <w:rPr>
                <w:color w:val="000000"/>
                <w:sz w:val="18"/>
                <w:szCs w:val="18"/>
              </w:rPr>
              <w:t>0.0005</w:t>
            </w:r>
          </w:p>
        </w:tc>
        <w:tc>
          <w:tcPr>
            <w:tcW w:w="1041" w:type="dxa"/>
          </w:tcPr>
          <w:p w:rsidR="004B40A3" w:rsidRDefault="004B40A3" w:rsidP="00900B10">
            <w:pPr>
              <w:jc w:val="right"/>
              <w:rPr>
                <w:color w:val="000000"/>
                <w:sz w:val="18"/>
                <w:szCs w:val="18"/>
              </w:rPr>
            </w:pPr>
            <w:r>
              <w:rPr>
                <w:color w:val="000000"/>
                <w:sz w:val="18"/>
                <w:szCs w:val="18"/>
              </w:rPr>
              <w:t>0.0050</w:t>
            </w:r>
          </w:p>
        </w:tc>
        <w:tc>
          <w:tcPr>
            <w:tcW w:w="1041" w:type="dxa"/>
            <w:tcBorders>
              <w:right w:val="single" w:sz="18" w:space="0" w:color="7F7F7F" w:themeColor="text1" w:themeTint="80"/>
            </w:tcBorders>
          </w:tcPr>
          <w:p w:rsidR="004B40A3" w:rsidRDefault="004B40A3" w:rsidP="00900B10">
            <w:pPr>
              <w:jc w:val="right"/>
              <w:rPr>
                <w:color w:val="000000"/>
                <w:sz w:val="18"/>
                <w:szCs w:val="18"/>
              </w:rPr>
            </w:pPr>
            <w:r>
              <w:rPr>
                <w:color w:val="000000"/>
                <w:sz w:val="18"/>
                <w:szCs w:val="18"/>
              </w:rPr>
              <w:t>0.0061</w:t>
            </w:r>
          </w:p>
        </w:tc>
        <w:tc>
          <w:tcPr>
            <w:tcW w:w="1030"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43" w:type="dxa"/>
          </w:tcPr>
          <w:p w:rsidR="004B40A3" w:rsidRDefault="004B40A3" w:rsidP="00900B10">
            <w:pPr>
              <w:jc w:val="right"/>
              <w:rPr>
                <w:color w:val="000000"/>
                <w:sz w:val="18"/>
                <w:szCs w:val="18"/>
              </w:rPr>
            </w:pPr>
            <w:r>
              <w:rPr>
                <w:color w:val="000000"/>
                <w:sz w:val="18"/>
                <w:szCs w:val="18"/>
              </w:rPr>
              <w:t>0.0000</w:t>
            </w:r>
          </w:p>
        </w:tc>
        <w:tc>
          <w:tcPr>
            <w:tcW w:w="1043" w:type="dxa"/>
          </w:tcPr>
          <w:p w:rsidR="004B40A3" w:rsidRDefault="004B40A3" w:rsidP="00900B10">
            <w:pPr>
              <w:jc w:val="right"/>
              <w:rPr>
                <w:color w:val="000000"/>
                <w:sz w:val="18"/>
                <w:szCs w:val="18"/>
              </w:rPr>
            </w:pPr>
            <w:r>
              <w:rPr>
                <w:color w:val="000000"/>
                <w:sz w:val="18"/>
                <w:szCs w:val="18"/>
              </w:rPr>
              <w:t>0.0000</w:t>
            </w:r>
          </w:p>
        </w:tc>
        <w:tc>
          <w:tcPr>
            <w:tcW w:w="1030" w:type="dxa"/>
          </w:tcPr>
          <w:p w:rsidR="004B40A3" w:rsidRDefault="004B40A3" w:rsidP="00900B10">
            <w:pPr>
              <w:jc w:val="right"/>
              <w:rPr>
                <w:color w:val="000000"/>
                <w:sz w:val="18"/>
                <w:szCs w:val="18"/>
              </w:rPr>
            </w:pPr>
            <w:r>
              <w:rPr>
                <w:color w:val="000000"/>
                <w:sz w:val="18"/>
                <w:szCs w:val="18"/>
              </w:rPr>
              <w:t>0.0000</w:t>
            </w:r>
          </w:p>
        </w:tc>
        <w:tc>
          <w:tcPr>
            <w:tcW w:w="980" w:type="dxa"/>
          </w:tcPr>
          <w:p w:rsidR="004B40A3" w:rsidRDefault="004B40A3" w:rsidP="00900B10">
            <w:pPr>
              <w:jc w:val="right"/>
              <w:rPr>
                <w:color w:val="000000"/>
                <w:sz w:val="18"/>
                <w:szCs w:val="18"/>
              </w:rPr>
            </w:pPr>
            <w:r>
              <w:rPr>
                <w:color w:val="000000"/>
                <w:sz w:val="18"/>
                <w:szCs w:val="18"/>
              </w:rPr>
              <w:t>0.0000</w:t>
            </w:r>
          </w:p>
        </w:tc>
        <w:tc>
          <w:tcPr>
            <w:tcW w:w="1053" w:type="dxa"/>
          </w:tcPr>
          <w:p w:rsidR="004B40A3" w:rsidRDefault="004B40A3" w:rsidP="00900B10">
            <w:pPr>
              <w:jc w:val="right"/>
              <w:rPr>
                <w:color w:val="000000"/>
                <w:sz w:val="18"/>
                <w:szCs w:val="18"/>
              </w:rPr>
            </w:pPr>
            <w:r>
              <w:rPr>
                <w:color w:val="000000"/>
                <w:sz w:val="18"/>
                <w:szCs w:val="18"/>
              </w:rPr>
              <w:t>-0.0002</w:t>
            </w:r>
          </w:p>
        </w:tc>
      </w:tr>
      <w:tr w:rsidR="004B40A3" w:rsidTr="00900B10">
        <w:tc>
          <w:tcPr>
            <w:tcW w:w="4051" w:type="dxa"/>
            <w:gridSpan w:val="2"/>
            <w:tcBorders>
              <w:right w:val="single" w:sz="18" w:space="0" w:color="7F7F7F" w:themeColor="text1" w:themeTint="80"/>
            </w:tcBorders>
          </w:tcPr>
          <w:p w:rsidR="004B40A3" w:rsidRPr="00BD714E" w:rsidRDefault="004B40A3" w:rsidP="00900B10">
            <w:pPr>
              <w:tabs>
                <w:tab w:val="left" w:pos="146"/>
                <w:tab w:val="left" w:pos="438"/>
              </w:tabs>
              <w:spacing w:before="0"/>
              <w:rPr>
                <w:rFonts w:ascii="Times New Roman" w:hAnsi="Times New Roman" w:cs="Times New Roman"/>
                <w:b/>
                <w:sz w:val="20"/>
                <w:szCs w:val="20"/>
              </w:rPr>
            </w:pPr>
            <w:r w:rsidRPr="00BD714E">
              <w:rPr>
                <w:rFonts w:ascii="Times New Roman" w:hAnsi="Times New Roman" w:cs="Times New Roman"/>
                <w:b/>
                <w:sz w:val="20"/>
                <w:szCs w:val="20"/>
              </w:rPr>
              <w:t xml:space="preserve">5.  Accommodation expenses in target city </w:t>
            </w:r>
          </w:p>
        </w:tc>
        <w:tc>
          <w:tcPr>
            <w:tcW w:w="832"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0.0011</w:t>
            </w:r>
          </w:p>
        </w:tc>
        <w:tc>
          <w:tcPr>
            <w:tcW w:w="1030" w:type="dxa"/>
          </w:tcPr>
          <w:p w:rsidR="004B40A3" w:rsidRDefault="004B40A3" w:rsidP="00900B10">
            <w:pPr>
              <w:jc w:val="right"/>
              <w:rPr>
                <w:color w:val="000000"/>
                <w:sz w:val="18"/>
                <w:szCs w:val="18"/>
              </w:rPr>
            </w:pPr>
            <w:r>
              <w:rPr>
                <w:color w:val="000000"/>
                <w:sz w:val="18"/>
                <w:szCs w:val="18"/>
              </w:rPr>
              <w:t>0.0010</w:t>
            </w:r>
          </w:p>
        </w:tc>
        <w:tc>
          <w:tcPr>
            <w:tcW w:w="1041" w:type="dxa"/>
          </w:tcPr>
          <w:p w:rsidR="004B40A3" w:rsidRDefault="004B40A3" w:rsidP="00900B10">
            <w:pPr>
              <w:jc w:val="right"/>
              <w:rPr>
                <w:color w:val="000000"/>
                <w:sz w:val="18"/>
                <w:szCs w:val="18"/>
              </w:rPr>
            </w:pPr>
            <w:r>
              <w:rPr>
                <w:color w:val="000000"/>
                <w:sz w:val="18"/>
                <w:szCs w:val="18"/>
              </w:rPr>
              <w:t>0.0134</w:t>
            </w:r>
          </w:p>
        </w:tc>
        <w:tc>
          <w:tcPr>
            <w:tcW w:w="1041" w:type="dxa"/>
            <w:tcBorders>
              <w:right w:val="single" w:sz="18" w:space="0" w:color="7F7F7F" w:themeColor="text1" w:themeTint="80"/>
            </w:tcBorders>
          </w:tcPr>
          <w:p w:rsidR="004B40A3" w:rsidRDefault="004B40A3" w:rsidP="00900B10">
            <w:pPr>
              <w:jc w:val="right"/>
              <w:rPr>
                <w:color w:val="000000"/>
                <w:sz w:val="18"/>
                <w:szCs w:val="18"/>
              </w:rPr>
            </w:pPr>
            <w:r>
              <w:rPr>
                <w:color w:val="000000"/>
                <w:sz w:val="18"/>
                <w:szCs w:val="18"/>
              </w:rPr>
              <w:t>0.0147</w:t>
            </w:r>
          </w:p>
        </w:tc>
        <w:tc>
          <w:tcPr>
            <w:tcW w:w="1030"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43" w:type="dxa"/>
          </w:tcPr>
          <w:p w:rsidR="004B40A3" w:rsidRDefault="004B40A3" w:rsidP="00900B10">
            <w:pPr>
              <w:jc w:val="right"/>
              <w:rPr>
                <w:color w:val="000000"/>
                <w:sz w:val="18"/>
                <w:szCs w:val="18"/>
              </w:rPr>
            </w:pPr>
            <w:r>
              <w:rPr>
                <w:color w:val="000000"/>
                <w:sz w:val="18"/>
                <w:szCs w:val="18"/>
              </w:rPr>
              <w:t>0.0000</w:t>
            </w:r>
          </w:p>
        </w:tc>
        <w:tc>
          <w:tcPr>
            <w:tcW w:w="1043" w:type="dxa"/>
          </w:tcPr>
          <w:p w:rsidR="004B40A3" w:rsidRDefault="004B40A3" w:rsidP="00900B10">
            <w:pPr>
              <w:jc w:val="right"/>
              <w:rPr>
                <w:color w:val="000000"/>
                <w:sz w:val="18"/>
                <w:szCs w:val="18"/>
              </w:rPr>
            </w:pPr>
            <w:r>
              <w:rPr>
                <w:color w:val="000000"/>
                <w:sz w:val="18"/>
                <w:szCs w:val="18"/>
              </w:rPr>
              <w:t>0.0003</w:t>
            </w:r>
          </w:p>
        </w:tc>
        <w:tc>
          <w:tcPr>
            <w:tcW w:w="1030" w:type="dxa"/>
          </w:tcPr>
          <w:p w:rsidR="004B40A3" w:rsidRDefault="004B40A3" w:rsidP="00900B10">
            <w:pPr>
              <w:jc w:val="right"/>
              <w:rPr>
                <w:color w:val="000000"/>
                <w:sz w:val="18"/>
                <w:szCs w:val="18"/>
              </w:rPr>
            </w:pPr>
            <w:r>
              <w:rPr>
                <w:color w:val="000000"/>
                <w:sz w:val="18"/>
                <w:szCs w:val="18"/>
              </w:rPr>
              <w:t>0.0002</w:t>
            </w:r>
          </w:p>
        </w:tc>
        <w:tc>
          <w:tcPr>
            <w:tcW w:w="980" w:type="dxa"/>
          </w:tcPr>
          <w:p w:rsidR="004B40A3" w:rsidRDefault="004B40A3" w:rsidP="00900B10">
            <w:pPr>
              <w:jc w:val="right"/>
              <w:rPr>
                <w:color w:val="000000"/>
                <w:sz w:val="18"/>
                <w:szCs w:val="18"/>
              </w:rPr>
            </w:pPr>
            <w:r>
              <w:rPr>
                <w:color w:val="000000"/>
                <w:sz w:val="18"/>
                <w:szCs w:val="18"/>
              </w:rPr>
              <w:t>-0.0005</w:t>
            </w:r>
          </w:p>
        </w:tc>
        <w:tc>
          <w:tcPr>
            <w:tcW w:w="1053" w:type="dxa"/>
          </w:tcPr>
          <w:p w:rsidR="004B40A3" w:rsidRDefault="004B40A3" w:rsidP="00900B10">
            <w:pPr>
              <w:jc w:val="right"/>
              <w:rPr>
                <w:color w:val="000000"/>
                <w:sz w:val="18"/>
                <w:szCs w:val="18"/>
              </w:rPr>
            </w:pPr>
            <w:r>
              <w:rPr>
                <w:color w:val="000000"/>
                <w:sz w:val="18"/>
                <w:szCs w:val="18"/>
              </w:rPr>
              <w:t>-0.0008</w:t>
            </w:r>
          </w:p>
        </w:tc>
      </w:tr>
      <w:tr w:rsidR="004B40A3" w:rsidTr="00900B10">
        <w:tc>
          <w:tcPr>
            <w:tcW w:w="4051" w:type="dxa"/>
            <w:gridSpan w:val="2"/>
            <w:tcBorders>
              <w:right w:val="single" w:sz="18" w:space="0" w:color="7F7F7F" w:themeColor="text1" w:themeTint="80"/>
            </w:tcBorders>
          </w:tcPr>
          <w:p w:rsidR="004B40A3" w:rsidRPr="00BD714E" w:rsidRDefault="004B40A3" w:rsidP="00900B10">
            <w:pPr>
              <w:tabs>
                <w:tab w:val="left" w:pos="146"/>
                <w:tab w:val="left" w:pos="438"/>
              </w:tabs>
              <w:spacing w:before="0"/>
              <w:rPr>
                <w:rFonts w:ascii="Times New Roman" w:hAnsi="Times New Roman" w:cs="Times New Roman"/>
                <w:b/>
                <w:sz w:val="20"/>
                <w:szCs w:val="20"/>
              </w:rPr>
            </w:pPr>
            <w:r w:rsidRPr="00BD714E">
              <w:rPr>
                <w:rFonts w:ascii="Times New Roman" w:hAnsi="Times New Roman" w:cs="Times New Roman"/>
                <w:b/>
                <w:sz w:val="20"/>
                <w:szCs w:val="20"/>
              </w:rPr>
              <w:t xml:space="preserve">6.  Accommodation expenses outside target city </w:t>
            </w:r>
          </w:p>
        </w:tc>
        <w:tc>
          <w:tcPr>
            <w:tcW w:w="832"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0.0294</w:t>
            </w:r>
          </w:p>
        </w:tc>
        <w:tc>
          <w:tcPr>
            <w:tcW w:w="1030" w:type="dxa"/>
          </w:tcPr>
          <w:p w:rsidR="004B40A3" w:rsidRDefault="004B40A3" w:rsidP="00900B10">
            <w:pPr>
              <w:jc w:val="right"/>
              <w:rPr>
                <w:color w:val="000000"/>
                <w:sz w:val="18"/>
                <w:szCs w:val="18"/>
              </w:rPr>
            </w:pPr>
            <w:r>
              <w:rPr>
                <w:color w:val="000000"/>
                <w:sz w:val="18"/>
                <w:szCs w:val="18"/>
              </w:rPr>
              <w:t>0.0271</w:t>
            </w:r>
          </w:p>
        </w:tc>
        <w:tc>
          <w:tcPr>
            <w:tcW w:w="1041" w:type="dxa"/>
          </w:tcPr>
          <w:p w:rsidR="004B40A3" w:rsidRDefault="004B40A3" w:rsidP="00900B10">
            <w:pPr>
              <w:jc w:val="right"/>
              <w:rPr>
                <w:color w:val="000000"/>
                <w:sz w:val="18"/>
                <w:szCs w:val="18"/>
              </w:rPr>
            </w:pPr>
            <w:r>
              <w:rPr>
                <w:color w:val="000000"/>
                <w:sz w:val="18"/>
                <w:szCs w:val="18"/>
              </w:rPr>
              <w:t>0.0151</w:t>
            </w:r>
          </w:p>
        </w:tc>
        <w:tc>
          <w:tcPr>
            <w:tcW w:w="1041" w:type="dxa"/>
            <w:tcBorders>
              <w:right w:val="single" w:sz="18" w:space="0" w:color="7F7F7F" w:themeColor="text1" w:themeTint="80"/>
            </w:tcBorders>
          </w:tcPr>
          <w:p w:rsidR="004B40A3" w:rsidRDefault="004B40A3" w:rsidP="00900B10">
            <w:pPr>
              <w:jc w:val="right"/>
              <w:rPr>
                <w:color w:val="000000"/>
                <w:sz w:val="18"/>
                <w:szCs w:val="18"/>
              </w:rPr>
            </w:pPr>
            <w:r>
              <w:rPr>
                <w:color w:val="000000"/>
                <w:sz w:val="18"/>
                <w:szCs w:val="18"/>
              </w:rPr>
              <w:t>0.0124</w:t>
            </w:r>
          </w:p>
        </w:tc>
        <w:tc>
          <w:tcPr>
            <w:tcW w:w="1030"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0.0001</w:t>
            </w:r>
          </w:p>
        </w:tc>
        <w:tc>
          <w:tcPr>
            <w:tcW w:w="1043" w:type="dxa"/>
          </w:tcPr>
          <w:p w:rsidR="004B40A3" w:rsidRDefault="004B40A3" w:rsidP="00900B10">
            <w:pPr>
              <w:jc w:val="right"/>
              <w:rPr>
                <w:color w:val="000000"/>
                <w:sz w:val="18"/>
                <w:szCs w:val="18"/>
              </w:rPr>
            </w:pPr>
            <w:r>
              <w:rPr>
                <w:color w:val="000000"/>
                <w:sz w:val="18"/>
                <w:szCs w:val="18"/>
              </w:rPr>
              <w:t>0.0001</w:t>
            </w:r>
          </w:p>
        </w:tc>
        <w:tc>
          <w:tcPr>
            <w:tcW w:w="1043" w:type="dxa"/>
          </w:tcPr>
          <w:p w:rsidR="004B40A3" w:rsidRDefault="004B40A3" w:rsidP="00900B10">
            <w:pPr>
              <w:jc w:val="right"/>
              <w:rPr>
                <w:color w:val="000000"/>
                <w:sz w:val="18"/>
                <w:szCs w:val="18"/>
              </w:rPr>
            </w:pPr>
            <w:r>
              <w:rPr>
                <w:color w:val="000000"/>
                <w:sz w:val="18"/>
                <w:szCs w:val="18"/>
              </w:rPr>
              <w:t>0.0000</w:t>
            </w:r>
          </w:p>
        </w:tc>
        <w:tc>
          <w:tcPr>
            <w:tcW w:w="1030" w:type="dxa"/>
          </w:tcPr>
          <w:p w:rsidR="004B40A3" w:rsidRDefault="004B40A3" w:rsidP="00900B10">
            <w:pPr>
              <w:jc w:val="right"/>
              <w:rPr>
                <w:color w:val="000000"/>
                <w:sz w:val="18"/>
                <w:szCs w:val="18"/>
              </w:rPr>
            </w:pPr>
            <w:r>
              <w:rPr>
                <w:color w:val="000000"/>
                <w:sz w:val="18"/>
                <w:szCs w:val="18"/>
              </w:rPr>
              <w:t>0.0001</w:t>
            </w:r>
          </w:p>
        </w:tc>
        <w:tc>
          <w:tcPr>
            <w:tcW w:w="980" w:type="dxa"/>
          </w:tcPr>
          <w:p w:rsidR="004B40A3" w:rsidRDefault="004B40A3" w:rsidP="00900B10">
            <w:pPr>
              <w:jc w:val="right"/>
              <w:rPr>
                <w:color w:val="000000"/>
                <w:sz w:val="18"/>
                <w:szCs w:val="18"/>
              </w:rPr>
            </w:pPr>
            <w:r>
              <w:rPr>
                <w:color w:val="000000"/>
                <w:sz w:val="18"/>
                <w:szCs w:val="18"/>
              </w:rPr>
              <w:t>-0.0133</w:t>
            </w:r>
          </w:p>
        </w:tc>
        <w:tc>
          <w:tcPr>
            <w:tcW w:w="1053" w:type="dxa"/>
          </w:tcPr>
          <w:p w:rsidR="004B40A3" w:rsidRDefault="004B40A3" w:rsidP="00900B10">
            <w:pPr>
              <w:jc w:val="right"/>
              <w:rPr>
                <w:color w:val="000000"/>
                <w:sz w:val="18"/>
                <w:szCs w:val="18"/>
              </w:rPr>
            </w:pPr>
            <w:r>
              <w:rPr>
                <w:color w:val="000000"/>
                <w:sz w:val="18"/>
                <w:szCs w:val="18"/>
              </w:rPr>
              <w:t>-0.0222</w:t>
            </w:r>
          </w:p>
        </w:tc>
      </w:tr>
      <w:tr w:rsidR="004B40A3" w:rsidTr="00900B10">
        <w:tc>
          <w:tcPr>
            <w:tcW w:w="4051" w:type="dxa"/>
            <w:gridSpan w:val="2"/>
            <w:tcBorders>
              <w:right w:val="single" w:sz="18" w:space="0" w:color="7F7F7F" w:themeColor="text1" w:themeTint="80"/>
            </w:tcBorders>
          </w:tcPr>
          <w:p w:rsidR="004B40A3" w:rsidRPr="00BD714E" w:rsidRDefault="004B40A3" w:rsidP="00900B10">
            <w:pPr>
              <w:tabs>
                <w:tab w:val="left" w:pos="146"/>
                <w:tab w:val="left" w:pos="438"/>
              </w:tabs>
              <w:spacing w:before="0"/>
              <w:rPr>
                <w:rFonts w:ascii="Times New Roman" w:hAnsi="Times New Roman" w:cs="Times New Roman"/>
                <w:b/>
                <w:sz w:val="20"/>
                <w:szCs w:val="20"/>
              </w:rPr>
            </w:pPr>
            <w:r w:rsidRPr="00BD714E">
              <w:rPr>
                <w:rFonts w:ascii="Times New Roman" w:hAnsi="Times New Roman" w:cs="Times New Roman"/>
                <w:b/>
                <w:sz w:val="20"/>
                <w:szCs w:val="20"/>
              </w:rPr>
              <w:t xml:space="preserve">7.  Loss of foreign visitor expenditure in target city </w:t>
            </w:r>
          </w:p>
        </w:tc>
        <w:tc>
          <w:tcPr>
            <w:tcW w:w="832"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-0.0010</w:t>
            </w:r>
          </w:p>
        </w:tc>
        <w:tc>
          <w:tcPr>
            <w:tcW w:w="1030" w:type="dxa"/>
          </w:tcPr>
          <w:p w:rsidR="004B40A3" w:rsidRDefault="004B40A3" w:rsidP="00900B10">
            <w:pPr>
              <w:jc w:val="right"/>
              <w:rPr>
                <w:color w:val="000000"/>
                <w:sz w:val="18"/>
                <w:szCs w:val="18"/>
              </w:rPr>
            </w:pPr>
            <w:r>
              <w:rPr>
                <w:color w:val="000000"/>
                <w:sz w:val="18"/>
                <w:szCs w:val="18"/>
              </w:rPr>
              <w:t>-0.0008</w:t>
            </w:r>
          </w:p>
        </w:tc>
        <w:tc>
          <w:tcPr>
            <w:tcW w:w="1041" w:type="dxa"/>
          </w:tcPr>
          <w:p w:rsidR="004B40A3" w:rsidRDefault="004B40A3" w:rsidP="00900B10">
            <w:pPr>
              <w:jc w:val="right"/>
              <w:rPr>
                <w:color w:val="000000"/>
                <w:sz w:val="18"/>
                <w:szCs w:val="18"/>
              </w:rPr>
            </w:pPr>
            <w:r>
              <w:rPr>
                <w:color w:val="000000"/>
                <w:sz w:val="18"/>
                <w:szCs w:val="18"/>
              </w:rPr>
              <w:t>-0.0088</w:t>
            </w:r>
          </w:p>
        </w:tc>
        <w:tc>
          <w:tcPr>
            <w:tcW w:w="1041" w:type="dxa"/>
            <w:tcBorders>
              <w:right w:val="single" w:sz="18" w:space="0" w:color="7F7F7F" w:themeColor="text1" w:themeTint="80"/>
            </w:tcBorders>
          </w:tcPr>
          <w:p w:rsidR="004B40A3" w:rsidRDefault="004B40A3" w:rsidP="00900B10">
            <w:pPr>
              <w:jc w:val="right"/>
              <w:rPr>
                <w:color w:val="000000"/>
                <w:sz w:val="18"/>
                <w:szCs w:val="18"/>
              </w:rPr>
            </w:pPr>
            <w:r>
              <w:rPr>
                <w:color w:val="000000"/>
                <w:sz w:val="18"/>
                <w:szCs w:val="18"/>
              </w:rPr>
              <w:t>-0.0079</w:t>
            </w:r>
          </w:p>
        </w:tc>
        <w:tc>
          <w:tcPr>
            <w:tcW w:w="1030"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43" w:type="dxa"/>
          </w:tcPr>
          <w:p w:rsidR="004B40A3" w:rsidRDefault="004B40A3" w:rsidP="00900B10">
            <w:pPr>
              <w:jc w:val="right"/>
              <w:rPr>
                <w:color w:val="000000"/>
                <w:sz w:val="18"/>
                <w:szCs w:val="18"/>
              </w:rPr>
            </w:pPr>
            <w:r>
              <w:rPr>
                <w:color w:val="000000"/>
                <w:sz w:val="18"/>
                <w:szCs w:val="18"/>
              </w:rPr>
              <w:t>0.0000</w:t>
            </w:r>
          </w:p>
        </w:tc>
        <w:tc>
          <w:tcPr>
            <w:tcW w:w="1043" w:type="dxa"/>
          </w:tcPr>
          <w:p w:rsidR="004B40A3" w:rsidRDefault="004B40A3" w:rsidP="00900B10">
            <w:pPr>
              <w:jc w:val="right"/>
              <w:rPr>
                <w:color w:val="000000"/>
                <w:sz w:val="18"/>
                <w:szCs w:val="18"/>
              </w:rPr>
            </w:pPr>
            <w:r>
              <w:rPr>
                <w:color w:val="000000"/>
                <w:sz w:val="18"/>
                <w:szCs w:val="18"/>
              </w:rPr>
              <w:t>0.0000</w:t>
            </w:r>
          </w:p>
        </w:tc>
        <w:tc>
          <w:tcPr>
            <w:tcW w:w="1030" w:type="dxa"/>
          </w:tcPr>
          <w:p w:rsidR="004B40A3" w:rsidRDefault="004B40A3" w:rsidP="00900B10">
            <w:pPr>
              <w:jc w:val="right"/>
              <w:rPr>
                <w:color w:val="000000"/>
                <w:sz w:val="18"/>
                <w:szCs w:val="18"/>
              </w:rPr>
            </w:pPr>
            <w:r>
              <w:rPr>
                <w:color w:val="000000"/>
                <w:sz w:val="18"/>
                <w:szCs w:val="18"/>
              </w:rPr>
              <w:t>0.0000</w:t>
            </w:r>
          </w:p>
        </w:tc>
        <w:tc>
          <w:tcPr>
            <w:tcW w:w="980" w:type="dxa"/>
          </w:tcPr>
          <w:p w:rsidR="004B40A3" w:rsidRDefault="004B40A3" w:rsidP="00900B10">
            <w:pPr>
              <w:jc w:val="right"/>
              <w:rPr>
                <w:color w:val="000000"/>
                <w:sz w:val="18"/>
                <w:szCs w:val="18"/>
              </w:rPr>
            </w:pPr>
            <w:r>
              <w:rPr>
                <w:color w:val="000000"/>
                <w:sz w:val="18"/>
                <w:szCs w:val="18"/>
              </w:rPr>
              <w:t>-0.0007</w:t>
            </w:r>
          </w:p>
        </w:tc>
        <w:tc>
          <w:tcPr>
            <w:tcW w:w="1053" w:type="dxa"/>
          </w:tcPr>
          <w:p w:rsidR="004B40A3" w:rsidRDefault="004B40A3" w:rsidP="00900B10">
            <w:pPr>
              <w:jc w:val="right"/>
              <w:rPr>
                <w:color w:val="000000"/>
                <w:sz w:val="18"/>
                <w:szCs w:val="18"/>
              </w:rPr>
            </w:pPr>
            <w:r>
              <w:rPr>
                <w:color w:val="000000"/>
                <w:sz w:val="18"/>
                <w:szCs w:val="18"/>
              </w:rPr>
              <w:t>-0.0007</w:t>
            </w:r>
          </w:p>
        </w:tc>
      </w:tr>
      <w:tr w:rsidR="004B40A3" w:rsidTr="00900B10">
        <w:tc>
          <w:tcPr>
            <w:tcW w:w="4051" w:type="dxa"/>
            <w:gridSpan w:val="2"/>
            <w:tcBorders>
              <w:right w:val="single" w:sz="18" w:space="0" w:color="7F7F7F" w:themeColor="text1" w:themeTint="80"/>
            </w:tcBorders>
          </w:tcPr>
          <w:p w:rsidR="004B40A3" w:rsidRPr="00BD714E" w:rsidRDefault="004B40A3" w:rsidP="00900B10">
            <w:pPr>
              <w:tabs>
                <w:tab w:val="left" w:pos="146"/>
                <w:tab w:val="left" w:pos="438"/>
              </w:tabs>
              <w:spacing w:before="0"/>
              <w:rPr>
                <w:rFonts w:ascii="Times New Roman" w:hAnsi="Times New Roman" w:cs="Times New Roman"/>
                <w:b/>
                <w:sz w:val="20"/>
                <w:szCs w:val="20"/>
              </w:rPr>
            </w:pPr>
            <w:r w:rsidRPr="00BD714E">
              <w:rPr>
                <w:rFonts w:ascii="Times New Roman" w:hAnsi="Times New Roman" w:cs="Times New Roman"/>
                <w:b/>
                <w:sz w:val="20"/>
                <w:szCs w:val="20"/>
              </w:rPr>
              <w:t xml:space="preserve">8.  Loss of foreign visitor expenditure outside target city </w:t>
            </w:r>
          </w:p>
        </w:tc>
        <w:tc>
          <w:tcPr>
            <w:tcW w:w="832"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-0.0129</w:t>
            </w:r>
          </w:p>
        </w:tc>
        <w:tc>
          <w:tcPr>
            <w:tcW w:w="1030" w:type="dxa"/>
          </w:tcPr>
          <w:p w:rsidR="004B40A3" w:rsidRDefault="004B40A3" w:rsidP="00900B10">
            <w:pPr>
              <w:jc w:val="right"/>
              <w:rPr>
                <w:color w:val="000000"/>
                <w:sz w:val="18"/>
                <w:szCs w:val="18"/>
              </w:rPr>
            </w:pPr>
            <w:r>
              <w:rPr>
                <w:color w:val="000000"/>
                <w:sz w:val="18"/>
                <w:szCs w:val="18"/>
              </w:rPr>
              <w:t>-0.0106</w:t>
            </w:r>
          </w:p>
        </w:tc>
        <w:tc>
          <w:tcPr>
            <w:tcW w:w="1041" w:type="dxa"/>
          </w:tcPr>
          <w:p w:rsidR="004B40A3" w:rsidRDefault="004B40A3" w:rsidP="00900B10">
            <w:pPr>
              <w:jc w:val="right"/>
              <w:rPr>
                <w:color w:val="000000"/>
                <w:sz w:val="18"/>
                <w:szCs w:val="18"/>
              </w:rPr>
            </w:pPr>
            <w:r>
              <w:rPr>
                <w:color w:val="000000"/>
                <w:sz w:val="18"/>
                <w:szCs w:val="18"/>
              </w:rPr>
              <w:t>-0.0116</w:t>
            </w:r>
          </w:p>
        </w:tc>
        <w:tc>
          <w:tcPr>
            <w:tcW w:w="1041" w:type="dxa"/>
            <w:tcBorders>
              <w:right w:val="single" w:sz="18" w:space="0" w:color="7F7F7F" w:themeColor="text1" w:themeTint="80"/>
            </w:tcBorders>
          </w:tcPr>
          <w:p w:rsidR="004B40A3" w:rsidRDefault="004B40A3" w:rsidP="00900B10">
            <w:pPr>
              <w:jc w:val="right"/>
              <w:rPr>
                <w:color w:val="000000"/>
                <w:sz w:val="18"/>
                <w:szCs w:val="18"/>
              </w:rPr>
            </w:pPr>
            <w:r>
              <w:rPr>
                <w:color w:val="000000"/>
                <w:sz w:val="18"/>
                <w:szCs w:val="18"/>
              </w:rPr>
              <w:t>-0.0098</w:t>
            </w:r>
          </w:p>
        </w:tc>
        <w:tc>
          <w:tcPr>
            <w:tcW w:w="1030"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43" w:type="dxa"/>
          </w:tcPr>
          <w:p w:rsidR="004B40A3" w:rsidRDefault="004B40A3" w:rsidP="00900B10">
            <w:pPr>
              <w:jc w:val="right"/>
              <w:rPr>
                <w:color w:val="000000"/>
                <w:sz w:val="18"/>
                <w:szCs w:val="18"/>
              </w:rPr>
            </w:pPr>
            <w:r>
              <w:rPr>
                <w:color w:val="000000"/>
                <w:sz w:val="18"/>
                <w:szCs w:val="18"/>
              </w:rPr>
              <w:t>0.0000</w:t>
            </w:r>
          </w:p>
        </w:tc>
        <w:tc>
          <w:tcPr>
            <w:tcW w:w="1043" w:type="dxa"/>
          </w:tcPr>
          <w:p w:rsidR="004B40A3" w:rsidRDefault="004B40A3" w:rsidP="00900B10">
            <w:pPr>
              <w:jc w:val="right"/>
              <w:rPr>
                <w:color w:val="000000"/>
                <w:sz w:val="18"/>
                <w:szCs w:val="18"/>
              </w:rPr>
            </w:pPr>
            <w:r>
              <w:rPr>
                <w:color w:val="000000"/>
                <w:sz w:val="18"/>
                <w:szCs w:val="18"/>
              </w:rPr>
              <w:t>0.0000</w:t>
            </w:r>
          </w:p>
        </w:tc>
        <w:tc>
          <w:tcPr>
            <w:tcW w:w="1030" w:type="dxa"/>
          </w:tcPr>
          <w:p w:rsidR="004B40A3" w:rsidRDefault="004B40A3" w:rsidP="00900B10">
            <w:pPr>
              <w:jc w:val="right"/>
              <w:rPr>
                <w:color w:val="000000"/>
                <w:sz w:val="18"/>
                <w:szCs w:val="18"/>
              </w:rPr>
            </w:pPr>
            <w:r>
              <w:rPr>
                <w:color w:val="000000"/>
                <w:sz w:val="18"/>
                <w:szCs w:val="18"/>
              </w:rPr>
              <w:t>0.0000</w:t>
            </w:r>
          </w:p>
        </w:tc>
        <w:tc>
          <w:tcPr>
            <w:tcW w:w="980" w:type="dxa"/>
          </w:tcPr>
          <w:p w:rsidR="004B40A3" w:rsidRDefault="004B40A3" w:rsidP="00900B10">
            <w:pPr>
              <w:jc w:val="right"/>
              <w:rPr>
                <w:color w:val="000000"/>
                <w:sz w:val="18"/>
                <w:szCs w:val="18"/>
              </w:rPr>
            </w:pPr>
            <w:r>
              <w:rPr>
                <w:color w:val="000000"/>
                <w:sz w:val="18"/>
                <w:szCs w:val="18"/>
              </w:rPr>
              <w:t>-0.0088</w:t>
            </w:r>
          </w:p>
        </w:tc>
        <w:tc>
          <w:tcPr>
            <w:tcW w:w="1053" w:type="dxa"/>
          </w:tcPr>
          <w:p w:rsidR="004B40A3" w:rsidRDefault="004B40A3" w:rsidP="00900B10">
            <w:pPr>
              <w:jc w:val="right"/>
              <w:rPr>
                <w:color w:val="000000"/>
                <w:sz w:val="18"/>
                <w:szCs w:val="18"/>
              </w:rPr>
            </w:pPr>
            <w:r>
              <w:rPr>
                <w:color w:val="000000"/>
                <w:sz w:val="18"/>
                <w:szCs w:val="18"/>
              </w:rPr>
              <w:t>-0.0092</w:t>
            </w:r>
          </w:p>
        </w:tc>
      </w:tr>
      <w:tr w:rsidR="004B40A3" w:rsidTr="00900B10">
        <w:tc>
          <w:tcPr>
            <w:tcW w:w="4051" w:type="dxa"/>
            <w:gridSpan w:val="2"/>
            <w:tcBorders>
              <w:right w:val="single" w:sz="18" w:space="0" w:color="7F7F7F" w:themeColor="text1" w:themeTint="80"/>
            </w:tcBorders>
          </w:tcPr>
          <w:p w:rsidR="004B40A3" w:rsidRPr="00BD714E" w:rsidRDefault="004B40A3" w:rsidP="00900B10">
            <w:pPr>
              <w:tabs>
                <w:tab w:val="left" w:pos="146"/>
                <w:tab w:val="left" w:pos="438"/>
              </w:tabs>
              <w:spacing w:before="0"/>
              <w:rPr>
                <w:rFonts w:ascii="Times New Roman" w:hAnsi="Times New Roman" w:cs="Times New Roman"/>
                <w:b/>
                <w:sz w:val="20"/>
                <w:szCs w:val="20"/>
              </w:rPr>
            </w:pPr>
            <w:r w:rsidRPr="00BD714E">
              <w:rPr>
                <w:rFonts w:ascii="Times New Roman" w:hAnsi="Times New Roman" w:cs="Times New Roman"/>
                <w:b/>
                <w:sz w:val="20"/>
                <w:szCs w:val="20"/>
              </w:rPr>
              <w:t xml:space="preserve">9.  Loss of domestic traveler expenditure in target city </w:t>
            </w:r>
          </w:p>
        </w:tc>
        <w:tc>
          <w:tcPr>
            <w:tcW w:w="832"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30" w:type="dxa"/>
          </w:tcPr>
          <w:p w:rsidR="004B40A3" w:rsidRDefault="004B40A3" w:rsidP="00900B10">
            <w:pPr>
              <w:jc w:val="right"/>
              <w:rPr>
                <w:color w:val="000000"/>
                <w:sz w:val="18"/>
                <w:szCs w:val="18"/>
              </w:rPr>
            </w:pPr>
            <w:r>
              <w:rPr>
                <w:color w:val="000000"/>
                <w:sz w:val="18"/>
                <w:szCs w:val="18"/>
              </w:rPr>
              <w:t>0.0000</w:t>
            </w:r>
          </w:p>
        </w:tc>
        <w:tc>
          <w:tcPr>
            <w:tcW w:w="1041" w:type="dxa"/>
          </w:tcPr>
          <w:p w:rsidR="004B40A3" w:rsidRDefault="004B40A3" w:rsidP="00900B10">
            <w:pPr>
              <w:jc w:val="right"/>
              <w:rPr>
                <w:color w:val="000000"/>
                <w:sz w:val="18"/>
                <w:szCs w:val="18"/>
              </w:rPr>
            </w:pPr>
            <w:r>
              <w:rPr>
                <w:color w:val="000000"/>
                <w:sz w:val="18"/>
                <w:szCs w:val="18"/>
              </w:rPr>
              <w:t>-0.0172</w:t>
            </w:r>
          </w:p>
        </w:tc>
        <w:tc>
          <w:tcPr>
            <w:tcW w:w="1041" w:type="dxa"/>
            <w:tcBorders>
              <w:right w:val="single" w:sz="18" w:space="0" w:color="7F7F7F" w:themeColor="text1" w:themeTint="80"/>
            </w:tcBorders>
          </w:tcPr>
          <w:p w:rsidR="004B40A3" w:rsidRDefault="004B40A3" w:rsidP="00900B10">
            <w:pPr>
              <w:jc w:val="right"/>
              <w:rPr>
                <w:color w:val="000000"/>
                <w:sz w:val="18"/>
                <w:szCs w:val="18"/>
              </w:rPr>
            </w:pPr>
            <w:r>
              <w:rPr>
                <w:color w:val="000000"/>
                <w:sz w:val="18"/>
                <w:szCs w:val="18"/>
              </w:rPr>
              <w:t>-0.0151</w:t>
            </w:r>
          </w:p>
        </w:tc>
        <w:tc>
          <w:tcPr>
            <w:tcW w:w="1030"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43" w:type="dxa"/>
          </w:tcPr>
          <w:p w:rsidR="004B40A3" w:rsidRDefault="004B40A3" w:rsidP="00900B10">
            <w:pPr>
              <w:jc w:val="right"/>
              <w:rPr>
                <w:color w:val="000000"/>
                <w:sz w:val="18"/>
                <w:szCs w:val="18"/>
              </w:rPr>
            </w:pPr>
            <w:r>
              <w:rPr>
                <w:color w:val="000000"/>
                <w:sz w:val="18"/>
                <w:szCs w:val="18"/>
              </w:rPr>
              <w:t>0.0000</w:t>
            </w:r>
          </w:p>
        </w:tc>
        <w:tc>
          <w:tcPr>
            <w:tcW w:w="1043" w:type="dxa"/>
          </w:tcPr>
          <w:p w:rsidR="004B40A3" w:rsidRDefault="004B40A3" w:rsidP="00900B10">
            <w:pPr>
              <w:jc w:val="right"/>
              <w:rPr>
                <w:color w:val="000000"/>
                <w:sz w:val="18"/>
                <w:szCs w:val="18"/>
              </w:rPr>
            </w:pPr>
            <w:r>
              <w:rPr>
                <w:color w:val="000000"/>
                <w:sz w:val="18"/>
                <w:szCs w:val="18"/>
              </w:rPr>
              <w:t>-0.0001</w:t>
            </w:r>
          </w:p>
        </w:tc>
        <w:tc>
          <w:tcPr>
            <w:tcW w:w="1030" w:type="dxa"/>
          </w:tcPr>
          <w:p w:rsidR="004B40A3" w:rsidRDefault="004B40A3" w:rsidP="00900B10">
            <w:pPr>
              <w:jc w:val="right"/>
              <w:rPr>
                <w:color w:val="000000"/>
                <w:sz w:val="18"/>
                <w:szCs w:val="18"/>
              </w:rPr>
            </w:pPr>
            <w:r>
              <w:rPr>
                <w:color w:val="000000"/>
                <w:sz w:val="18"/>
                <w:szCs w:val="18"/>
              </w:rPr>
              <w:t>-0.0001</w:t>
            </w:r>
          </w:p>
        </w:tc>
        <w:tc>
          <w:tcPr>
            <w:tcW w:w="980" w:type="dxa"/>
          </w:tcPr>
          <w:p w:rsidR="004B40A3" w:rsidRDefault="004B40A3" w:rsidP="00900B10">
            <w:pPr>
              <w:jc w:val="right"/>
              <w:rPr>
                <w:color w:val="000000"/>
                <w:sz w:val="18"/>
                <w:szCs w:val="18"/>
              </w:rPr>
            </w:pPr>
            <w:r>
              <w:rPr>
                <w:color w:val="000000"/>
                <w:sz w:val="18"/>
                <w:szCs w:val="18"/>
              </w:rPr>
              <w:t>0.0000</w:t>
            </w:r>
          </w:p>
        </w:tc>
        <w:tc>
          <w:tcPr>
            <w:tcW w:w="1053" w:type="dxa"/>
          </w:tcPr>
          <w:p w:rsidR="004B40A3" w:rsidRDefault="004B40A3" w:rsidP="00900B10">
            <w:pPr>
              <w:jc w:val="right"/>
              <w:rPr>
                <w:color w:val="000000"/>
                <w:sz w:val="18"/>
                <w:szCs w:val="18"/>
              </w:rPr>
            </w:pPr>
            <w:r>
              <w:rPr>
                <w:color w:val="000000"/>
                <w:sz w:val="18"/>
                <w:szCs w:val="18"/>
              </w:rPr>
              <w:t>0.0000</w:t>
            </w:r>
          </w:p>
        </w:tc>
      </w:tr>
      <w:tr w:rsidR="004B40A3" w:rsidTr="00900B10">
        <w:tc>
          <w:tcPr>
            <w:tcW w:w="4051" w:type="dxa"/>
            <w:gridSpan w:val="2"/>
            <w:tcBorders>
              <w:right w:val="single" w:sz="18" w:space="0" w:color="7F7F7F" w:themeColor="text1" w:themeTint="80"/>
            </w:tcBorders>
          </w:tcPr>
          <w:p w:rsidR="004B40A3" w:rsidRPr="00BD714E" w:rsidRDefault="004B40A3" w:rsidP="00900B10">
            <w:pPr>
              <w:spacing w:before="0"/>
              <w:rPr>
                <w:rFonts w:ascii="Times New Roman" w:hAnsi="Times New Roman" w:cs="Times New Roman"/>
                <w:b/>
                <w:sz w:val="20"/>
                <w:szCs w:val="20"/>
              </w:rPr>
            </w:pPr>
            <w:r w:rsidRPr="00BD714E">
              <w:rPr>
                <w:rFonts w:ascii="Times New Roman" w:hAnsi="Times New Roman" w:cs="Times New Roman"/>
                <w:b/>
                <w:sz w:val="20"/>
                <w:szCs w:val="20"/>
              </w:rPr>
              <w:t xml:space="preserve">10. Loss of domestic traveler expenditure outside target city </w:t>
            </w:r>
          </w:p>
        </w:tc>
        <w:tc>
          <w:tcPr>
            <w:tcW w:w="832"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-0.0360</w:t>
            </w:r>
          </w:p>
        </w:tc>
        <w:tc>
          <w:tcPr>
            <w:tcW w:w="1030" w:type="dxa"/>
          </w:tcPr>
          <w:p w:rsidR="004B40A3" w:rsidRDefault="004B40A3" w:rsidP="00900B10">
            <w:pPr>
              <w:jc w:val="right"/>
              <w:rPr>
                <w:color w:val="000000"/>
                <w:sz w:val="18"/>
                <w:szCs w:val="18"/>
              </w:rPr>
            </w:pPr>
            <w:r>
              <w:rPr>
                <w:color w:val="000000"/>
                <w:sz w:val="18"/>
                <w:szCs w:val="18"/>
              </w:rPr>
              <w:t>-0.0284</w:t>
            </w:r>
          </w:p>
        </w:tc>
        <w:tc>
          <w:tcPr>
            <w:tcW w:w="1041" w:type="dxa"/>
          </w:tcPr>
          <w:p w:rsidR="004B40A3" w:rsidRDefault="004B40A3" w:rsidP="00900B10">
            <w:pPr>
              <w:jc w:val="right"/>
              <w:rPr>
                <w:color w:val="000000"/>
                <w:sz w:val="18"/>
                <w:szCs w:val="18"/>
              </w:rPr>
            </w:pPr>
            <w:r>
              <w:rPr>
                <w:color w:val="000000"/>
                <w:sz w:val="18"/>
                <w:szCs w:val="18"/>
              </w:rPr>
              <w:t>-0.0282</w:t>
            </w:r>
          </w:p>
        </w:tc>
        <w:tc>
          <w:tcPr>
            <w:tcW w:w="1041" w:type="dxa"/>
            <w:tcBorders>
              <w:right w:val="single" w:sz="18" w:space="0" w:color="7F7F7F" w:themeColor="text1" w:themeTint="80"/>
            </w:tcBorders>
          </w:tcPr>
          <w:p w:rsidR="004B40A3" w:rsidRDefault="004B40A3" w:rsidP="00900B10">
            <w:pPr>
              <w:jc w:val="right"/>
              <w:rPr>
                <w:color w:val="000000"/>
                <w:sz w:val="18"/>
                <w:szCs w:val="18"/>
              </w:rPr>
            </w:pPr>
            <w:r>
              <w:rPr>
                <w:color w:val="000000"/>
                <w:sz w:val="18"/>
                <w:szCs w:val="18"/>
              </w:rPr>
              <w:t>-0.0228</w:t>
            </w:r>
          </w:p>
        </w:tc>
        <w:tc>
          <w:tcPr>
            <w:tcW w:w="1030"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43" w:type="dxa"/>
          </w:tcPr>
          <w:p w:rsidR="004B40A3" w:rsidRDefault="004B40A3" w:rsidP="00900B10">
            <w:pPr>
              <w:jc w:val="right"/>
              <w:rPr>
                <w:color w:val="000000"/>
                <w:sz w:val="18"/>
                <w:szCs w:val="18"/>
              </w:rPr>
            </w:pPr>
            <w:r>
              <w:rPr>
                <w:color w:val="000000"/>
                <w:sz w:val="18"/>
                <w:szCs w:val="18"/>
              </w:rPr>
              <w:t>-0.0001</w:t>
            </w:r>
          </w:p>
        </w:tc>
        <w:tc>
          <w:tcPr>
            <w:tcW w:w="1043" w:type="dxa"/>
          </w:tcPr>
          <w:p w:rsidR="004B40A3" w:rsidRDefault="004B40A3" w:rsidP="00900B10">
            <w:pPr>
              <w:jc w:val="right"/>
              <w:rPr>
                <w:color w:val="000000"/>
                <w:sz w:val="18"/>
                <w:szCs w:val="18"/>
              </w:rPr>
            </w:pPr>
            <w:r>
              <w:rPr>
                <w:color w:val="000000"/>
                <w:sz w:val="18"/>
                <w:szCs w:val="18"/>
              </w:rPr>
              <w:t>0.0000</w:t>
            </w:r>
          </w:p>
        </w:tc>
        <w:tc>
          <w:tcPr>
            <w:tcW w:w="1030" w:type="dxa"/>
          </w:tcPr>
          <w:p w:rsidR="004B40A3" w:rsidRDefault="004B40A3" w:rsidP="00900B10">
            <w:pPr>
              <w:jc w:val="right"/>
              <w:rPr>
                <w:color w:val="000000"/>
                <w:sz w:val="18"/>
                <w:szCs w:val="18"/>
              </w:rPr>
            </w:pPr>
            <w:r>
              <w:rPr>
                <w:color w:val="000000"/>
                <w:sz w:val="18"/>
                <w:szCs w:val="18"/>
              </w:rPr>
              <w:t>-0.0001</w:t>
            </w:r>
          </w:p>
        </w:tc>
        <w:tc>
          <w:tcPr>
            <w:tcW w:w="980" w:type="dxa"/>
          </w:tcPr>
          <w:p w:rsidR="004B40A3" w:rsidRDefault="004B40A3" w:rsidP="00900B10">
            <w:pPr>
              <w:jc w:val="right"/>
              <w:rPr>
                <w:color w:val="000000"/>
                <w:sz w:val="18"/>
                <w:szCs w:val="18"/>
              </w:rPr>
            </w:pPr>
            <w:r>
              <w:rPr>
                <w:color w:val="000000"/>
                <w:sz w:val="18"/>
                <w:szCs w:val="18"/>
              </w:rPr>
              <w:t>-0.0263</w:t>
            </w:r>
          </w:p>
        </w:tc>
        <w:tc>
          <w:tcPr>
            <w:tcW w:w="1053" w:type="dxa"/>
          </w:tcPr>
          <w:p w:rsidR="004B40A3" w:rsidRDefault="004B40A3" w:rsidP="00900B10">
            <w:pPr>
              <w:jc w:val="right"/>
              <w:rPr>
                <w:color w:val="000000"/>
                <w:sz w:val="18"/>
                <w:szCs w:val="18"/>
              </w:rPr>
            </w:pPr>
            <w:r>
              <w:rPr>
                <w:color w:val="000000"/>
                <w:sz w:val="18"/>
                <w:szCs w:val="18"/>
              </w:rPr>
              <w:t>-0.0238</w:t>
            </w:r>
          </w:p>
        </w:tc>
      </w:tr>
      <w:tr w:rsidR="004B40A3" w:rsidTr="00900B10">
        <w:tc>
          <w:tcPr>
            <w:tcW w:w="4051" w:type="dxa"/>
            <w:gridSpan w:val="2"/>
            <w:tcBorders>
              <w:right w:val="single" w:sz="18" w:space="0" w:color="7F7F7F" w:themeColor="text1" w:themeTint="80"/>
            </w:tcBorders>
          </w:tcPr>
          <w:p w:rsidR="004B40A3" w:rsidRPr="00BD714E" w:rsidRDefault="004B40A3" w:rsidP="00900B10">
            <w:pPr>
              <w:spacing w:before="0"/>
              <w:rPr>
                <w:rFonts w:ascii="Times New Roman" w:hAnsi="Times New Roman" w:cs="Times New Roman"/>
                <w:b/>
                <w:sz w:val="20"/>
                <w:szCs w:val="20"/>
              </w:rPr>
            </w:pPr>
            <w:r w:rsidRPr="00BD714E">
              <w:rPr>
                <w:rFonts w:ascii="Times New Roman" w:hAnsi="Times New Roman" w:cs="Times New Roman"/>
                <w:b/>
                <w:sz w:val="20"/>
                <w:szCs w:val="20"/>
              </w:rPr>
              <w:t xml:space="preserve">11. Loss of food production in target state </w:t>
            </w:r>
          </w:p>
        </w:tc>
        <w:tc>
          <w:tcPr>
            <w:tcW w:w="832"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-0.0048</w:t>
            </w:r>
          </w:p>
        </w:tc>
        <w:tc>
          <w:tcPr>
            <w:tcW w:w="1030" w:type="dxa"/>
          </w:tcPr>
          <w:p w:rsidR="004B40A3" w:rsidRDefault="004B40A3" w:rsidP="00900B10">
            <w:pPr>
              <w:jc w:val="right"/>
              <w:rPr>
                <w:color w:val="000000"/>
                <w:sz w:val="18"/>
                <w:szCs w:val="18"/>
              </w:rPr>
            </w:pPr>
            <w:r>
              <w:rPr>
                <w:color w:val="000000"/>
                <w:sz w:val="18"/>
                <w:szCs w:val="18"/>
              </w:rPr>
              <w:t>-0.0034</w:t>
            </w:r>
          </w:p>
        </w:tc>
        <w:tc>
          <w:tcPr>
            <w:tcW w:w="1041" w:type="dxa"/>
          </w:tcPr>
          <w:p w:rsidR="004B40A3" w:rsidRDefault="004B40A3" w:rsidP="00900B10">
            <w:pPr>
              <w:jc w:val="right"/>
              <w:rPr>
                <w:color w:val="000000"/>
                <w:sz w:val="18"/>
                <w:szCs w:val="18"/>
              </w:rPr>
            </w:pPr>
            <w:r>
              <w:rPr>
                <w:color w:val="000000"/>
                <w:sz w:val="18"/>
                <w:szCs w:val="18"/>
              </w:rPr>
              <w:t>-0.0634</w:t>
            </w:r>
          </w:p>
        </w:tc>
        <w:tc>
          <w:tcPr>
            <w:tcW w:w="1041" w:type="dxa"/>
            <w:tcBorders>
              <w:right w:val="single" w:sz="18" w:space="0" w:color="7F7F7F" w:themeColor="text1" w:themeTint="80"/>
            </w:tcBorders>
          </w:tcPr>
          <w:p w:rsidR="004B40A3" w:rsidRDefault="004B40A3" w:rsidP="00900B10">
            <w:pPr>
              <w:jc w:val="right"/>
              <w:rPr>
                <w:color w:val="000000"/>
                <w:sz w:val="18"/>
                <w:szCs w:val="18"/>
              </w:rPr>
            </w:pPr>
            <w:r>
              <w:rPr>
                <w:color w:val="000000"/>
                <w:sz w:val="18"/>
                <w:szCs w:val="18"/>
              </w:rPr>
              <w:t>-0.0495</w:t>
            </w:r>
          </w:p>
        </w:tc>
        <w:tc>
          <w:tcPr>
            <w:tcW w:w="1030"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-0.0001</w:t>
            </w:r>
          </w:p>
        </w:tc>
        <w:tc>
          <w:tcPr>
            <w:tcW w:w="1043" w:type="dxa"/>
          </w:tcPr>
          <w:p w:rsidR="004B40A3" w:rsidRDefault="004B40A3" w:rsidP="00900B10">
            <w:pPr>
              <w:jc w:val="right"/>
              <w:rPr>
                <w:color w:val="000000"/>
                <w:sz w:val="18"/>
                <w:szCs w:val="18"/>
              </w:rPr>
            </w:pPr>
            <w:r>
              <w:rPr>
                <w:color w:val="000000"/>
                <w:sz w:val="18"/>
                <w:szCs w:val="18"/>
              </w:rPr>
              <w:t>-0.0001</w:t>
            </w:r>
          </w:p>
        </w:tc>
        <w:tc>
          <w:tcPr>
            <w:tcW w:w="1043" w:type="dxa"/>
          </w:tcPr>
          <w:p w:rsidR="004B40A3" w:rsidRDefault="004B40A3" w:rsidP="00900B10">
            <w:pPr>
              <w:jc w:val="right"/>
              <w:rPr>
                <w:color w:val="000000"/>
                <w:sz w:val="18"/>
                <w:szCs w:val="18"/>
              </w:rPr>
            </w:pPr>
            <w:r>
              <w:rPr>
                <w:color w:val="000000"/>
                <w:sz w:val="18"/>
                <w:szCs w:val="18"/>
              </w:rPr>
              <w:t>0.0002</w:t>
            </w:r>
          </w:p>
        </w:tc>
        <w:tc>
          <w:tcPr>
            <w:tcW w:w="1030" w:type="dxa"/>
          </w:tcPr>
          <w:p w:rsidR="004B40A3" w:rsidRDefault="004B40A3" w:rsidP="00900B10">
            <w:pPr>
              <w:jc w:val="right"/>
              <w:rPr>
                <w:color w:val="000000"/>
                <w:sz w:val="18"/>
                <w:szCs w:val="18"/>
              </w:rPr>
            </w:pPr>
            <w:r>
              <w:rPr>
                <w:color w:val="000000"/>
                <w:sz w:val="18"/>
                <w:szCs w:val="18"/>
              </w:rPr>
              <w:t>0.0001</w:t>
            </w:r>
          </w:p>
        </w:tc>
        <w:tc>
          <w:tcPr>
            <w:tcW w:w="980" w:type="dxa"/>
          </w:tcPr>
          <w:p w:rsidR="004B40A3" w:rsidRDefault="004B40A3" w:rsidP="00900B10">
            <w:pPr>
              <w:jc w:val="right"/>
              <w:rPr>
                <w:color w:val="000000"/>
                <w:sz w:val="18"/>
                <w:szCs w:val="18"/>
              </w:rPr>
            </w:pPr>
            <w:r>
              <w:rPr>
                <w:color w:val="000000"/>
                <w:sz w:val="18"/>
                <w:szCs w:val="18"/>
              </w:rPr>
              <w:t>-0.0038</w:t>
            </w:r>
          </w:p>
        </w:tc>
        <w:tc>
          <w:tcPr>
            <w:tcW w:w="1053" w:type="dxa"/>
          </w:tcPr>
          <w:p w:rsidR="004B40A3" w:rsidRDefault="004B40A3" w:rsidP="00900B10">
            <w:pPr>
              <w:jc w:val="right"/>
              <w:rPr>
                <w:color w:val="000000"/>
                <w:sz w:val="18"/>
                <w:szCs w:val="18"/>
              </w:rPr>
            </w:pPr>
            <w:r>
              <w:rPr>
                <w:color w:val="000000"/>
                <w:sz w:val="18"/>
                <w:szCs w:val="18"/>
              </w:rPr>
              <w:t>-0.0041</w:t>
            </w:r>
          </w:p>
        </w:tc>
      </w:tr>
      <w:tr w:rsidR="004B40A3" w:rsidTr="00900B10">
        <w:tc>
          <w:tcPr>
            <w:tcW w:w="4051" w:type="dxa"/>
            <w:gridSpan w:val="2"/>
            <w:tcBorders>
              <w:right w:val="single" w:sz="18" w:space="0" w:color="7F7F7F" w:themeColor="text1" w:themeTint="80"/>
            </w:tcBorders>
          </w:tcPr>
          <w:p w:rsidR="004B40A3" w:rsidRPr="00BD714E" w:rsidRDefault="004B40A3" w:rsidP="00900B10">
            <w:pPr>
              <w:spacing w:before="0"/>
              <w:rPr>
                <w:rFonts w:ascii="Times New Roman" w:hAnsi="Times New Roman" w:cs="Times New Roman"/>
                <w:b/>
                <w:sz w:val="20"/>
                <w:szCs w:val="20"/>
              </w:rPr>
            </w:pPr>
            <w:r w:rsidRPr="00BD714E">
              <w:rPr>
                <w:rFonts w:ascii="Times New Roman" w:hAnsi="Times New Roman" w:cs="Times New Roman"/>
                <w:b/>
                <w:sz w:val="20"/>
                <w:szCs w:val="20"/>
              </w:rPr>
              <w:t xml:space="preserve">12. Total loss of food production in U.S. including target state </w:t>
            </w:r>
          </w:p>
        </w:tc>
        <w:tc>
          <w:tcPr>
            <w:tcW w:w="832"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-0.1421</w:t>
            </w:r>
          </w:p>
        </w:tc>
        <w:tc>
          <w:tcPr>
            <w:tcW w:w="1030" w:type="dxa"/>
          </w:tcPr>
          <w:p w:rsidR="004B40A3" w:rsidRDefault="004B40A3" w:rsidP="00900B10">
            <w:pPr>
              <w:jc w:val="right"/>
              <w:rPr>
                <w:color w:val="000000"/>
                <w:sz w:val="18"/>
                <w:szCs w:val="18"/>
              </w:rPr>
            </w:pPr>
            <w:r>
              <w:rPr>
                <w:color w:val="000000"/>
                <w:sz w:val="18"/>
                <w:szCs w:val="18"/>
              </w:rPr>
              <w:t>-0.1012</w:t>
            </w:r>
          </w:p>
        </w:tc>
        <w:tc>
          <w:tcPr>
            <w:tcW w:w="1041" w:type="dxa"/>
          </w:tcPr>
          <w:p w:rsidR="004B40A3" w:rsidRDefault="004B40A3" w:rsidP="00900B10">
            <w:pPr>
              <w:jc w:val="right"/>
              <w:rPr>
                <w:color w:val="000000"/>
                <w:sz w:val="18"/>
                <w:szCs w:val="18"/>
              </w:rPr>
            </w:pPr>
            <w:r>
              <w:rPr>
                <w:color w:val="000000"/>
                <w:sz w:val="18"/>
                <w:szCs w:val="18"/>
              </w:rPr>
              <w:t>-0.2754</w:t>
            </w:r>
          </w:p>
        </w:tc>
        <w:tc>
          <w:tcPr>
            <w:tcW w:w="1041" w:type="dxa"/>
            <w:tcBorders>
              <w:right w:val="single" w:sz="18" w:space="0" w:color="7F7F7F" w:themeColor="text1" w:themeTint="80"/>
            </w:tcBorders>
          </w:tcPr>
          <w:p w:rsidR="004B40A3" w:rsidRDefault="004B40A3" w:rsidP="00900B10">
            <w:pPr>
              <w:jc w:val="right"/>
              <w:rPr>
                <w:color w:val="000000"/>
                <w:sz w:val="18"/>
                <w:szCs w:val="18"/>
              </w:rPr>
            </w:pPr>
            <w:r>
              <w:rPr>
                <w:color w:val="000000"/>
                <w:sz w:val="18"/>
                <w:szCs w:val="18"/>
              </w:rPr>
              <w:t>-0.2479</w:t>
            </w:r>
          </w:p>
        </w:tc>
        <w:tc>
          <w:tcPr>
            <w:tcW w:w="1030"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-0.0004</w:t>
            </w:r>
          </w:p>
        </w:tc>
        <w:tc>
          <w:tcPr>
            <w:tcW w:w="1043" w:type="dxa"/>
          </w:tcPr>
          <w:p w:rsidR="004B40A3" w:rsidRDefault="004B40A3" w:rsidP="00900B10">
            <w:pPr>
              <w:jc w:val="right"/>
              <w:rPr>
                <w:color w:val="000000"/>
                <w:sz w:val="18"/>
                <w:szCs w:val="18"/>
              </w:rPr>
            </w:pPr>
            <w:r>
              <w:rPr>
                <w:color w:val="000000"/>
                <w:sz w:val="18"/>
                <w:szCs w:val="18"/>
              </w:rPr>
              <w:t>-0.0005</w:t>
            </w:r>
          </w:p>
        </w:tc>
        <w:tc>
          <w:tcPr>
            <w:tcW w:w="1043" w:type="dxa"/>
          </w:tcPr>
          <w:p w:rsidR="004B40A3" w:rsidRDefault="004B40A3" w:rsidP="00900B10">
            <w:pPr>
              <w:jc w:val="right"/>
              <w:rPr>
                <w:color w:val="000000"/>
                <w:sz w:val="18"/>
                <w:szCs w:val="18"/>
              </w:rPr>
            </w:pPr>
            <w:r>
              <w:rPr>
                <w:color w:val="000000"/>
                <w:sz w:val="18"/>
                <w:szCs w:val="18"/>
              </w:rPr>
              <w:t>-0.0027</w:t>
            </w:r>
          </w:p>
        </w:tc>
        <w:tc>
          <w:tcPr>
            <w:tcW w:w="1030" w:type="dxa"/>
          </w:tcPr>
          <w:p w:rsidR="004B40A3" w:rsidRDefault="004B40A3" w:rsidP="00900B10">
            <w:pPr>
              <w:jc w:val="right"/>
              <w:rPr>
                <w:color w:val="000000"/>
                <w:sz w:val="18"/>
                <w:szCs w:val="18"/>
              </w:rPr>
            </w:pPr>
            <w:r>
              <w:rPr>
                <w:color w:val="000000"/>
                <w:sz w:val="18"/>
                <w:szCs w:val="18"/>
              </w:rPr>
              <w:t>-0.0009</w:t>
            </w:r>
          </w:p>
        </w:tc>
        <w:tc>
          <w:tcPr>
            <w:tcW w:w="980" w:type="dxa"/>
          </w:tcPr>
          <w:p w:rsidR="004B40A3" w:rsidRDefault="004B40A3" w:rsidP="00900B10">
            <w:pPr>
              <w:jc w:val="right"/>
              <w:rPr>
                <w:color w:val="000000"/>
                <w:sz w:val="18"/>
                <w:szCs w:val="18"/>
              </w:rPr>
            </w:pPr>
            <w:r>
              <w:rPr>
                <w:color w:val="000000"/>
                <w:sz w:val="18"/>
                <w:szCs w:val="18"/>
              </w:rPr>
              <w:t>-0.0999</w:t>
            </w:r>
          </w:p>
        </w:tc>
        <w:tc>
          <w:tcPr>
            <w:tcW w:w="1053" w:type="dxa"/>
          </w:tcPr>
          <w:p w:rsidR="004B40A3" w:rsidRDefault="004B40A3" w:rsidP="00900B10">
            <w:pPr>
              <w:jc w:val="right"/>
              <w:rPr>
                <w:color w:val="000000"/>
                <w:sz w:val="18"/>
                <w:szCs w:val="18"/>
              </w:rPr>
            </w:pPr>
            <w:r>
              <w:rPr>
                <w:color w:val="000000"/>
                <w:sz w:val="18"/>
                <w:szCs w:val="18"/>
              </w:rPr>
              <w:t>-0.1020</w:t>
            </w:r>
          </w:p>
        </w:tc>
      </w:tr>
      <w:tr w:rsidR="004B40A3" w:rsidTr="00900B10">
        <w:tc>
          <w:tcPr>
            <w:tcW w:w="4051" w:type="dxa"/>
            <w:gridSpan w:val="2"/>
            <w:tcBorders>
              <w:right w:val="single" w:sz="18" w:space="0" w:color="7F7F7F" w:themeColor="text1" w:themeTint="80"/>
            </w:tcBorders>
          </w:tcPr>
          <w:p w:rsidR="004B40A3" w:rsidRPr="00BD714E" w:rsidRDefault="004B40A3" w:rsidP="00900B10">
            <w:pPr>
              <w:spacing w:before="0"/>
              <w:rPr>
                <w:rFonts w:ascii="Times New Roman" w:hAnsi="Times New Roman" w:cs="Times New Roman"/>
                <w:b/>
                <w:sz w:val="20"/>
                <w:szCs w:val="20"/>
              </w:rPr>
            </w:pPr>
            <w:r w:rsidRPr="00BD714E">
              <w:rPr>
                <w:rFonts w:ascii="Times New Roman" w:hAnsi="Times New Roman" w:cs="Times New Roman"/>
                <w:b/>
                <w:sz w:val="20"/>
                <w:szCs w:val="20"/>
              </w:rPr>
              <w:t>13. Deaths &amp; serious injuries, permanent removal from work (people)</w:t>
            </w:r>
          </w:p>
        </w:tc>
        <w:tc>
          <w:tcPr>
            <w:tcW w:w="832"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-0.5470</w:t>
            </w:r>
          </w:p>
        </w:tc>
        <w:tc>
          <w:tcPr>
            <w:tcW w:w="1030" w:type="dxa"/>
          </w:tcPr>
          <w:p w:rsidR="004B40A3" w:rsidRDefault="004B40A3" w:rsidP="00900B10">
            <w:pPr>
              <w:jc w:val="right"/>
              <w:rPr>
                <w:color w:val="000000"/>
                <w:sz w:val="18"/>
                <w:szCs w:val="18"/>
              </w:rPr>
            </w:pPr>
            <w:r>
              <w:rPr>
                <w:color w:val="000000"/>
                <w:sz w:val="18"/>
                <w:szCs w:val="18"/>
              </w:rPr>
              <w:t>-0.6131</w:t>
            </w:r>
          </w:p>
        </w:tc>
        <w:tc>
          <w:tcPr>
            <w:tcW w:w="1041" w:type="dxa"/>
          </w:tcPr>
          <w:p w:rsidR="004B40A3" w:rsidRDefault="004B40A3" w:rsidP="00900B10">
            <w:pPr>
              <w:jc w:val="right"/>
              <w:rPr>
                <w:color w:val="000000"/>
                <w:sz w:val="18"/>
                <w:szCs w:val="18"/>
              </w:rPr>
            </w:pPr>
            <w:r>
              <w:rPr>
                <w:color w:val="000000"/>
                <w:sz w:val="18"/>
                <w:szCs w:val="18"/>
              </w:rPr>
              <w:t>-8.5104</w:t>
            </w:r>
          </w:p>
        </w:tc>
        <w:tc>
          <w:tcPr>
            <w:tcW w:w="1041" w:type="dxa"/>
            <w:tcBorders>
              <w:right w:val="single" w:sz="18" w:space="0" w:color="7F7F7F" w:themeColor="text1" w:themeTint="80"/>
            </w:tcBorders>
          </w:tcPr>
          <w:p w:rsidR="004B40A3" w:rsidRDefault="004B40A3" w:rsidP="00900B10">
            <w:pPr>
              <w:jc w:val="right"/>
              <w:rPr>
                <w:color w:val="000000"/>
                <w:sz w:val="18"/>
                <w:szCs w:val="18"/>
              </w:rPr>
            </w:pPr>
            <w:r>
              <w:rPr>
                <w:color w:val="000000"/>
                <w:sz w:val="18"/>
                <w:szCs w:val="18"/>
              </w:rPr>
              <w:t>-9.3645</w:t>
            </w:r>
          </w:p>
        </w:tc>
        <w:tc>
          <w:tcPr>
            <w:tcW w:w="1030" w:type="dxa"/>
            <w:tcBorders>
              <w:left w:val="single" w:sz="18" w:space="0" w:color="7F7F7F" w:themeColor="text1" w:themeTint="80"/>
            </w:tcBorders>
          </w:tcPr>
          <w:p w:rsidR="004B40A3" w:rsidRDefault="004B40A3" w:rsidP="00900B10">
            <w:pPr>
              <w:jc w:val="right"/>
              <w:rPr>
                <w:color w:val="000000"/>
                <w:sz w:val="18"/>
                <w:szCs w:val="18"/>
              </w:rPr>
            </w:pPr>
            <w:r>
              <w:rPr>
                <w:color w:val="000000"/>
                <w:sz w:val="18"/>
                <w:szCs w:val="18"/>
              </w:rPr>
              <w:t>-0.9546</w:t>
            </w:r>
          </w:p>
        </w:tc>
        <w:tc>
          <w:tcPr>
            <w:tcW w:w="1043" w:type="dxa"/>
          </w:tcPr>
          <w:p w:rsidR="004B40A3" w:rsidRDefault="004B40A3" w:rsidP="00900B10">
            <w:pPr>
              <w:jc w:val="right"/>
              <w:rPr>
                <w:color w:val="000000"/>
                <w:sz w:val="18"/>
                <w:szCs w:val="18"/>
              </w:rPr>
            </w:pPr>
            <w:r>
              <w:rPr>
                <w:color w:val="000000"/>
                <w:sz w:val="18"/>
                <w:szCs w:val="18"/>
              </w:rPr>
              <w:t>-0.9873</w:t>
            </w:r>
          </w:p>
        </w:tc>
        <w:tc>
          <w:tcPr>
            <w:tcW w:w="1043" w:type="dxa"/>
          </w:tcPr>
          <w:p w:rsidR="004B40A3" w:rsidRDefault="004B40A3" w:rsidP="00900B10">
            <w:pPr>
              <w:jc w:val="right"/>
              <w:rPr>
                <w:color w:val="000000"/>
                <w:sz w:val="18"/>
                <w:szCs w:val="18"/>
              </w:rPr>
            </w:pPr>
            <w:r>
              <w:rPr>
                <w:color w:val="000000"/>
                <w:sz w:val="18"/>
                <w:szCs w:val="18"/>
              </w:rPr>
              <w:t>-0.0270</w:t>
            </w:r>
          </w:p>
        </w:tc>
        <w:tc>
          <w:tcPr>
            <w:tcW w:w="1030" w:type="dxa"/>
          </w:tcPr>
          <w:p w:rsidR="004B40A3" w:rsidRDefault="004B40A3" w:rsidP="00900B10">
            <w:pPr>
              <w:jc w:val="right"/>
              <w:rPr>
                <w:color w:val="000000"/>
                <w:sz w:val="18"/>
                <w:szCs w:val="18"/>
              </w:rPr>
            </w:pPr>
            <w:r>
              <w:rPr>
                <w:color w:val="000000"/>
                <w:sz w:val="18"/>
                <w:szCs w:val="18"/>
              </w:rPr>
              <w:t>-0.0198</w:t>
            </w:r>
          </w:p>
        </w:tc>
        <w:tc>
          <w:tcPr>
            <w:tcW w:w="980" w:type="dxa"/>
          </w:tcPr>
          <w:p w:rsidR="004B40A3" w:rsidRDefault="004B40A3" w:rsidP="00900B10">
            <w:pPr>
              <w:jc w:val="right"/>
              <w:rPr>
                <w:color w:val="000000"/>
                <w:sz w:val="18"/>
                <w:szCs w:val="18"/>
              </w:rPr>
            </w:pPr>
            <w:r>
              <w:rPr>
                <w:color w:val="000000"/>
                <w:sz w:val="18"/>
                <w:szCs w:val="18"/>
              </w:rPr>
              <w:t>-298.6371</w:t>
            </w:r>
          </w:p>
        </w:tc>
        <w:tc>
          <w:tcPr>
            <w:tcW w:w="1053" w:type="dxa"/>
          </w:tcPr>
          <w:p w:rsidR="004B40A3" w:rsidRDefault="004B40A3" w:rsidP="00900B10">
            <w:pPr>
              <w:jc w:val="right"/>
              <w:rPr>
                <w:color w:val="000000"/>
                <w:sz w:val="18"/>
                <w:szCs w:val="18"/>
              </w:rPr>
            </w:pPr>
            <w:r>
              <w:rPr>
                <w:color w:val="000000"/>
                <w:sz w:val="18"/>
                <w:szCs w:val="18"/>
              </w:rPr>
              <w:t>-307.3186</w:t>
            </w:r>
          </w:p>
        </w:tc>
      </w:tr>
      <w:tr w:rsidR="004B40A3" w:rsidTr="00900B10">
        <w:tc>
          <w:tcPr>
            <w:tcW w:w="4051" w:type="dxa"/>
            <w:gridSpan w:val="2"/>
            <w:tcBorders>
              <w:bottom w:val="single" w:sz="18" w:space="0" w:color="7F7F7F" w:themeColor="text1" w:themeTint="80"/>
              <w:right w:val="single" w:sz="18" w:space="0" w:color="7F7F7F" w:themeColor="text1" w:themeTint="80"/>
            </w:tcBorders>
          </w:tcPr>
          <w:p w:rsidR="004B40A3" w:rsidRPr="00BD714E" w:rsidRDefault="004B40A3" w:rsidP="00900B10">
            <w:pPr>
              <w:spacing w:before="0"/>
              <w:rPr>
                <w:rFonts w:ascii="Times New Roman" w:hAnsi="Times New Roman" w:cs="Times New Roman"/>
                <w:b/>
                <w:sz w:val="20"/>
                <w:szCs w:val="20"/>
              </w:rPr>
            </w:pPr>
            <w:r w:rsidRPr="00BD714E">
              <w:rPr>
                <w:rFonts w:ascii="Times New Roman" w:hAnsi="Times New Roman" w:cs="Times New Roman"/>
                <w:b/>
                <w:sz w:val="20"/>
                <w:szCs w:val="20"/>
              </w:rPr>
              <w:t>14. Aversion, per cent reduction in labor supply to target region</w:t>
            </w:r>
          </w:p>
        </w:tc>
        <w:tc>
          <w:tcPr>
            <w:tcW w:w="832" w:type="dxa"/>
            <w:tcBorders>
              <w:left w:val="single" w:sz="18" w:space="0" w:color="7F7F7F" w:themeColor="text1" w:themeTint="80"/>
              <w:bottom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30" w:type="dxa"/>
            <w:tcBorders>
              <w:bottom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41" w:type="dxa"/>
            <w:tcBorders>
              <w:bottom w:val="single" w:sz="18" w:space="0" w:color="7F7F7F" w:themeColor="text1" w:themeTint="80"/>
            </w:tcBorders>
          </w:tcPr>
          <w:p w:rsidR="004B40A3" w:rsidRDefault="004B40A3" w:rsidP="00900B10">
            <w:pPr>
              <w:jc w:val="right"/>
              <w:rPr>
                <w:color w:val="000000"/>
                <w:sz w:val="18"/>
                <w:szCs w:val="18"/>
              </w:rPr>
            </w:pPr>
            <w:r>
              <w:rPr>
                <w:color w:val="000000"/>
                <w:sz w:val="18"/>
                <w:szCs w:val="18"/>
              </w:rPr>
              <w:t>-0.4425</w:t>
            </w:r>
          </w:p>
        </w:tc>
        <w:tc>
          <w:tcPr>
            <w:tcW w:w="1041" w:type="dxa"/>
            <w:tcBorders>
              <w:bottom w:val="single" w:sz="18" w:space="0" w:color="7F7F7F" w:themeColor="text1" w:themeTint="80"/>
              <w:right w:val="single" w:sz="18" w:space="0" w:color="7F7F7F" w:themeColor="text1" w:themeTint="80"/>
            </w:tcBorders>
          </w:tcPr>
          <w:p w:rsidR="004B40A3" w:rsidRDefault="004B40A3" w:rsidP="00900B10">
            <w:pPr>
              <w:jc w:val="right"/>
              <w:rPr>
                <w:color w:val="000000"/>
                <w:sz w:val="18"/>
                <w:szCs w:val="18"/>
              </w:rPr>
            </w:pPr>
            <w:r>
              <w:rPr>
                <w:color w:val="000000"/>
                <w:sz w:val="18"/>
                <w:szCs w:val="18"/>
              </w:rPr>
              <w:t>-0.4874</w:t>
            </w:r>
          </w:p>
        </w:tc>
        <w:tc>
          <w:tcPr>
            <w:tcW w:w="1030" w:type="dxa"/>
            <w:tcBorders>
              <w:left w:val="single" w:sz="18" w:space="0" w:color="7F7F7F" w:themeColor="text1" w:themeTint="80"/>
              <w:bottom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43" w:type="dxa"/>
            <w:tcBorders>
              <w:bottom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43" w:type="dxa"/>
            <w:tcBorders>
              <w:bottom w:val="single" w:sz="18" w:space="0" w:color="7F7F7F" w:themeColor="text1" w:themeTint="80"/>
            </w:tcBorders>
          </w:tcPr>
          <w:p w:rsidR="004B40A3" w:rsidRDefault="004B40A3" w:rsidP="00900B10">
            <w:pPr>
              <w:jc w:val="right"/>
              <w:rPr>
                <w:color w:val="000000"/>
                <w:sz w:val="18"/>
                <w:szCs w:val="18"/>
              </w:rPr>
            </w:pPr>
            <w:r>
              <w:rPr>
                <w:color w:val="000000"/>
                <w:sz w:val="18"/>
                <w:szCs w:val="18"/>
              </w:rPr>
              <w:t>-0.8256</w:t>
            </w:r>
          </w:p>
        </w:tc>
        <w:tc>
          <w:tcPr>
            <w:tcW w:w="1030" w:type="dxa"/>
            <w:tcBorders>
              <w:bottom w:val="single" w:sz="18" w:space="0" w:color="7F7F7F" w:themeColor="text1" w:themeTint="80"/>
            </w:tcBorders>
          </w:tcPr>
          <w:p w:rsidR="004B40A3" w:rsidRDefault="004B40A3" w:rsidP="00900B10">
            <w:pPr>
              <w:jc w:val="right"/>
              <w:rPr>
                <w:color w:val="000000"/>
                <w:sz w:val="18"/>
                <w:szCs w:val="18"/>
              </w:rPr>
            </w:pPr>
            <w:r>
              <w:rPr>
                <w:color w:val="000000"/>
                <w:sz w:val="18"/>
                <w:szCs w:val="18"/>
              </w:rPr>
              <w:t>-0.9073</w:t>
            </w:r>
          </w:p>
        </w:tc>
        <w:tc>
          <w:tcPr>
            <w:tcW w:w="980" w:type="dxa"/>
            <w:tcBorders>
              <w:bottom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c>
          <w:tcPr>
            <w:tcW w:w="1053" w:type="dxa"/>
            <w:tcBorders>
              <w:bottom w:val="single" w:sz="18" w:space="0" w:color="7F7F7F" w:themeColor="text1" w:themeTint="80"/>
            </w:tcBorders>
          </w:tcPr>
          <w:p w:rsidR="004B40A3" w:rsidRDefault="004B40A3" w:rsidP="00900B10">
            <w:pPr>
              <w:jc w:val="right"/>
              <w:rPr>
                <w:color w:val="000000"/>
                <w:sz w:val="18"/>
                <w:szCs w:val="18"/>
              </w:rPr>
            </w:pPr>
            <w:r>
              <w:rPr>
                <w:color w:val="000000"/>
                <w:sz w:val="18"/>
                <w:szCs w:val="18"/>
              </w:rPr>
              <w:t>0.0000</w:t>
            </w:r>
          </w:p>
        </w:tc>
      </w:tr>
    </w:tbl>
    <w:p w:rsidR="004B40A3" w:rsidRDefault="004B40A3" w:rsidP="004B40A3">
      <w:pPr>
        <w:jc w:val="center"/>
      </w:pPr>
      <w:r w:rsidRPr="00356F17">
        <w:rPr>
          <w:rFonts w:ascii="Times New Roman" w:hAnsi="Times New Roman" w:cs="Times New Roman"/>
          <w:b/>
          <w:i/>
          <w:sz w:val="24"/>
          <w:szCs w:val="24"/>
        </w:rPr>
        <w:lastRenderedPageBreak/>
        <w:t xml:space="preserve">Table 6.5.  Elasticities for incident in </w:t>
      </w:r>
      <w:r w:rsidRPr="00356F17">
        <w:rPr>
          <w:rFonts w:ascii="Times New Roman" w:hAnsi="Times New Roman" w:cs="Times New Roman"/>
          <w:b/>
          <w:i/>
          <w:color w:val="FF0000"/>
          <w:sz w:val="24"/>
          <w:szCs w:val="24"/>
        </w:rPr>
        <w:t>CA34</w:t>
      </w:r>
      <w:r w:rsidRPr="00356F17">
        <w:rPr>
          <w:rFonts w:ascii="Times New Roman" w:hAnsi="Times New Roman" w:cs="Times New Roman"/>
          <w:b/>
          <w:i/>
          <w:sz w:val="24"/>
          <w:szCs w:val="24"/>
        </w:rPr>
        <w:t xml:space="preserve"> with </w:t>
      </w:r>
      <w:r w:rsidRPr="00356F17">
        <w:rPr>
          <w:rFonts w:ascii="Times New Roman" w:hAnsi="Times New Roman" w:cs="Times New Roman"/>
          <w:b/>
          <w:i/>
          <w:color w:val="FF0000"/>
          <w:sz w:val="24"/>
          <w:szCs w:val="24"/>
        </w:rPr>
        <w:t xml:space="preserve">Neoclassical </w:t>
      </w:r>
      <w:r w:rsidRPr="00356F17">
        <w:rPr>
          <w:rFonts w:ascii="Times New Roman" w:hAnsi="Times New Roman" w:cs="Times New Roman"/>
          <w:b/>
          <w:i/>
          <w:sz w:val="24"/>
          <w:szCs w:val="24"/>
        </w:rPr>
        <w:t>assumptions: % effects on implication variables of 1% shocks to driving variables</w:t>
      </w:r>
      <w:r>
        <w:rPr>
          <w:rFonts w:ascii="Times New Roman" w:hAnsi="Times New Roman" w:cs="Times New Roman"/>
          <w:b/>
          <w:i/>
          <w:sz w:val="24"/>
          <w:szCs w:val="24"/>
        </w:rPr>
        <w:t xml:space="preserve"> </w:t>
      </w:r>
    </w:p>
    <w:tbl>
      <w:tblPr>
        <w:tblStyle w:val="TableGrid"/>
        <w:tblW w:w="14174"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9"/>
        <w:gridCol w:w="2042"/>
        <w:gridCol w:w="832"/>
        <w:gridCol w:w="1030"/>
        <w:gridCol w:w="1041"/>
        <w:gridCol w:w="1041"/>
        <w:gridCol w:w="1030"/>
        <w:gridCol w:w="1043"/>
        <w:gridCol w:w="1043"/>
        <w:gridCol w:w="1030"/>
        <w:gridCol w:w="980"/>
        <w:gridCol w:w="1053"/>
      </w:tblGrid>
      <w:tr w:rsidR="004B40A3" w:rsidTr="00B6529C">
        <w:trPr>
          <w:trHeight w:val="2104"/>
        </w:trPr>
        <w:tc>
          <w:tcPr>
            <w:tcW w:w="2009" w:type="dxa"/>
            <w:tcBorders>
              <w:top w:val="single" w:sz="18" w:space="0" w:color="7F7F7F" w:themeColor="text1" w:themeTint="80"/>
            </w:tcBorders>
            <w:vAlign w:val="bottom"/>
          </w:tcPr>
          <w:p w:rsidR="004B40A3" w:rsidRPr="00BD714E" w:rsidRDefault="004B40A3" w:rsidP="00B6529C">
            <w:pPr>
              <w:spacing w:before="0"/>
              <w:rPr>
                <w:rFonts w:ascii="Times New Roman" w:hAnsi="Times New Roman" w:cs="Times New Roman"/>
                <w:b/>
                <w:sz w:val="24"/>
                <w:szCs w:val="24"/>
              </w:rPr>
            </w:pPr>
            <w:r w:rsidRPr="00BD714E">
              <w:rPr>
                <w:rFonts w:ascii="Times New Roman" w:hAnsi="Times New Roman" w:cs="Times New Roman"/>
                <w:b/>
                <w:sz w:val="24"/>
                <w:szCs w:val="24"/>
              </w:rPr>
              <w:t>Driving variables</w:t>
            </w:r>
          </w:p>
        </w:tc>
        <w:tc>
          <w:tcPr>
            <w:tcW w:w="2042" w:type="dxa"/>
            <w:tcBorders>
              <w:top w:val="single" w:sz="18" w:space="0" w:color="7F7F7F" w:themeColor="text1" w:themeTint="80"/>
              <w:right w:val="single" w:sz="18" w:space="0" w:color="7F7F7F" w:themeColor="text1" w:themeTint="80"/>
            </w:tcBorders>
          </w:tcPr>
          <w:p w:rsidR="004B40A3" w:rsidRPr="00BD714E" w:rsidRDefault="004B40A3" w:rsidP="00B6529C">
            <w:pPr>
              <w:spacing w:before="0"/>
              <w:jc w:val="right"/>
              <w:rPr>
                <w:rFonts w:ascii="Times New Roman" w:hAnsi="Times New Roman" w:cs="Times New Roman"/>
                <w:b/>
                <w:sz w:val="24"/>
                <w:szCs w:val="24"/>
              </w:rPr>
            </w:pPr>
            <w:r w:rsidRPr="00BD714E">
              <w:rPr>
                <w:rFonts w:ascii="Times New Roman" w:hAnsi="Times New Roman" w:cs="Times New Roman"/>
                <w:b/>
                <w:sz w:val="24"/>
                <w:szCs w:val="24"/>
              </w:rPr>
              <w:t>Implication variables</w:t>
            </w:r>
          </w:p>
        </w:tc>
        <w:tc>
          <w:tcPr>
            <w:tcW w:w="832" w:type="dxa"/>
            <w:tcBorders>
              <w:top w:val="single" w:sz="18" w:space="0" w:color="7F7F7F" w:themeColor="text1" w:themeTint="80"/>
              <w:left w:val="single" w:sz="18" w:space="0" w:color="7F7F7F" w:themeColor="text1" w:themeTint="80"/>
            </w:tcBorders>
            <w:textDirection w:val="tbRl"/>
            <w:vAlign w:val="center"/>
          </w:tcPr>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 xml:space="preserve">National GDP </w:t>
            </w:r>
          </w:p>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Year 1</w:t>
            </w:r>
          </w:p>
        </w:tc>
        <w:tc>
          <w:tcPr>
            <w:tcW w:w="1030" w:type="dxa"/>
            <w:tcBorders>
              <w:top w:val="single" w:sz="18" w:space="0" w:color="7F7F7F" w:themeColor="text1" w:themeTint="80"/>
            </w:tcBorders>
            <w:textDirection w:val="tbRl"/>
            <w:vAlign w:val="center"/>
          </w:tcPr>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 xml:space="preserve">National employment  </w:t>
            </w:r>
          </w:p>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Year 1</w:t>
            </w:r>
          </w:p>
        </w:tc>
        <w:tc>
          <w:tcPr>
            <w:tcW w:w="1041" w:type="dxa"/>
            <w:tcBorders>
              <w:top w:val="single" w:sz="18" w:space="0" w:color="7F7F7F" w:themeColor="text1" w:themeTint="80"/>
            </w:tcBorders>
            <w:textDirection w:val="tbRl"/>
            <w:vAlign w:val="center"/>
          </w:tcPr>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 xml:space="preserve">Target  region GRP </w:t>
            </w:r>
          </w:p>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Year 1</w:t>
            </w:r>
          </w:p>
        </w:tc>
        <w:tc>
          <w:tcPr>
            <w:tcW w:w="1041" w:type="dxa"/>
            <w:tcBorders>
              <w:top w:val="single" w:sz="18" w:space="0" w:color="7F7F7F" w:themeColor="text1" w:themeTint="80"/>
              <w:right w:val="single" w:sz="18" w:space="0" w:color="7F7F7F" w:themeColor="text1" w:themeTint="80"/>
            </w:tcBorders>
            <w:textDirection w:val="tbRl"/>
            <w:vAlign w:val="center"/>
          </w:tcPr>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Target  region employment Year 1</w:t>
            </w:r>
          </w:p>
        </w:tc>
        <w:tc>
          <w:tcPr>
            <w:tcW w:w="1030" w:type="dxa"/>
            <w:tcBorders>
              <w:top w:val="single" w:sz="18" w:space="0" w:color="7F7F7F" w:themeColor="text1" w:themeTint="80"/>
              <w:left w:val="single" w:sz="18" w:space="0" w:color="7F7F7F" w:themeColor="text1" w:themeTint="80"/>
            </w:tcBorders>
            <w:textDirection w:val="tbRl"/>
            <w:vAlign w:val="center"/>
          </w:tcPr>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 xml:space="preserve">National GDP </w:t>
            </w:r>
          </w:p>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Year 20</w:t>
            </w:r>
          </w:p>
        </w:tc>
        <w:tc>
          <w:tcPr>
            <w:tcW w:w="1043" w:type="dxa"/>
            <w:tcBorders>
              <w:top w:val="single" w:sz="18" w:space="0" w:color="7F7F7F" w:themeColor="text1" w:themeTint="80"/>
            </w:tcBorders>
            <w:textDirection w:val="tbRl"/>
            <w:vAlign w:val="center"/>
          </w:tcPr>
          <w:p w:rsidR="004B40A3" w:rsidRPr="00F66BB7" w:rsidRDefault="004B40A3" w:rsidP="00900B10">
            <w:pPr>
              <w:spacing w:before="0"/>
              <w:ind w:left="115" w:right="115"/>
              <w:rPr>
                <w:rFonts w:ascii="Times New Roman" w:hAnsi="Times New Roman" w:cs="Times New Roman"/>
                <w:b/>
                <w:sz w:val="20"/>
                <w:szCs w:val="20"/>
              </w:rPr>
            </w:pPr>
            <w:r w:rsidRPr="00F66BB7">
              <w:rPr>
                <w:rFonts w:ascii="Times New Roman" w:hAnsi="Times New Roman" w:cs="Times New Roman"/>
                <w:b/>
                <w:sz w:val="20"/>
                <w:szCs w:val="20"/>
              </w:rPr>
              <w:t xml:space="preserve">National employment  </w:t>
            </w:r>
          </w:p>
          <w:p w:rsidR="004B40A3" w:rsidRPr="00F66BB7" w:rsidRDefault="004B40A3" w:rsidP="00900B10">
            <w:pPr>
              <w:spacing w:before="0"/>
              <w:ind w:left="115" w:right="115"/>
              <w:rPr>
                <w:rFonts w:ascii="Times New Roman" w:hAnsi="Times New Roman" w:cs="Times New Roman"/>
                <w:b/>
                <w:sz w:val="20"/>
                <w:szCs w:val="20"/>
              </w:rPr>
            </w:pPr>
            <w:r w:rsidRPr="00F66BB7">
              <w:rPr>
                <w:rFonts w:ascii="Times New Roman" w:hAnsi="Times New Roman" w:cs="Times New Roman"/>
                <w:b/>
                <w:sz w:val="20"/>
                <w:szCs w:val="20"/>
              </w:rPr>
              <w:t>Year 20</w:t>
            </w:r>
          </w:p>
        </w:tc>
        <w:tc>
          <w:tcPr>
            <w:tcW w:w="1043" w:type="dxa"/>
            <w:tcBorders>
              <w:top w:val="single" w:sz="18" w:space="0" w:color="7F7F7F" w:themeColor="text1" w:themeTint="80"/>
            </w:tcBorders>
            <w:textDirection w:val="tbRl"/>
            <w:vAlign w:val="center"/>
          </w:tcPr>
          <w:p w:rsidR="004B40A3" w:rsidRPr="00F66BB7" w:rsidRDefault="004B40A3" w:rsidP="00900B10">
            <w:pPr>
              <w:spacing w:before="0"/>
              <w:ind w:left="115" w:right="115"/>
              <w:rPr>
                <w:rFonts w:ascii="Times New Roman" w:hAnsi="Times New Roman" w:cs="Times New Roman"/>
                <w:b/>
                <w:sz w:val="20"/>
                <w:szCs w:val="20"/>
              </w:rPr>
            </w:pPr>
            <w:r w:rsidRPr="00F66BB7">
              <w:rPr>
                <w:rFonts w:ascii="Times New Roman" w:hAnsi="Times New Roman" w:cs="Times New Roman"/>
                <w:b/>
                <w:sz w:val="20"/>
                <w:szCs w:val="20"/>
              </w:rPr>
              <w:t xml:space="preserve">Target  region GRP </w:t>
            </w:r>
          </w:p>
          <w:p w:rsidR="004B40A3" w:rsidRPr="00F66BB7" w:rsidRDefault="004B40A3" w:rsidP="00900B10">
            <w:pPr>
              <w:spacing w:before="0"/>
              <w:ind w:left="115" w:right="115"/>
              <w:rPr>
                <w:rFonts w:ascii="Times New Roman" w:hAnsi="Times New Roman" w:cs="Times New Roman"/>
                <w:b/>
                <w:sz w:val="20"/>
                <w:szCs w:val="20"/>
              </w:rPr>
            </w:pPr>
            <w:r w:rsidRPr="00F66BB7">
              <w:rPr>
                <w:rFonts w:ascii="Times New Roman" w:hAnsi="Times New Roman" w:cs="Times New Roman"/>
                <w:b/>
                <w:sz w:val="20"/>
                <w:szCs w:val="20"/>
              </w:rPr>
              <w:t>Year 20</w:t>
            </w:r>
          </w:p>
        </w:tc>
        <w:tc>
          <w:tcPr>
            <w:tcW w:w="1030" w:type="dxa"/>
            <w:tcBorders>
              <w:top w:val="single" w:sz="18" w:space="0" w:color="7F7F7F" w:themeColor="text1" w:themeTint="80"/>
            </w:tcBorders>
            <w:textDirection w:val="tbRl"/>
            <w:vAlign w:val="center"/>
          </w:tcPr>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 xml:space="preserve">Target  region employment  </w:t>
            </w:r>
          </w:p>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Year20</w:t>
            </w:r>
          </w:p>
        </w:tc>
        <w:tc>
          <w:tcPr>
            <w:tcW w:w="980" w:type="dxa"/>
            <w:tcBorders>
              <w:top w:val="single" w:sz="18" w:space="0" w:color="7F7F7F" w:themeColor="text1" w:themeTint="80"/>
            </w:tcBorders>
            <w:textDirection w:val="tbRl"/>
            <w:vAlign w:val="center"/>
          </w:tcPr>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 xml:space="preserve">National welfare </w:t>
            </w:r>
          </w:p>
          <w:p w:rsidR="004B40A3" w:rsidRPr="00BD714E" w:rsidRDefault="004B40A3" w:rsidP="00900B10">
            <w:pPr>
              <w:spacing w:before="0"/>
              <w:ind w:left="115" w:right="115"/>
              <w:rPr>
                <w:rFonts w:ascii="Times New Roman" w:hAnsi="Times New Roman" w:cs="Times New Roman"/>
                <w:b/>
                <w:sz w:val="20"/>
                <w:szCs w:val="20"/>
              </w:rPr>
            </w:pPr>
            <w:r>
              <w:rPr>
                <w:rFonts w:ascii="Times New Roman" w:hAnsi="Times New Roman" w:cs="Times New Roman"/>
                <w:b/>
                <w:sz w:val="20"/>
                <w:szCs w:val="20"/>
              </w:rPr>
              <w:t>a</w:t>
            </w:r>
            <w:r w:rsidRPr="00BD714E">
              <w:rPr>
                <w:rFonts w:ascii="Times New Roman" w:hAnsi="Times New Roman" w:cs="Times New Roman"/>
                <w:b/>
                <w:sz w:val="20"/>
                <w:szCs w:val="20"/>
              </w:rPr>
              <w:t>ccumulated years 1 to 20</w:t>
            </w:r>
            <w:r>
              <w:rPr>
                <w:rFonts w:ascii="Times New Roman" w:hAnsi="Times New Roman" w:cs="Times New Roman"/>
                <w:b/>
                <w:sz w:val="20"/>
                <w:szCs w:val="20"/>
              </w:rPr>
              <w:t>, discount rate 0.05</w:t>
            </w:r>
          </w:p>
        </w:tc>
        <w:tc>
          <w:tcPr>
            <w:tcW w:w="1053" w:type="dxa"/>
            <w:tcBorders>
              <w:top w:val="single" w:sz="18" w:space="0" w:color="7F7F7F" w:themeColor="text1" w:themeTint="80"/>
            </w:tcBorders>
            <w:textDirection w:val="tbRl"/>
          </w:tcPr>
          <w:p w:rsidR="004B40A3" w:rsidRPr="00BD714E" w:rsidRDefault="004B40A3" w:rsidP="00900B10">
            <w:pPr>
              <w:spacing w:before="0"/>
              <w:ind w:left="115" w:right="115"/>
              <w:rPr>
                <w:rFonts w:ascii="Times New Roman" w:hAnsi="Times New Roman" w:cs="Times New Roman"/>
                <w:b/>
                <w:sz w:val="20"/>
                <w:szCs w:val="20"/>
              </w:rPr>
            </w:pPr>
            <w:r w:rsidRPr="00BD714E">
              <w:rPr>
                <w:rFonts w:ascii="Times New Roman" w:hAnsi="Times New Roman" w:cs="Times New Roman"/>
                <w:b/>
                <w:sz w:val="20"/>
                <w:szCs w:val="20"/>
              </w:rPr>
              <w:t xml:space="preserve">National welfare </w:t>
            </w:r>
          </w:p>
          <w:p w:rsidR="004B40A3" w:rsidRPr="00BD714E" w:rsidRDefault="004B40A3" w:rsidP="00900B10">
            <w:pPr>
              <w:spacing w:before="0"/>
              <w:ind w:left="115" w:right="115"/>
              <w:rPr>
                <w:rFonts w:ascii="Times New Roman" w:hAnsi="Times New Roman" w:cs="Times New Roman"/>
                <w:b/>
                <w:sz w:val="20"/>
                <w:szCs w:val="20"/>
              </w:rPr>
            </w:pPr>
            <w:r>
              <w:rPr>
                <w:rFonts w:ascii="Times New Roman" w:hAnsi="Times New Roman" w:cs="Times New Roman"/>
                <w:b/>
                <w:sz w:val="20"/>
                <w:szCs w:val="20"/>
              </w:rPr>
              <w:t>a</w:t>
            </w:r>
            <w:r w:rsidRPr="00BD714E">
              <w:rPr>
                <w:rFonts w:ascii="Times New Roman" w:hAnsi="Times New Roman" w:cs="Times New Roman"/>
                <w:b/>
                <w:sz w:val="20"/>
                <w:szCs w:val="20"/>
              </w:rPr>
              <w:t>ccumulated years 1 to 20</w:t>
            </w:r>
            <w:r>
              <w:rPr>
                <w:rFonts w:ascii="Times New Roman" w:hAnsi="Times New Roman" w:cs="Times New Roman"/>
                <w:b/>
                <w:sz w:val="20"/>
                <w:szCs w:val="20"/>
              </w:rPr>
              <w:t>, discount rate 0.02</w:t>
            </w:r>
          </w:p>
        </w:tc>
      </w:tr>
      <w:tr w:rsidR="004B40A3" w:rsidTr="00B6529C">
        <w:tc>
          <w:tcPr>
            <w:tcW w:w="4051" w:type="dxa"/>
            <w:gridSpan w:val="2"/>
            <w:tcBorders>
              <w:top w:val="single" w:sz="18" w:space="0" w:color="7F7F7F" w:themeColor="text1" w:themeTint="80"/>
              <w:right w:val="single" w:sz="18" w:space="0" w:color="7F7F7F" w:themeColor="text1" w:themeTint="80"/>
            </w:tcBorders>
          </w:tcPr>
          <w:p w:rsidR="004B40A3" w:rsidRPr="00BD714E" w:rsidRDefault="004B40A3" w:rsidP="00B6529C">
            <w:pPr>
              <w:tabs>
                <w:tab w:val="left" w:pos="146"/>
                <w:tab w:val="left" w:pos="438"/>
              </w:tabs>
              <w:spacing w:before="0"/>
              <w:rPr>
                <w:rFonts w:ascii="Times New Roman" w:hAnsi="Times New Roman" w:cs="Times New Roman"/>
                <w:b/>
                <w:sz w:val="20"/>
                <w:szCs w:val="20"/>
              </w:rPr>
            </w:pPr>
            <w:r w:rsidRPr="00BD714E">
              <w:rPr>
                <w:rFonts w:ascii="Times New Roman" w:hAnsi="Times New Roman" w:cs="Times New Roman"/>
                <w:b/>
                <w:sz w:val="20"/>
                <w:szCs w:val="20"/>
              </w:rPr>
              <w:t xml:space="preserve">1.  Value of capital taken out of use in target region </w:t>
            </w:r>
          </w:p>
        </w:tc>
        <w:tc>
          <w:tcPr>
            <w:tcW w:w="832" w:type="dxa"/>
            <w:tcBorders>
              <w:top w:val="single" w:sz="18" w:space="0" w:color="7F7F7F" w:themeColor="text1" w:themeTint="80"/>
              <w:left w:val="single" w:sz="18" w:space="0" w:color="7F7F7F" w:themeColor="text1" w:themeTint="80"/>
            </w:tcBorders>
          </w:tcPr>
          <w:p w:rsidR="004B40A3" w:rsidRDefault="004B40A3" w:rsidP="00B6529C">
            <w:pPr>
              <w:jc w:val="right"/>
              <w:rPr>
                <w:color w:val="000000"/>
                <w:sz w:val="18"/>
                <w:szCs w:val="18"/>
              </w:rPr>
            </w:pPr>
            <w:r>
              <w:rPr>
                <w:color w:val="000000"/>
                <w:sz w:val="18"/>
                <w:szCs w:val="18"/>
              </w:rPr>
              <w:t>-0.0019</w:t>
            </w:r>
          </w:p>
        </w:tc>
        <w:tc>
          <w:tcPr>
            <w:tcW w:w="1030" w:type="dxa"/>
            <w:tcBorders>
              <w:top w:val="single" w:sz="18" w:space="0" w:color="7F7F7F" w:themeColor="text1" w:themeTint="80"/>
            </w:tcBorders>
          </w:tcPr>
          <w:p w:rsidR="004B40A3" w:rsidRDefault="004B40A3" w:rsidP="00B6529C">
            <w:pPr>
              <w:jc w:val="right"/>
              <w:rPr>
                <w:color w:val="000000"/>
                <w:sz w:val="18"/>
                <w:szCs w:val="18"/>
              </w:rPr>
            </w:pPr>
            <w:r>
              <w:rPr>
                <w:color w:val="000000"/>
                <w:sz w:val="18"/>
                <w:szCs w:val="18"/>
              </w:rPr>
              <w:t>-0.0012</w:t>
            </w:r>
          </w:p>
        </w:tc>
        <w:tc>
          <w:tcPr>
            <w:tcW w:w="1041" w:type="dxa"/>
            <w:tcBorders>
              <w:top w:val="single" w:sz="18" w:space="0" w:color="7F7F7F" w:themeColor="text1" w:themeTint="80"/>
            </w:tcBorders>
          </w:tcPr>
          <w:p w:rsidR="004B40A3" w:rsidRDefault="004B40A3" w:rsidP="00B6529C">
            <w:pPr>
              <w:jc w:val="right"/>
              <w:rPr>
                <w:color w:val="000000"/>
                <w:sz w:val="18"/>
                <w:szCs w:val="18"/>
              </w:rPr>
            </w:pPr>
            <w:r>
              <w:rPr>
                <w:color w:val="000000"/>
                <w:sz w:val="18"/>
                <w:szCs w:val="18"/>
              </w:rPr>
              <w:t>-0.8668</w:t>
            </w:r>
          </w:p>
        </w:tc>
        <w:tc>
          <w:tcPr>
            <w:tcW w:w="1041" w:type="dxa"/>
            <w:tcBorders>
              <w:top w:val="single" w:sz="18" w:space="0" w:color="7F7F7F" w:themeColor="text1" w:themeTint="80"/>
              <w:right w:val="single" w:sz="18" w:space="0" w:color="7F7F7F" w:themeColor="text1" w:themeTint="80"/>
            </w:tcBorders>
          </w:tcPr>
          <w:p w:rsidR="004B40A3" w:rsidRDefault="004B40A3" w:rsidP="00B6529C">
            <w:pPr>
              <w:jc w:val="right"/>
              <w:rPr>
                <w:color w:val="000000"/>
                <w:sz w:val="18"/>
                <w:szCs w:val="18"/>
              </w:rPr>
            </w:pPr>
            <w:r>
              <w:rPr>
                <w:color w:val="000000"/>
                <w:sz w:val="18"/>
                <w:szCs w:val="18"/>
              </w:rPr>
              <w:t>-0.6980</w:t>
            </w:r>
          </w:p>
        </w:tc>
        <w:tc>
          <w:tcPr>
            <w:tcW w:w="1030" w:type="dxa"/>
            <w:tcBorders>
              <w:top w:val="single" w:sz="18" w:space="0" w:color="7F7F7F" w:themeColor="text1" w:themeTint="80"/>
              <w:left w:val="single" w:sz="18" w:space="0" w:color="7F7F7F" w:themeColor="text1" w:themeTint="80"/>
            </w:tcBorders>
          </w:tcPr>
          <w:p w:rsidR="004B40A3" w:rsidRDefault="004B40A3" w:rsidP="00B6529C">
            <w:pPr>
              <w:jc w:val="right"/>
              <w:rPr>
                <w:color w:val="000000"/>
                <w:sz w:val="18"/>
                <w:szCs w:val="18"/>
              </w:rPr>
            </w:pPr>
            <w:r>
              <w:rPr>
                <w:color w:val="000000"/>
                <w:sz w:val="18"/>
                <w:szCs w:val="18"/>
              </w:rPr>
              <w:t>0.0000</w:t>
            </w:r>
          </w:p>
        </w:tc>
        <w:tc>
          <w:tcPr>
            <w:tcW w:w="1043" w:type="dxa"/>
            <w:tcBorders>
              <w:top w:val="single" w:sz="18" w:space="0" w:color="7F7F7F" w:themeColor="text1" w:themeTint="80"/>
            </w:tcBorders>
          </w:tcPr>
          <w:p w:rsidR="004B40A3" w:rsidRDefault="004B40A3" w:rsidP="00B6529C">
            <w:pPr>
              <w:jc w:val="right"/>
              <w:rPr>
                <w:color w:val="000000"/>
                <w:sz w:val="18"/>
                <w:szCs w:val="18"/>
              </w:rPr>
            </w:pPr>
            <w:r>
              <w:rPr>
                <w:color w:val="000000"/>
                <w:sz w:val="18"/>
                <w:szCs w:val="18"/>
              </w:rPr>
              <w:t>0.0000</w:t>
            </w:r>
          </w:p>
        </w:tc>
        <w:tc>
          <w:tcPr>
            <w:tcW w:w="1043" w:type="dxa"/>
            <w:tcBorders>
              <w:top w:val="single" w:sz="18" w:space="0" w:color="7F7F7F" w:themeColor="text1" w:themeTint="80"/>
            </w:tcBorders>
          </w:tcPr>
          <w:p w:rsidR="004B40A3" w:rsidRDefault="004B40A3" w:rsidP="00B6529C">
            <w:pPr>
              <w:jc w:val="right"/>
              <w:rPr>
                <w:color w:val="000000"/>
                <w:sz w:val="18"/>
                <w:szCs w:val="18"/>
              </w:rPr>
            </w:pPr>
            <w:r>
              <w:rPr>
                <w:color w:val="000000"/>
                <w:sz w:val="18"/>
                <w:szCs w:val="18"/>
              </w:rPr>
              <w:t>-0.0160</w:t>
            </w:r>
          </w:p>
        </w:tc>
        <w:tc>
          <w:tcPr>
            <w:tcW w:w="1030" w:type="dxa"/>
            <w:tcBorders>
              <w:top w:val="single" w:sz="18" w:space="0" w:color="7F7F7F" w:themeColor="text1" w:themeTint="80"/>
            </w:tcBorders>
          </w:tcPr>
          <w:p w:rsidR="004B40A3" w:rsidRDefault="004B40A3" w:rsidP="00B6529C">
            <w:pPr>
              <w:jc w:val="right"/>
              <w:rPr>
                <w:color w:val="000000"/>
                <w:sz w:val="18"/>
                <w:szCs w:val="18"/>
              </w:rPr>
            </w:pPr>
            <w:r>
              <w:rPr>
                <w:color w:val="000000"/>
                <w:sz w:val="18"/>
                <w:szCs w:val="18"/>
              </w:rPr>
              <w:t>0.0087</w:t>
            </w:r>
          </w:p>
        </w:tc>
        <w:tc>
          <w:tcPr>
            <w:tcW w:w="980" w:type="dxa"/>
            <w:tcBorders>
              <w:top w:val="single" w:sz="18" w:space="0" w:color="7F7F7F" w:themeColor="text1" w:themeTint="80"/>
            </w:tcBorders>
          </w:tcPr>
          <w:p w:rsidR="004B40A3" w:rsidRDefault="004B40A3" w:rsidP="00B6529C">
            <w:pPr>
              <w:jc w:val="right"/>
              <w:rPr>
                <w:color w:val="000000"/>
                <w:sz w:val="18"/>
                <w:szCs w:val="18"/>
              </w:rPr>
            </w:pPr>
            <w:r>
              <w:rPr>
                <w:color w:val="000000"/>
                <w:sz w:val="18"/>
                <w:szCs w:val="18"/>
              </w:rPr>
              <w:t>-0.0109</w:t>
            </w:r>
          </w:p>
        </w:tc>
        <w:tc>
          <w:tcPr>
            <w:tcW w:w="1053" w:type="dxa"/>
            <w:tcBorders>
              <w:top w:val="single" w:sz="18" w:space="0" w:color="7F7F7F" w:themeColor="text1" w:themeTint="80"/>
            </w:tcBorders>
          </w:tcPr>
          <w:p w:rsidR="004B40A3" w:rsidRDefault="004B40A3" w:rsidP="00B6529C">
            <w:pPr>
              <w:jc w:val="right"/>
              <w:rPr>
                <w:color w:val="000000"/>
                <w:sz w:val="18"/>
                <w:szCs w:val="18"/>
              </w:rPr>
            </w:pPr>
            <w:r>
              <w:rPr>
                <w:color w:val="000000"/>
                <w:sz w:val="18"/>
                <w:szCs w:val="18"/>
              </w:rPr>
              <w:t>-0.0146</w:t>
            </w:r>
          </w:p>
        </w:tc>
      </w:tr>
      <w:tr w:rsidR="004B40A3" w:rsidTr="00B6529C">
        <w:tc>
          <w:tcPr>
            <w:tcW w:w="4051" w:type="dxa"/>
            <w:gridSpan w:val="2"/>
            <w:tcBorders>
              <w:right w:val="single" w:sz="18" w:space="0" w:color="7F7F7F" w:themeColor="text1" w:themeTint="80"/>
            </w:tcBorders>
          </w:tcPr>
          <w:p w:rsidR="004B40A3" w:rsidRPr="00BD714E" w:rsidRDefault="004B40A3" w:rsidP="00B6529C">
            <w:pPr>
              <w:tabs>
                <w:tab w:val="left" w:pos="146"/>
                <w:tab w:val="left" w:pos="438"/>
              </w:tabs>
              <w:spacing w:before="0"/>
              <w:rPr>
                <w:rFonts w:ascii="Times New Roman" w:hAnsi="Times New Roman" w:cs="Times New Roman"/>
                <w:b/>
                <w:sz w:val="20"/>
                <w:szCs w:val="20"/>
              </w:rPr>
            </w:pPr>
            <w:r w:rsidRPr="00BD714E">
              <w:rPr>
                <w:rFonts w:ascii="Times New Roman" w:hAnsi="Times New Roman" w:cs="Times New Roman"/>
                <w:b/>
                <w:sz w:val="20"/>
                <w:szCs w:val="20"/>
              </w:rPr>
              <w:t xml:space="preserve">2.  Value of capital returned to use after 1yr in target region </w:t>
            </w:r>
          </w:p>
        </w:tc>
        <w:tc>
          <w:tcPr>
            <w:tcW w:w="832" w:type="dxa"/>
            <w:tcBorders>
              <w:left w:val="single" w:sz="18" w:space="0" w:color="7F7F7F" w:themeColor="text1" w:themeTint="80"/>
            </w:tcBorders>
          </w:tcPr>
          <w:p w:rsidR="004B40A3" w:rsidRDefault="004B40A3" w:rsidP="00B6529C">
            <w:pPr>
              <w:jc w:val="right"/>
              <w:rPr>
                <w:color w:val="000000"/>
                <w:sz w:val="18"/>
                <w:szCs w:val="18"/>
              </w:rPr>
            </w:pPr>
            <w:r>
              <w:rPr>
                <w:color w:val="000000"/>
                <w:sz w:val="18"/>
                <w:szCs w:val="18"/>
              </w:rPr>
              <w:t>0.0000</w:t>
            </w:r>
          </w:p>
        </w:tc>
        <w:tc>
          <w:tcPr>
            <w:tcW w:w="1030" w:type="dxa"/>
          </w:tcPr>
          <w:p w:rsidR="004B40A3" w:rsidRDefault="004B40A3" w:rsidP="00B6529C">
            <w:pPr>
              <w:jc w:val="right"/>
              <w:rPr>
                <w:color w:val="000000"/>
                <w:sz w:val="18"/>
                <w:szCs w:val="18"/>
              </w:rPr>
            </w:pPr>
            <w:r>
              <w:rPr>
                <w:color w:val="000000"/>
                <w:sz w:val="18"/>
                <w:szCs w:val="18"/>
              </w:rPr>
              <w:t>0.0000</w:t>
            </w:r>
          </w:p>
        </w:tc>
        <w:tc>
          <w:tcPr>
            <w:tcW w:w="1041" w:type="dxa"/>
          </w:tcPr>
          <w:p w:rsidR="004B40A3" w:rsidRDefault="004B40A3" w:rsidP="00B6529C">
            <w:pPr>
              <w:jc w:val="right"/>
              <w:rPr>
                <w:color w:val="000000"/>
                <w:sz w:val="18"/>
                <w:szCs w:val="18"/>
              </w:rPr>
            </w:pPr>
            <w:r>
              <w:rPr>
                <w:color w:val="000000"/>
                <w:sz w:val="18"/>
                <w:szCs w:val="18"/>
              </w:rPr>
              <w:t>0.0000</w:t>
            </w:r>
          </w:p>
        </w:tc>
        <w:tc>
          <w:tcPr>
            <w:tcW w:w="1041" w:type="dxa"/>
            <w:tcBorders>
              <w:right w:val="single" w:sz="18" w:space="0" w:color="7F7F7F" w:themeColor="text1" w:themeTint="80"/>
            </w:tcBorders>
          </w:tcPr>
          <w:p w:rsidR="004B40A3" w:rsidRDefault="004B40A3" w:rsidP="00B6529C">
            <w:pPr>
              <w:jc w:val="right"/>
              <w:rPr>
                <w:color w:val="000000"/>
                <w:sz w:val="18"/>
                <w:szCs w:val="18"/>
              </w:rPr>
            </w:pPr>
            <w:r>
              <w:rPr>
                <w:color w:val="000000"/>
                <w:sz w:val="18"/>
                <w:szCs w:val="18"/>
              </w:rPr>
              <w:t>0.0000</w:t>
            </w:r>
          </w:p>
        </w:tc>
        <w:tc>
          <w:tcPr>
            <w:tcW w:w="1030" w:type="dxa"/>
            <w:tcBorders>
              <w:left w:val="single" w:sz="18" w:space="0" w:color="7F7F7F" w:themeColor="text1" w:themeTint="80"/>
            </w:tcBorders>
          </w:tcPr>
          <w:p w:rsidR="004B40A3" w:rsidRDefault="004B40A3" w:rsidP="00B6529C">
            <w:pPr>
              <w:jc w:val="right"/>
              <w:rPr>
                <w:color w:val="000000"/>
                <w:sz w:val="18"/>
                <w:szCs w:val="18"/>
              </w:rPr>
            </w:pPr>
            <w:r>
              <w:rPr>
                <w:color w:val="000000"/>
                <w:sz w:val="18"/>
                <w:szCs w:val="18"/>
              </w:rPr>
              <w:t>0.0000</w:t>
            </w:r>
          </w:p>
        </w:tc>
        <w:tc>
          <w:tcPr>
            <w:tcW w:w="1043" w:type="dxa"/>
          </w:tcPr>
          <w:p w:rsidR="004B40A3" w:rsidRDefault="004B40A3" w:rsidP="00B6529C">
            <w:pPr>
              <w:jc w:val="right"/>
              <w:rPr>
                <w:color w:val="000000"/>
                <w:sz w:val="18"/>
                <w:szCs w:val="18"/>
              </w:rPr>
            </w:pPr>
            <w:r>
              <w:rPr>
                <w:color w:val="000000"/>
                <w:sz w:val="18"/>
                <w:szCs w:val="18"/>
              </w:rPr>
              <w:t>-0.0001</w:t>
            </w:r>
          </w:p>
        </w:tc>
        <w:tc>
          <w:tcPr>
            <w:tcW w:w="1043" w:type="dxa"/>
          </w:tcPr>
          <w:p w:rsidR="004B40A3" w:rsidRDefault="004B40A3" w:rsidP="00B6529C">
            <w:pPr>
              <w:jc w:val="right"/>
              <w:rPr>
                <w:color w:val="000000"/>
                <w:sz w:val="18"/>
                <w:szCs w:val="18"/>
              </w:rPr>
            </w:pPr>
            <w:r>
              <w:rPr>
                <w:color w:val="000000"/>
                <w:sz w:val="18"/>
                <w:szCs w:val="18"/>
              </w:rPr>
              <w:t>0.0359</w:t>
            </w:r>
          </w:p>
        </w:tc>
        <w:tc>
          <w:tcPr>
            <w:tcW w:w="1030" w:type="dxa"/>
          </w:tcPr>
          <w:p w:rsidR="004B40A3" w:rsidRDefault="004B40A3" w:rsidP="00B6529C">
            <w:pPr>
              <w:jc w:val="right"/>
              <w:rPr>
                <w:color w:val="000000"/>
                <w:sz w:val="18"/>
                <w:szCs w:val="18"/>
              </w:rPr>
            </w:pPr>
            <w:r>
              <w:rPr>
                <w:color w:val="000000"/>
                <w:sz w:val="18"/>
                <w:szCs w:val="18"/>
              </w:rPr>
              <w:t>-0.0013</w:t>
            </w:r>
          </w:p>
        </w:tc>
        <w:tc>
          <w:tcPr>
            <w:tcW w:w="980" w:type="dxa"/>
          </w:tcPr>
          <w:p w:rsidR="004B40A3" w:rsidRDefault="004B40A3" w:rsidP="00B6529C">
            <w:pPr>
              <w:jc w:val="right"/>
              <w:rPr>
                <w:color w:val="000000"/>
                <w:sz w:val="18"/>
                <w:szCs w:val="18"/>
              </w:rPr>
            </w:pPr>
            <w:r>
              <w:rPr>
                <w:color w:val="000000"/>
                <w:sz w:val="18"/>
                <w:szCs w:val="18"/>
              </w:rPr>
              <w:t>0.0104</w:t>
            </w:r>
          </w:p>
        </w:tc>
        <w:tc>
          <w:tcPr>
            <w:tcW w:w="1053" w:type="dxa"/>
          </w:tcPr>
          <w:p w:rsidR="004B40A3" w:rsidRDefault="004B40A3" w:rsidP="00B6529C">
            <w:pPr>
              <w:jc w:val="right"/>
              <w:rPr>
                <w:color w:val="000000"/>
                <w:sz w:val="18"/>
                <w:szCs w:val="18"/>
              </w:rPr>
            </w:pPr>
            <w:r>
              <w:rPr>
                <w:color w:val="000000"/>
                <w:sz w:val="18"/>
                <w:szCs w:val="18"/>
              </w:rPr>
              <w:t>0.0145</w:t>
            </w:r>
          </w:p>
        </w:tc>
      </w:tr>
      <w:tr w:rsidR="004B40A3" w:rsidTr="00B6529C">
        <w:tc>
          <w:tcPr>
            <w:tcW w:w="4051" w:type="dxa"/>
            <w:gridSpan w:val="2"/>
            <w:tcBorders>
              <w:right w:val="single" w:sz="18" w:space="0" w:color="7F7F7F" w:themeColor="text1" w:themeTint="80"/>
            </w:tcBorders>
          </w:tcPr>
          <w:p w:rsidR="004B40A3" w:rsidRPr="00BD714E" w:rsidRDefault="004B40A3" w:rsidP="00B6529C">
            <w:pPr>
              <w:tabs>
                <w:tab w:val="left" w:pos="146"/>
                <w:tab w:val="left" w:pos="438"/>
              </w:tabs>
              <w:spacing w:before="0"/>
              <w:rPr>
                <w:rFonts w:ascii="Times New Roman" w:hAnsi="Times New Roman" w:cs="Times New Roman"/>
                <w:b/>
                <w:sz w:val="20"/>
                <w:szCs w:val="20"/>
              </w:rPr>
            </w:pPr>
            <w:r w:rsidRPr="00BD714E">
              <w:rPr>
                <w:rFonts w:ascii="Times New Roman" w:hAnsi="Times New Roman" w:cs="Times New Roman"/>
                <w:b/>
                <w:sz w:val="20"/>
                <w:szCs w:val="20"/>
              </w:rPr>
              <w:t xml:space="preserve">3.  Public expenditure in target city, </w:t>
            </w:r>
            <w:r w:rsidR="00B6529C">
              <w:rPr>
                <w:rFonts w:ascii="Times New Roman" w:hAnsi="Times New Roman" w:cs="Times New Roman"/>
                <w:b/>
                <w:sz w:val="20"/>
                <w:szCs w:val="20"/>
              </w:rPr>
              <w:t>clean-up</w:t>
            </w:r>
            <w:r w:rsidRPr="00BD714E">
              <w:rPr>
                <w:rFonts w:ascii="Times New Roman" w:hAnsi="Times New Roman" w:cs="Times New Roman"/>
                <w:b/>
                <w:sz w:val="20"/>
                <w:szCs w:val="20"/>
              </w:rPr>
              <w:t xml:space="preserve">  </w:t>
            </w:r>
          </w:p>
        </w:tc>
        <w:tc>
          <w:tcPr>
            <w:tcW w:w="832" w:type="dxa"/>
            <w:tcBorders>
              <w:left w:val="single" w:sz="18" w:space="0" w:color="7F7F7F" w:themeColor="text1" w:themeTint="80"/>
            </w:tcBorders>
          </w:tcPr>
          <w:p w:rsidR="004B40A3" w:rsidRDefault="004B40A3" w:rsidP="00B6529C">
            <w:pPr>
              <w:jc w:val="right"/>
              <w:rPr>
                <w:color w:val="000000"/>
                <w:sz w:val="18"/>
                <w:szCs w:val="18"/>
              </w:rPr>
            </w:pPr>
            <w:r>
              <w:rPr>
                <w:color w:val="000000"/>
                <w:sz w:val="18"/>
                <w:szCs w:val="18"/>
              </w:rPr>
              <w:t>0.0027</w:t>
            </w:r>
          </w:p>
        </w:tc>
        <w:tc>
          <w:tcPr>
            <w:tcW w:w="1030" w:type="dxa"/>
          </w:tcPr>
          <w:p w:rsidR="004B40A3" w:rsidRDefault="004B40A3" w:rsidP="00B6529C">
            <w:pPr>
              <w:jc w:val="right"/>
              <w:rPr>
                <w:color w:val="000000"/>
                <w:sz w:val="18"/>
                <w:szCs w:val="18"/>
              </w:rPr>
            </w:pPr>
            <w:r>
              <w:rPr>
                <w:color w:val="000000"/>
                <w:sz w:val="18"/>
                <w:szCs w:val="18"/>
              </w:rPr>
              <w:t>0.0052</w:t>
            </w:r>
          </w:p>
        </w:tc>
        <w:tc>
          <w:tcPr>
            <w:tcW w:w="1041" w:type="dxa"/>
          </w:tcPr>
          <w:p w:rsidR="004B40A3" w:rsidRDefault="004B40A3" w:rsidP="00B6529C">
            <w:pPr>
              <w:jc w:val="right"/>
              <w:rPr>
                <w:color w:val="000000"/>
                <w:sz w:val="18"/>
                <w:szCs w:val="18"/>
              </w:rPr>
            </w:pPr>
            <w:r>
              <w:rPr>
                <w:color w:val="000000"/>
                <w:sz w:val="18"/>
                <w:szCs w:val="18"/>
              </w:rPr>
              <w:t>0.0141</w:t>
            </w:r>
          </w:p>
        </w:tc>
        <w:tc>
          <w:tcPr>
            <w:tcW w:w="1041" w:type="dxa"/>
            <w:tcBorders>
              <w:right w:val="single" w:sz="18" w:space="0" w:color="7F7F7F" w:themeColor="text1" w:themeTint="80"/>
            </w:tcBorders>
          </w:tcPr>
          <w:p w:rsidR="004B40A3" w:rsidRDefault="004B40A3" w:rsidP="00B6529C">
            <w:pPr>
              <w:jc w:val="right"/>
              <w:rPr>
                <w:color w:val="000000"/>
                <w:sz w:val="18"/>
                <w:szCs w:val="18"/>
              </w:rPr>
            </w:pPr>
            <w:r>
              <w:rPr>
                <w:color w:val="000000"/>
                <w:sz w:val="18"/>
                <w:szCs w:val="18"/>
              </w:rPr>
              <w:t>0.0287</w:t>
            </w:r>
          </w:p>
        </w:tc>
        <w:tc>
          <w:tcPr>
            <w:tcW w:w="1030" w:type="dxa"/>
            <w:tcBorders>
              <w:left w:val="single" w:sz="18" w:space="0" w:color="7F7F7F" w:themeColor="text1" w:themeTint="80"/>
            </w:tcBorders>
          </w:tcPr>
          <w:p w:rsidR="004B40A3" w:rsidRDefault="004B40A3" w:rsidP="00B6529C">
            <w:pPr>
              <w:jc w:val="right"/>
              <w:rPr>
                <w:color w:val="000000"/>
                <w:sz w:val="18"/>
                <w:szCs w:val="18"/>
              </w:rPr>
            </w:pPr>
            <w:r>
              <w:rPr>
                <w:color w:val="000000"/>
                <w:sz w:val="18"/>
                <w:szCs w:val="18"/>
              </w:rPr>
              <w:t>0.0000</w:t>
            </w:r>
          </w:p>
        </w:tc>
        <w:tc>
          <w:tcPr>
            <w:tcW w:w="1043" w:type="dxa"/>
          </w:tcPr>
          <w:p w:rsidR="004B40A3" w:rsidRDefault="004B40A3" w:rsidP="00B6529C">
            <w:pPr>
              <w:jc w:val="right"/>
              <w:rPr>
                <w:color w:val="000000"/>
                <w:sz w:val="18"/>
                <w:szCs w:val="18"/>
              </w:rPr>
            </w:pPr>
            <w:r>
              <w:rPr>
                <w:color w:val="000000"/>
                <w:sz w:val="18"/>
                <w:szCs w:val="18"/>
              </w:rPr>
              <w:t>0.0000</w:t>
            </w:r>
          </w:p>
        </w:tc>
        <w:tc>
          <w:tcPr>
            <w:tcW w:w="1043" w:type="dxa"/>
          </w:tcPr>
          <w:p w:rsidR="004B40A3" w:rsidRDefault="004B40A3" w:rsidP="00B6529C">
            <w:pPr>
              <w:jc w:val="right"/>
              <w:rPr>
                <w:color w:val="000000"/>
                <w:sz w:val="18"/>
                <w:szCs w:val="18"/>
              </w:rPr>
            </w:pPr>
            <w:r>
              <w:rPr>
                <w:color w:val="000000"/>
                <w:sz w:val="18"/>
                <w:szCs w:val="18"/>
              </w:rPr>
              <w:t>-0.0006</w:t>
            </w:r>
          </w:p>
        </w:tc>
        <w:tc>
          <w:tcPr>
            <w:tcW w:w="1030" w:type="dxa"/>
          </w:tcPr>
          <w:p w:rsidR="004B40A3" w:rsidRDefault="004B40A3" w:rsidP="00B6529C">
            <w:pPr>
              <w:jc w:val="right"/>
              <w:rPr>
                <w:color w:val="000000"/>
                <w:sz w:val="18"/>
                <w:szCs w:val="18"/>
              </w:rPr>
            </w:pPr>
            <w:r>
              <w:rPr>
                <w:color w:val="000000"/>
                <w:sz w:val="18"/>
                <w:szCs w:val="18"/>
              </w:rPr>
              <w:t>-0.0002</w:t>
            </w:r>
          </w:p>
        </w:tc>
        <w:tc>
          <w:tcPr>
            <w:tcW w:w="980" w:type="dxa"/>
          </w:tcPr>
          <w:p w:rsidR="004B40A3" w:rsidRDefault="004B40A3" w:rsidP="00B6529C">
            <w:pPr>
              <w:jc w:val="right"/>
              <w:rPr>
                <w:color w:val="000000"/>
                <w:sz w:val="18"/>
                <w:szCs w:val="18"/>
              </w:rPr>
            </w:pPr>
            <w:r>
              <w:rPr>
                <w:color w:val="000000"/>
                <w:sz w:val="18"/>
                <w:szCs w:val="18"/>
              </w:rPr>
              <w:t>-0.0022</w:t>
            </w:r>
          </w:p>
        </w:tc>
        <w:tc>
          <w:tcPr>
            <w:tcW w:w="1053" w:type="dxa"/>
          </w:tcPr>
          <w:p w:rsidR="004B40A3" w:rsidRDefault="004B40A3" w:rsidP="00B6529C">
            <w:pPr>
              <w:jc w:val="right"/>
              <w:rPr>
                <w:color w:val="000000"/>
                <w:sz w:val="18"/>
                <w:szCs w:val="18"/>
              </w:rPr>
            </w:pPr>
            <w:r>
              <w:rPr>
                <w:color w:val="000000"/>
                <w:sz w:val="18"/>
                <w:szCs w:val="18"/>
              </w:rPr>
              <w:t>-0.0038</w:t>
            </w:r>
          </w:p>
        </w:tc>
      </w:tr>
      <w:tr w:rsidR="004B40A3" w:rsidTr="00B6529C">
        <w:tc>
          <w:tcPr>
            <w:tcW w:w="4051" w:type="dxa"/>
            <w:gridSpan w:val="2"/>
            <w:tcBorders>
              <w:right w:val="single" w:sz="18" w:space="0" w:color="7F7F7F" w:themeColor="text1" w:themeTint="80"/>
            </w:tcBorders>
          </w:tcPr>
          <w:p w:rsidR="004B40A3" w:rsidRPr="00BD714E" w:rsidRDefault="004B40A3" w:rsidP="00B6529C">
            <w:pPr>
              <w:tabs>
                <w:tab w:val="left" w:pos="146"/>
                <w:tab w:val="left" w:pos="438"/>
              </w:tabs>
              <w:spacing w:before="0"/>
              <w:rPr>
                <w:rFonts w:ascii="Times New Roman" w:hAnsi="Times New Roman" w:cs="Times New Roman"/>
                <w:b/>
                <w:sz w:val="20"/>
                <w:szCs w:val="20"/>
              </w:rPr>
            </w:pPr>
            <w:r w:rsidRPr="00BD714E">
              <w:rPr>
                <w:rFonts w:ascii="Times New Roman" w:hAnsi="Times New Roman" w:cs="Times New Roman"/>
                <w:b/>
                <w:sz w:val="20"/>
                <w:szCs w:val="20"/>
              </w:rPr>
              <w:t>4.  Public health expenditures in target city</w:t>
            </w:r>
          </w:p>
        </w:tc>
        <w:tc>
          <w:tcPr>
            <w:tcW w:w="832" w:type="dxa"/>
            <w:tcBorders>
              <w:left w:val="single" w:sz="18" w:space="0" w:color="7F7F7F" w:themeColor="text1" w:themeTint="80"/>
            </w:tcBorders>
          </w:tcPr>
          <w:p w:rsidR="004B40A3" w:rsidRDefault="004B40A3" w:rsidP="00B6529C">
            <w:pPr>
              <w:jc w:val="right"/>
              <w:rPr>
                <w:color w:val="000000"/>
                <w:sz w:val="18"/>
                <w:szCs w:val="18"/>
              </w:rPr>
            </w:pPr>
            <w:r>
              <w:rPr>
                <w:color w:val="000000"/>
                <w:sz w:val="18"/>
                <w:szCs w:val="18"/>
              </w:rPr>
              <w:t>0.0001</w:t>
            </w:r>
          </w:p>
        </w:tc>
        <w:tc>
          <w:tcPr>
            <w:tcW w:w="1030" w:type="dxa"/>
          </w:tcPr>
          <w:p w:rsidR="004B40A3" w:rsidRDefault="004B40A3" w:rsidP="00B6529C">
            <w:pPr>
              <w:jc w:val="right"/>
              <w:rPr>
                <w:color w:val="000000"/>
                <w:sz w:val="18"/>
                <w:szCs w:val="18"/>
              </w:rPr>
            </w:pPr>
            <w:r>
              <w:rPr>
                <w:color w:val="000000"/>
                <w:sz w:val="18"/>
                <w:szCs w:val="18"/>
              </w:rPr>
              <w:t>0.0003</w:t>
            </w:r>
          </w:p>
        </w:tc>
        <w:tc>
          <w:tcPr>
            <w:tcW w:w="1041" w:type="dxa"/>
          </w:tcPr>
          <w:p w:rsidR="004B40A3" w:rsidRDefault="004B40A3" w:rsidP="00B6529C">
            <w:pPr>
              <w:jc w:val="right"/>
              <w:rPr>
                <w:color w:val="000000"/>
                <w:sz w:val="18"/>
                <w:szCs w:val="18"/>
              </w:rPr>
            </w:pPr>
            <w:r>
              <w:rPr>
                <w:color w:val="000000"/>
                <w:sz w:val="18"/>
                <w:szCs w:val="18"/>
              </w:rPr>
              <w:t>0.0016</w:t>
            </w:r>
          </w:p>
        </w:tc>
        <w:tc>
          <w:tcPr>
            <w:tcW w:w="1041" w:type="dxa"/>
            <w:tcBorders>
              <w:right w:val="single" w:sz="18" w:space="0" w:color="7F7F7F" w:themeColor="text1" w:themeTint="80"/>
            </w:tcBorders>
          </w:tcPr>
          <w:p w:rsidR="004B40A3" w:rsidRDefault="004B40A3" w:rsidP="00B6529C">
            <w:pPr>
              <w:jc w:val="right"/>
              <w:rPr>
                <w:color w:val="000000"/>
                <w:sz w:val="18"/>
                <w:szCs w:val="18"/>
              </w:rPr>
            </w:pPr>
            <w:r>
              <w:rPr>
                <w:color w:val="000000"/>
                <w:sz w:val="18"/>
                <w:szCs w:val="18"/>
              </w:rPr>
              <w:t>0.0031</w:t>
            </w:r>
          </w:p>
        </w:tc>
        <w:tc>
          <w:tcPr>
            <w:tcW w:w="1030" w:type="dxa"/>
            <w:tcBorders>
              <w:left w:val="single" w:sz="18" w:space="0" w:color="7F7F7F" w:themeColor="text1" w:themeTint="80"/>
            </w:tcBorders>
          </w:tcPr>
          <w:p w:rsidR="004B40A3" w:rsidRDefault="004B40A3" w:rsidP="00B6529C">
            <w:pPr>
              <w:jc w:val="right"/>
              <w:rPr>
                <w:color w:val="000000"/>
                <w:sz w:val="18"/>
                <w:szCs w:val="18"/>
              </w:rPr>
            </w:pPr>
            <w:r>
              <w:rPr>
                <w:color w:val="000000"/>
                <w:sz w:val="18"/>
                <w:szCs w:val="18"/>
              </w:rPr>
              <w:t>0.0000</w:t>
            </w:r>
          </w:p>
        </w:tc>
        <w:tc>
          <w:tcPr>
            <w:tcW w:w="1043" w:type="dxa"/>
          </w:tcPr>
          <w:p w:rsidR="004B40A3" w:rsidRDefault="004B40A3" w:rsidP="00B6529C">
            <w:pPr>
              <w:jc w:val="right"/>
              <w:rPr>
                <w:color w:val="000000"/>
                <w:sz w:val="18"/>
                <w:szCs w:val="18"/>
              </w:rPr>
            </w:pPr>
            <w:r>
              <w:rPr>
                <w:color w:val="000000"/>
                <w:sz w:val="18"/>
                <w:szCs w:val="18"/>
              </w:rPr>
              <w:t>0.0000</w:t>
            </w:r>
          </w:p>
        </w:tc>
        <w:tc>
          <w:tcPr>
            <w:tcW w:w="1043" w:type="dxa"/>
          </w:tcPr>
          <w:p w:rsidR="004B40A3" w:rsidRDefault="004B40A3" w:rsidP="00B6529C">
            <w:pPr>
              <w:jc w:val="right"/>
              <w:rPr>
                <w:color w:val="000000"/>
                <w:sz w:val="18"/>
                <w:szCs w:val="18"/>
              </w:rPr>
            </w:pPr>
            <w:r>
              <w:rPr>
                <w:color w:val="000000"/>
                <w:sz w:val="18"/>
                <w:szCs w:val="18"/>
              </w:rPr>
              <w:t>0.0000</w:t>
            </w:r>
          </w:p>
        </w:tc>
        <w:tc>
          <w:tcPr>
            <w:tcW w:w="1030" w:type="dxa"/>
          </w:tcPr>
          <w:p w:rsidR="004B40A3" w:rsidRDefault="004B40A3" w:rsidP="00B6529C">
            <w:pPr>
              <w:jc w:val="right"/>
              <w:rPr>
                <w:color w:val="000000"/>
                <w:sz w:val="18"/>
                <w:szCs w:val="18"/>
              </w:rPr>
            </w:pPr>
            <w:r>
              <w:rPr>
                <w:color w:val="000000"/>
                <w:sz w:val="18"/>
                <w:szCs w:val="18"/>
              </w:rPr>
              <w:t>0.0000</w:t>
            </w:r>
          </w:p>
        </w:tc>
        <w:tc>
          <w:tcPr>
            <w:tcW w:w="980" w:type="dxa"/>
          </w:tcPr>
          <w:p w:rsidR="004B40A3" w:rsidRDefault="004B40A3" w:rsidP="00B6529C">
            <w:pPr>
              <w:jc w:val="right"/>
              <w:rPr>
                <w:color w:val="000000"/>
                <w:sz w:val="18"/>
                <w:szCs w:val="18"/>
              </w:rPr>
            </w:pPr>
            <w:r>
              <w:rPr>
                <w:color w:val="000000"/>
                <w:sz w:val="18"/>
                <w:szCs w:val="18"/>
              </w:rPr>
              <w:t>-0.0002</w:t>
            </w:r>
          </w:p>
        </w:tc>
        <w:tc>
          <w:tcPr>
            <w:tcW w:w="1053" w:type="dxa"/>
          </w:tcPr>
          <w:p w:rsidR="004B40A3" w:rsidRDefault="004B40A3" w:rsidP="00B6529C">
            <w:pPr>
              <w:jc w:val="right"/>
              <w:rPr>
                <w:color w:val="000000"/>
                <w:sz w:val="18"/>
                <w:szCs w:val="18"/>
              </w:rPr>
            </w:pPr>
            <w:r>
              <w:rPr>
                <w:color w:val="000000"/>
                <w:sz w:val="18"/>
                <w:szCs w:val="18"/>
              </w:rPr>
              <w:t>-0.0002</w:t>
            </w:r>
          </w:p>
        </w:tc>
      </w:tr>
      <w:tr w:rsidR="004B40A3" w:rsidTr="00B6529C">
        <w:tc>
          <w:tcPr>
            <w:tcW w:w="4051" w:type="dxa"/>
            <w:gridSpan w:val="2"/>
            <w:tcBorders>
              <w:right w:val="single" w:sz="18" w:space="0" w:color="7F7F7F" w:themeColor="text1" w:themeTint="80"/>
            </w:tcBorders>
          </w:tcPr>
          <w:p w:rsidR="004B40A3" w:rsidRPr="00BD714E" w:rsidRDefault="004B40A3" w:rsidP="00B6529C">
            <w:pPr>
              <w:tabs>
                <w:tab w:val="left" w:pos="146"/>
                <w:tab w:val="left" w:pos="438"/>
              </w:tabs>
              <w:spacing w:before="0"/>
              <w:rPr>
                <w:rFonts w:ascii="Times New Roman" w:hAnsi="Times New Roman" w:cs="Times New Roman"/>
                <w:b/>
                <w:sz w:val="20"/>
                <w:szCs w:val="20"/>
              </w:rPr>
            </w:pPr>
            <w:r w:rsidRPr="00BD714E">
              <w:rPr>
                <w:rFonts w:ascii="Times New Roman" w:hAnsi="Times New Roman" w:cs="Times New Roman"/>
                <w:b/>
                <w:sz w:val="20"/>
                <w:szCs w:val="20"/>
              </w:rPr>
              <w:t xml:space="preserve">5.  Accommodation expenses in target city </w:t>
            </w:r>
          </w:p>
        </w:tc>
        <w:tc>
          <w:tcPr>
            <w:tcW w:w="832" w:type="dxa"/>
            <w:tcBorders>
              <w:left w:val="single" w:sz="18" w:space="0" w:color="7F7F7F" w:themeColor="text1" w:themeTint="80"/>
            </w:tcBorders>
          </w:tcPr>
          <w:p w:rsidR="004B40A3" w:rsidRDefault="004B40A3" w:rsidP="00B6529C">
            <w:pPr>
              <w:jc w:val="right"/>
              <w:rPr>
                <w:color w:val="000000"/>
                <w:sz w:val="18"/>
                <w:szCs w:val="18"/>
              </w:rPr>
            </w:pPr>
            <w:r>
              <w:rPr>
                <w:color w:val="000000"/>
                <w:sz w:val="18"/>
                <w:szCs w:val="18"/>
              </w:rPr>
              <w:t>0.0003</w:t>
            </w:r>
          </w:p>
        </w:tc>
        <w:tc>
          <w:tcPr>
            <w:tcW w:w="1030" w:type="dxa"/>
          </w:tcPr>
          <w:p w:rsidR="004B40A3" w:rsidRDefault="004B40A3" w:rsidP="00B6529C">
            <w:pPr>
              <w:jc w:val="right"/>
              <w:rPr>
                <w:color w:val="000000"/>
                <w:sz w:val="18"/>
                <w:szCs w:val="18"/>
              </w:rPr>
            </w:pPr>
            <w:r>
              <w:rPr>
                <w:color w:val="000000"/>
                <w:sz w:val="18"/>
                <w:szCs w:val="18"/>
              </w:rPr>
              <w:t>0.0005</w:t>
            </w:r>
          </w:p>
        </w:tc>
        <w:tc>
          <w:tcPr>
            <w:tcW w:w="1041" w:type="dxa"/>
          </w:tcPr>
          <w:p w:rsidR="004B40A3" w:rsidRDefault="004B40A3" w:rsidP="00B6529C">
            <w:pPr>
              <w:jc w:val="right"/>
              <w:rPr>
                <w:color w:val="000000"/>
                <w:sz w:val="18"/>
                <w:szCs w:val="18"/>
              </w:rPr>
            </w:pPr>
            <w:r>
              <w:rPr>
                <w:color w:val="000000"/>
                <w:sz w:val="18"/>
                <w:szCs w:val="18"/>
              </w:rPr>
              <w:t>0.0063</w:t>
            </w:r>
          </w:p>
        </w:tc>
        <w:tc>
          <w:tcPr>
            <w:tcW w:w="1041" w:type="dxa"/>
            <w:tcBorders>
              <w:right w:val="single" w:sz="18" w:space="0" w:color="7F7F7F" w:themeColor="text1" w:themeTint="80"/>
            </w:tcBorders>
          </w:tcPr>
          <w:p w:rsidR="004B40A3" w:rsidRDefault="004B40A3" w:rsidP="00B6529C">
            <w:pPr>
              <w:jc w:val="right"/>
              <w:rPr>
                <w:color w:val="000000"/>
                <w:sz w:val="18"/>
                <w:szCs w:val="18"/>
              </w:rPr>
            </w:pPr>
            <w:r>
              <w:rPr>
                <w:color w:val="000000"/>
                <w:sz w:val="18"/>
                <w:szCs w:val="18"/>
              </w:rPr>
              <w:t>0.0096</w:t>
            </w:r>
          </w:p>
        </w:tc>
        <w:tc>
          <w:tcPr>
            <w:tcW w:w="1030" w:type="dxa"/>
            <w:tcBorders>
              <w:left w:val="single" w:sz="18" w:space="0" w:color="7F7F7F" w:themeColor="text1" w:themeTint="80"/>
            </w:tcBorders>
          </w:tcPr>
          <w:p w:rsidR="004B40A3" w:rsidRDefault="004B40A3" w:rsidP="00B6529C">
            <w:pPr>
              <w:jc w:val="right"/>
              <w:rPr>
                <w:color w:val="000000"/>
                <w:sz w:val="18"/>
                <w:szCs w:val="18"/>
              </w:rPr>
            </w:pPr>
            <w:r>
              <w:rPr>
                <w:color w:val="000000"/>
                <w:sz w:val="18"/>
                <w:szCs w:val="18"/>
              </w:rPr>
              <w:t>0.0000</w:t>
            </w:r>
          </w:p>
        </w:tc>
        <w:tc>
          <w:tcPr>
            <w:tcW w:w="1043" w:type="dxa"/>
          </w:tcPr>
          <w:p w:rsidR="004B40A3" w:rsidRDefault="004B40A3" w:rsidP="00B6529C">
            <w:pPr>
              <w:jc w:val="right"/>
              <w:rPr>
                <w:color w:val="000000"/>
                <w:sz w:val="18"/>
                <w:szCs w:val="18"/>
              </w:rPr>
            </w:pPr>
            <w:r>
              <w:rPr>
                <w:color w:val="000000"/>
                <w:sz w:val="18"/>
                <w:szCs w:val="18"/>
              </w:rPr>
              <w:t>0.0000</w:t>
            </w:r>
          </w:p>
        </w:tc>
        <w:tc>
          <w:tcPr>
            <w:tcW w:w="1043" w:type="dxa"/>
          </w:tcPr>
          <w:p w:rsidR="004B40A3" w:rsidRDefault="004B40A3" w:rsidP="00B6529C">
            <w:pPr>
              <w:jc w:val="right"/>
              <w:rPr>
                <w:color w:val="000000"/>
                <w:sz w:val="18"/>
                <w:szCs w:val="18"/>
              </w:rPr>
            </w:pPr>
            <w:r>
              <w:rPr>
                <w:color w:val="000000"/>
                <w:sz w:val="18"/>
                <w:szCs w:val="18"/>
              </w:rPr>
              <w:t>0.0006</w:t>
            </w:r>
          </w:p>
        </w:tc>
        <w:tc>
          <w:tcPr>
            <w:tcW w:w="1030" w:type="dxa"/>
          </w:tcPr>
          <w:p w:rsidR="004B40A3" w:rsidRDefault="004B40A3" w:rsidP="00B6529C">
            <w:pPr>
              <w:jc w:val="right"/>
              <w:rPr>
                <w:color w:val="000000"/>
                <w:sz w:val="18"/>
                <w:szCs w:val="18"/>
              </w:rPr>
            </w:pPr>
            <w:r>
              <w:rPr>
                <w:color w:val="000000"/>
                <w:sz w:val="18"/>
                <w:szCs w:val="18"/>
              </w:rPr>
              <w:t>0.0003</w:t>
            </w:r>
          </w:p>
        </w:tc>
        <w:tc>
          <w:tcPr>
            <w:tcW w:w="980" w:type="dxa"/>
          </w:tcPr>
          <w:p w:rsidR="004B40A3" w:rsidRDefault="004B40A3" w:rsidP="00B6529C">
            <w:pPr>
              <w:jc w:val="right"/>
              <w:rPr>
                <w:color w:val="000000"/>
                <w:sz w:val="18"/>
                <w:szCs w:val="18"/>
              </w:rPr>
            </w:pPr>
            <w:r>
              <w:rPr>
                <w:color w:val="000000"/>
                <w:sz w:val="18"/>
                <w:szCs w:val="18"/>
              </w:rPr>
              <w:t>-0.0008</w:t>
            </w:r>
          </w:p>
        </w:tc>
        <w:tc>
          <w:tcPr>
            <w:tcW w:w="1053" w:type="dxa"/>
          </w:tcPr>
          <w:p w:rsidR="004B40A3" w:rsidRDefault="004B40A3" w:rsidP="00B6529C">
            <w:pPr>
              <w:jc w:val="right"/>
              <w:rPr>
                <w:color w:val="000000"/>
                <w:sz w:val="18"/>
                <w:szCs w:val="18"/>
              </w:rPr>
            </w:pPr>
            <w:r>
              <w:rPr>
                <w:color w:val="000000"/>
                <w:sz w:val="18"/>
                <w:szCs w:val="18"/>
              </w:rPr>
              <w:t>-0.0012</w:t>
            </w:r>
          </w:p>
        </w:tc>
      </w:tr>
      <w:tr w:rsidR="004B40A3" w:rsidTr="00B6529C">
        <w:tc>
          <w:tcPr>
            <w:tcW w:w="4051" w:type="dxa"/>
            <w:gridSpan w:val="2"/>
            <w:tcBorders>
              <w:right w:val="single" w:sz="18" w:space="0" w:color="7F7F7F" w:themeColor="text1" w:themeTint="80"/>
            </w:tcBorders>
          </w:tcPr>
          <w:p w:rsidR="004B40A3" w:rsidRPr="00BD714E" w:rsidRDefault="004B40A3" w:rsidP="00B6529C">
            <w:pPr>
              <w:tabs>
                <w:tab w:val="left" w:pos="146"/>
                <w:tab w:val="left" w:pos="438"/>
              </w:tabs>
              <w:spacing w:before="0"/>
              <w:rPr>
                <w:rFonts w:ascii="Times New Roman" w:hAnsi="Times New Roman" w:cs="Times New Roman"/>
                <w:b/>
                <w:sz w:val="20"/>
                <w:szCs w:val="20"/>
              </w:rPr>
            </w:pPr>
            <w:r w:rsidRPr="00BD714E">
              <w:rPr>
                <w:rFonts w:ascii="Times New Roman" w:hAnsi="Times New Roman" w:cs="Times New Roman"/>
                <w:b/>
                <w:sz w:val="20"/>
                <w:szCs w:val="20"/>
              </w:rPr>
              <w:t xml:space="preserve">6.  Accommodation expenses outside target city </w:t>
            </w:r>
          </w:p>
        </w:tc>
        <w:tc>
          <w:tcPr>
            <w:tcW w:w="832" w:type="dxa"/>
            <w:tcBorders>
              <w:left w:val="single" w:sz="18" w:space="0" w:color="7F7F7F" w:themeColor="text1" w:themeTint="80"/>
            </w:tcBorders>
          </w:tcPr>
          <w:p w:rsidR="004B40A3" w:rsidRDefault="004B40A3" w:rsidP="00B6529C">
            <w:pPr>
              <w:jc w:val="right"/>
              <w:rPr>
                <w:color w:val="000000"/>
                <w:sz w:val="18"/>
                <w:szCs w:val="18"/>
              </w:rPr>
            </w:pPr>
            <w:r>
              <w:rPr>
                <w:color w:val="000000"/>
                <w:sz w:val="18"/>
                <w:szCs w:val="18"/>
              </w:rPr>
              <w:t>0.0082</w:t>
            </w:r>
          </w:p>
        </w:tc>
        <w:tc>
          <w:tcPr>
            <w:tcW w:w="1030" w:type="dxa"/>
          </w:tcPr>
          <w:p w:rsidR="004B40A3" w:rsidRDefault="004B40A3" w:rsidP="00B6529C">
            <w:pPr>
              <w:jc w:val="right"/>
              <w:rPr>
                <w:color w:val="000000"/>
                <w:sz w:val="18"/>
                <w:szCs w:val="18"/>
              </w:rPr>
            </w:pPr>
            <w:r>
              <w:rPr>
                <w:color w:val="000000"/>
                <w:sz w:val="18"/>
                <w:szCs w:val="18"/>
              </w:rPr>
              <w:t>0.0125</w:t>
            </w:r>
          </w:p>
        </w:tc>
        <w:tc>
          <w:tcPr>
            <w:tcW w:w="1041" w:type="dxa"/>
          </w:tcPr>
          <w:p w:rsidR="004B40A3" w:rsidRDefault="004B40A3" w:rsidP="00B6529C">
            <w:pPr>
              <w:jc w:val="right"/>
              <w:rPr>
                <w:color w:val="000000"/>
                <w:sz w:val="18"/>
                <w:szCs w:val="18"/>
              </w:rPr>
            </w:pPr>
            <w:r>
              <w:rPr>
                <w:color w:val="000000"/>
                <w:sz w:val="18"/>
                <w:szCs w:val="18"/>
              </w:rPr>
              <w:t>0.0021</w:t>
            </w:r>
          </w:p>
        </w:tc>
        <w:tc>
          <w:tcPr>
            <w:tcW w:w="1041" w:type="dxa"/>
            <w:tcBorders>
              <w:right w:val="single" w:sz="18" w:space="0" w:color="7F7F7F" w:themeColor="text1" w:themeTint="80"/>
            </w:tcBorders>
          </w:tcPr>
          <w:p w:rsidR="004B40A3" w:rsidRDefault="004B40A3" w:rsidP="00B6529C">
            <w:pPr>
              <w:jc w:val="right"/>
              <w:rPr>
                <w:color w:val="000000"/>
                <w:sz w:val="18"/>
                <w:szCs w:val="18"/>
              </w:rPr>
            </w:pPr>
            <w:r>
              <w:rPr>
                <w:color w:val="000000"/>
                <w:sz w:val="18"/>
                <w:szCs w:val="18"/>
              </w:rPr>
              <w:t>0.0047</w:t>
            </w:r>
          </w:p>
        </w:tc>
        <w:tc>
          <w:tcPr>
            <w:tcW w:w="1030" w:type="dxa"/>
            <w:tcBorders>
              <w:left w:val="single" w:sz="18" w:space="0" w:color="7F7F7F" w:themeColor="text1" w:themeTint="80"/>
            </w:tcBorders>
          </w:tcPr>
          <w:p w:rsidR="004B40A3" w:rsidRDefault="004B40A3" w:rsidP="00B6529C">
            <w:pPr>
              <w:jc w:val="right"/>
              <w:rPr>
                <w:color w:val="000000"/>
                <w:sz w:val="18"/>
                <w:szCs w:val="18"/>
              </w:rPr>
            </w:pPr>
            <w:r>
              <w:rPr>
                <w:color w:val="000000"/>
                <w:sz w:val="18"/>
                <w:szCs w:val="18"/>
              </w:rPr>
              <w:t>0.0000</w:t>
            </w:r>
          </w:p>
        </w:tc>
        <w:tc>
          <w:tcPr>
            <w:tcW w:w="1043" w:type="dxa"/>
          </w:tcPr>
          <w:p w:rsidR="004B40A3" w:rsidRDefault="004B40A3" w:rsidP="00B6529C">
            <w:pPr>
              <w:jc w:val="right"/>
              <w:rPr>
                <w:color w:val="000000"/>
                <w:sz w:val="18"/>
                <w:szCs w:val="18"/>
              </w:rPr>
            </w:pPr>
            <w:r>
              <w:rPr>
                <w:color w:val="000000"/>
                <w:sz w:val="18"/>
                <w:szCs w:val="18"/>
              </w:rPr>
              <w:t>0.0000</w:t>
            </w:r>
          </w:p>
        </w:tc>
        <w:tc>
          <w:tcPr>
            <w:tcW w:w="1043" w:type="dxa"/>
          </w:tcPr>
          <w:p w:rsidR="004B40A3" w:rsidRDefault="004B40A3" w:rsidP="00B6529C">
            <w:pPr>
              <w:jc w:val="right"/>
              <w:rPr>
                <w:color w:val="000000"/>
                <w:sz w:val="18"/>
                <w:szCs w:val="18"/>
              </w:rPr>
            </w:pPr>
            <w:r>
              <w:rPr>
                <w:color w:val="000000"/>
                <w:sz w:val="18"/>
                <w:szCs w:val="18"/>
              </w:rPr>
              <w:t>-0.0001</w:t>
            </w:r>
          </w:p>
        </w:tc>
        <w:tc>
          <w:tcPr>
            <w:tcW w:w="1030" w:type="dxa"/>
          </w:tcPr>
          <w:p w:rsidR="004B40A3" w:rsidRDefault="004B40A3" w:rsidP="00B6529C">
            <w:pPr>
              <w:jc w:val="right"/>
              <w:rPr>
                <w:color w:val="000000"/>
                <w:sz w:val="18"/>
                <w:szCs w:val="18"/>
              </w:rPr>
            </w:pPr>
            <w:r>
              <w:rPr>
                <w:color w:val="000000"/>
                <w:sz w:val="18"/>
                <w:szCs w:val="18"/>
              </w:rPr>
              <w:t>0.0000</w:t>
            </w:r>
          </w:p>
        </w:tc>
        <w:tc>
          <w:tcPr>
            <w:tcW w:w="980" w:type="dxa"/>
          </w:tcPr>
          <w:p w:rsidR="004B40A3" w:rsidRDefault="004B40A3" w:rsidP="00B6529C">
            <w:pPr>
              <w:jc w:val="right"/>
              <w:rPr>
                <w:color w:val="000000"/>
                <w:sz w:val="18"/>
                <w:szCs w:val="18"/>
              </w:rPr>
            </w:pPr>
            <w:r>
              <w:rPr>
                <w:color w:val="000000"/>
                <w:sz w:val="18"/>
                <w:szCs w:val="18"/>
              </w:rPr>
              <w:t>-0.0224</w:t>
            </w:r>
          </w:p>
        </w:tc>
        <w:tc>
          <w:tcPr>
            <w:tcW w:w="1053" w:type="dxa"/>
          </w:tcPr>
          <w:p w:rsidR="004B40A3" w:rsidRDefault="004B40A3" w:rsidP="00B6529C">
            <w:pPr>
              <w:jc w:val="right"/>
              <w:rPr>
                <w:color w:val="000000"/>
                <w:sz w:val="18"/>
                <w:szCs w:val="18"/>
              </w:rPr>
            </w:pPr>
            <w:r>
              <w:rPr>
                <w:color w:val="000000"/>
                <w:sz w:val="18"/>
                <w:szCs w:val="18"/>
              </w:rPr>
              <w:t>-0.0314</w:t>
            </w:r>
          </w:p>
        </w:tc>
      </w:tr>
      <w:tr w:rsidR="004B40A3" w:rsidTr="00B6529C">
        <w:tc>
          <w:tcPr>
            <w:tcW w:w="4051" w:type="dxa"/>
            <w:gridSpan w:val="2"/>
            <w:tcBorders>
              <w:right w:val="single" w:sz="18" w:space="0" w:color="7F7F7F" w:themeColor="text1" w:themeTint="80"/>
            </w:tcBorders>
          </w:tcPr>
          <w:p w:rsidR="004B40A3" w:rsidRPr="00BD714E" w:rsidRDefault="004B40A3" w:rsidP="00B6529C">
            <w:pPr>
              <w:tabs>
                <w:tab w:val="left" w:pos="146"/>
                <w:tab w:val="left" w:pos="438"/>
              </w:tabs>
              <w:spacing w:before="0"/>
              <w:rPr>
                <w:rFonts w:ascii="Times New Roman" w:hAnsi="Times New Roman" w:cs="Times New Roman"/>
                <w:b/>
                <w:sz w:val="20"/>
                <w:szCs w:val="20"/>
              </w:rPr>
            </w:pPr>
            <w:r w:rsidRPr="00BD714E">
              <w:rPr>
                <w:rFonts w:ascii="Times New Roman" w:hAnsi="Times New Roman" w:cs="Times New Roman"/>
                <w:b/>
                <w:sz w:val="20"/>
                <w:szCs w:val="20"/>
              </w:rPr>
              <w:t xml:space="preserve">7.  Loss of foreign visitor expenditure in target city </w:t>
            </w:r>
          </w:p>
        </w:tc>
        <w:tc>
          <w:tcPr>
            <w:tcW w:w="832" w:type="dxa"/>
            <w:tcBorders>
              <w:left w:val="single" w:sz="18" w:space="0" w:color="7F7F7F" w:themeColor="text1" w:themeTint="80"/>
            </w:tcBorders>
          </w:tcPr>
          <w:p w:rsidR="004B40A3" w:rsidRDefault="004B40A3" w:rsidP="00B6529C">
            <w:pPr>
              <w:jc w:val="right"/>
              <w:rPr>
                <w:color w:val="000000"/>
                <w:sz w:val="18"/>
                <w:szCs w:val="18"/>
              </w:rPr>
            </w:pPr>
            <w:r>
              <w:rPr>
                <w:color w:val="000000"/>
                <w:sz w:val="18"/>
                <w:szCs w:val="18"/>
              </w:rPr>
              <w:t>-0.0002</w:t>
            </w:r>
          </w:p>
        </w:tc>
        <w:tc>
          <w:tcPr>
            <w:tcW w:w="1030" w:type="dxa"/>
          </w:tcPr>
          <w:p w:rsidR="004B40A3" w:rsidRDefault="004B40A3" w:rsidP="00B6529C">
            <w:pPr>
              <w:jc w:val="right"/>
              <w:rPr>
                <w:color w:val="000000"/>
                <w:sz w:val="18"/>
                <w:szCs w:val="18"/>
              </w:rPr>
            </w:pPr>
            <w:r>
              <w:rPr>
                <w:color w:val="000000"/>
                <w:sz w:val="18"/>
                <w:szCs w:val="18"/>
              </w:rPr>
              <w:t>-0.0002</w:t>
            </w:r>
          </w:p>
        </w:tc>
        <w:tc>
          <w:tcPr>
            <w:tcW w:w="1041" w:type="dxa"/>
          </w:tcPr>
          <w:p w:rsidR="004B40A3" w:rsidRDefault="004B40A3" w:rsidP="00B6529C">
            <w:pPr>
              <w:jc w:val="right"/>
              <w:rPr>
                <w:color w:val="000000"/>
                <w:sz w:val="18"/>
                <w:szCs w:val="18"/>
              </w:rPr>
            </w:pPr>
            <w:r>
              <w:rPr>
                <w:color w:val="000000"/>
                <w:sz w:val="18"/>
                <w:szCs w:val="18"/>
              </w:rPr>
              <w:t>-0.0017</w:t>
            </w:r>
          </w:p>
        </w:tc>
        <w:tc>
          <w:tcPr>
            <w:tcW w:w="1041" w:type="dxa"/>
            <w:tcBorders>
              <w:right w:val="single" w:sz="18" w:space="0" w:color="7F7F7F" w:themeColor="text1" w:themeTint="80"/>
            </w:tcBorders>
          </w:tcPr>
          <w:p w:rsidR="004B40A3" w:rsidRDefault="004B40A3" w:rsidP="00B6529C">
            <w:pPr>
              <w:jc w:val="right"/>
              <w:rPr>
                <w:color w:val="000000"/>
                <w:sz w:val="18"/>
                <w:szCs w:val="18"/>
              </w:rPr>
            </w:pPr>
            <w:r>
              <w:rPr>
                <w:color w:val="000000"/>
                <w:sz w:val="18"/>
                <w:szCs w:val="18"/>
              </w:rPr>
              <w:t>-0.0023</w:t>
            </w:r>
          </w:p>
        </w:tc>
        <w:tc>
          <w:tcPr>
            <w:tcW w:w="1030" w:type="dxa"/>
            <w:tcBorders>
              <w:left w:val="single" w:sz="18" w:space="0" w:color="7F7F7F" w:themeColor="text1" w:themeTint="80"/>
            </w:tcBorders>
          </w:tcPr>
          <w:p w:rsidR="004B40A3" w:rsidRDefault="004B40A3" w:rsidP="00B6529C">
            <w:pPr>
              <w:jc w:val="right"/>
              <w:rPr>
                <w:color w:val="000000"/>
                <w:sz w:val="18"/>
                <w:szCs w:val="18"/>
              </w:rPr>
            </w:pPr>
            <w:r>
              <w:rPr>
                <w:color w:val="000000"/>
                <w:sz w:val="18"/>
                <w:szCs w:val="18"/>
              </w:rPr>
              <w:t>0.0000</w:t>
            </w:r>
          </w:p>
        </w:tc>
        <w:tc>
          <w:tcPr>
            <w:tcW w:w="1043" w:type="dxa"/>
          </w:tcPr>
          <w:p w:rsidR="004B40A3" w:rsidRDefault="004B40A3" w:rsidP="00B6529C">
            <w:pPr>
              <w:jc w:val="right"/>
              <w:rPr>
                <w:color w:val="000000"/>
                <w:sz w:val="18"/>
                <w:szCs w:val="18"/>
              </w:rPr>
            </w:pPr>
            <w:r>
              <w:rPr>
                <w:color w:val="000000"/>
                <w:sz w:val="18"/>
                <w:szCs w:val="18"/>
              </w:rPr>
              <w:t>0.0000</w:t>
            </w:r>
          </w:p>
        </w:tc>
        <w:tc>
          <w:tcPr>
            <w:tcW w:w="1043" w:type="dxa"/>
          </w:tcPr>
          <w:p w:rsidR="004B40A3" w:rsidRDefault="004B40A3" w:rsidP="00B6529C">
            <w:pPr>
              <w:jc w:val="right"/>
              <w:rPr>
                <w:color w:val="000000"/>
                <w:sz w:val="18"/>
                <w:szCs w:val="18"/>
              </w:rPr>
            </w:pPr>
            <w:r>
              <w:rPr>
                <w:color w:val="000000"/>
                <w:sz w:val="18"/>
                <w:szCs w:val="18"/>
              </w:rPr>
              <w:t>0.0000</w:t>
            </w:r>
          </w:p>
        </w:tc>
        <w:tc>
          <w:tcPr>
            <w:tcW w:w="1030" w:type="dxa"/>
          </w:tcPr>
          <w:p w:rsidR="004B40A3" w:rsidRDefault="004B40A3" w:rsidP="00B6529C">
            <w:pPr>
              <w:jc w:val="right"/>
              <w:rPr>
                <w:color w:val="000000"/>
                <w:sz w:val="18"/>
                <w:szCs w:val="18"/>
              </w:rPr>
            </w:pPr>
            <w:r>
              <w:rPr>
                <w:color w:val="000000"/>
                <w:sz w:val="18"/>
                <w:szCs w:val="18"/>
              </w:rPr>
              <w:t>0.0000</w:t>
            </w:r>
          </w:p>
        </w:tc>
        <w:tc>
          <w:tcPr>
            <w:tcW w:w="980" w:type="dxa"/>
          </w:tcPr>
          <w:p w:rsidR="004B40A3" w:rsidRDefault="004B40A3" w:rsidP="00B6529C">
            <w:pPr>
              <w:jc w:val="right"/>
              <w:rPr>
                <w:color w:val="000000"/>
                <w:sz w:val="18"/>
                <w:szCs w:val="18"/>
              </w:rPr>
            </w:pPr>
            <w:r>
              <w:rPr>
                <w:color w:val="000000"/>
                <w:sz w:val="18"/>
                <w:szCs w:val="18"/>
              </w:rPr>
              <w:t>-0.0003</w:t>
            </w:r>
          </w:p>
        </w:tc>
        <w:tc>
          <w:tcPr>
            <w:tcW w:w="1053" w:type="dxa"/>
          </w:tcPr>
          <w:p w:rsidR="004B40A3" w:rsidRDefault="004B40A3" w:rsidP="00B6529C">
            <w:pPr>
              <w:jc w:val="right"/>
              <w:rPr>
                <w:color w:val="000000"/>
                <w:sz w:val="18"/>
                <w:szCs w:val="18"/>
              </w:rPr>
            </w:pPr>
            <w:r>
              <w:rPr>
                <w:color w:val="000000"/>
                <w:sz w:val="18"/>
                <w:szCs w:val="18"/>
              </w:rPr>
              <w:t>-0.0004</w:t>
            </w:r>
          </w:p>
        </w:tc>
      </w:tr>
      <w:tr w:rsidR="004B40A3" w:rsidTr="00B6529C">
        <w:tc>
          <w:tcPr>
            <w:tcW w:w="4051" w:type="dxa"/>
            <w:gridSpan w:val="2"/>
            <w:tcBorders>
              <w:right w:val="single" w:sz="18" w:space="0" w:color="7F7F7F" w:themeColor="text1" w:themeTint="80"/>
            </w:tcBorders>
          </w:tcPr>
          <w:p w:rsidR="004B40A3" w:rsidRPr="00BD714E" w:rsidRDefault="004B40A3" w:rsidP="00B6529C">
            <w:pPr>
              <w:tabs>
                <w:tab w:val="left" w:pos="146"/>
                <w:tab w:val="left" w:pos="438"/>
              </w:tabs>
              <w:spacing w:before="0"/>
              <w:rPr>
                <w:rFonts w:ascii="Times New Roman" w:hAnsi="Times New Roman" w:cs="Times New Roman"/>
                <w:b/>
                <w:sz w:val="20"/>
                <w:szCs w:val="20"/>
              </w:rPr>
            </w:pPr>
            <w:r w:rsidRPr="00BD714E">
              <w:rPr>
                <w:rFonts w:ascii="Times New Roman" w:hAnsi="Times New Roman" w:cs="Times New Roman"/>
                <w:b/>
                <w:sz w:val="20"/>
                <w:szCs w:val="20"/>
              </w:rPr>
              <w:t xml:space="preserve">8.  Loss of foreign visitor expenditure outside target city </w:t>
            </w:r>
          </w:p>
        </w:tc>
        <w:tc>
          <w:tcPr>
            <w:tcW w:w="832" w:type="dxa"/>
            <w:tcBorders>
              <w:left w:val="single" w:sz="18" w:space="0" w:color="7F7F7F" w:themeColor="text1" w:themeTint="80"/>
            </w:tcBorders>
          </w:tcPr>
          <w:p w:rsidR="004B40A3" w:rsidRDefault="004B40A3" w:rsidP="00B6529C">
            <w:pPr>
              <w:jc w:val="right"/>
              <w:rPr>
                <w:color w:val="000000"/>
                <w:sz w:val="18"/>
                <w:szCs w:val="18"/>
              </w:rPr>
            </w:pPr>
            <w:r>
              <w:rPr>
                <w:color w:val="000000"/>
                <w:sz w:val="18"/>
                <w:szCs w:val="18"/>
              </w:rPr>
              <w:t>-0.0021</w:t>
            </w:r>
          </w:p>
        </w:tc>
        <w:tc>
          <w:tcPr>
            <w:tcW w:w="1030" w:type="dxa"/>
          </w:tcPr>
          <w:p w:rsidR="004B40A3" w:rsidRDefault="004B40A3" w:rsidP="00B6529C">
            <w:pPr>
              <w:jc w:val="right"/>
              <w:rPr>
                <w:color w:val="000000"/>
                <w:sz w:val="18"/>
                <w:szCs w:val="18"/>
              </w:rPr>
            </w:pPr>
            <w:r>
              <w:rPr>
                <w:color w:val="000000"/>
                <w:sz w:val="18"/>
                <w:szCs w:val="18"/>
              </w:rPr>
              <w:t>-0.0030</w:t>
            </w:r>
          </w:p>
        </w:tc>
        <w:tc>
          <w:tcPr>
            <w:tcW w:w="1041" w:type="dxa"/>
          </w:tcPr>
          <w:p w:rsidR="004B40A3" w:rsidRDefault="004B40A3" w:rsidP="00B6529C">
            <w:pPr>
              <w:jc w:val="right"/>
              <w:rPr>
                <w:color w:val="000000"/>
                <w:sz w:val="18"/>
                <w:szCs w:val="18"/>
              </w:rPr>
            </w:pPr>
            <w:r>
              <w:rPr>
                <w:color w:val="000000"/>
                <w:sz w:val="18"/>
                <w:szCs w:val="18"/>
              </w:rPr>
              <w:t>-0.0020</w:t>
            </w:r>
          </w:p>
        </w:tc>
        <w:tc>
          <w:tcPr>
            <w:tcW w:w="1041" w:type="dxa"/>
            <w:tcBorders>
              <w:right w:val="single" w:sz="18" w:space="0" w:color="7F7F7F" w:themeColor="text1" w:themeTint="80"/>
            </w:tcBorders>
          </w:tcPr>
          <w:p w:rsidR="004B40A3" w:rsidRDefault="004B40A3" w:rsidP="00B6529C">
            <w:pPr>
              <w:jc w:val="right"/>
              <w:rPr>
                <w:color w:val="000000"/>
                <w:sz w:val="18"/>
                <w:szCs w:val="18"/>
              </w:rPr>
            </w:pPr>
            <w:r>
              <w:rPr>
                <w:color w:val="000000"/>
                <w:sz w:val="18"/>
                <w:szCs w:val="18"/>
              </w:rPr>
              <w:t>-0.0039</w:t>
            </w:r>
          </w:p>
        </w:tc>
        <w:tc>
          <w:tcPr>
            <w:tcW w:w="1030" w:type="dxa"/>
            <w:tcBorders>
              <w:left w:val="single" w:sz="18" w:space="0" w:color="7F7F7F" w:themeColor="text1" w:themeTint="80"/>
            </w:tcBorders>
          </w:tcPr>
          <w:p w:rsidR="004B40A3" w:rsidRDefault="004B40A3" w:rsidP="00B6529C">
            <w:pPr>
              <w:jc w:val="right"/>
              <w:rPr>
                <w:color w:val="000000"/>
                <w:sz w:val="18"/>
                <w:szCs w:val="18"/>
              </w:rPr>
            </w:pPr>
            <w:r>
              <w:rPr>
                <w:color w:val="000000"/>
                <w:sz w:val="18"/>
                <w:szCs w:val="18"/>
              </w:rPr>
              <w:t>0.0000</w:t>
            </w:r>
          </w:p>
        </w:tc>
        <w:tc>
          <w:tcPr>
            <w:tcW w:w="1043" w:type="dxa"/>
          </w:tcPr>
          <w:p w:rsidR="004B40A3" w:rsidRDefault="004B40A3" w:rsidP="00B6529C">
            <w:pPr>
              <w:jc w:val="right"/>
              <w:rPr>
                <w:color w:val="000000"/>
                <w:sz w:val="18"/>
                <w:szCs w:val="18"/>
              </w:rPr>
            </w:pPr>
            <w:r>
              <w:rPr>
                <w:color w:val="000000"/>
                <w:sz w:val="18"/>
                <w:szCs w:val="18"/>
              </w:rPr>
              <w:t>0.0000</w:t>
            </w:r>
          </w:p>
        </w:tc>
        <w:tc>
          <w:tcPr>
            <w:tcW w:w="1043" w:type="dxa"/>
          </w:tcPr>
          <w:p w:rsidR="004B40A3" w:rsidRDefault="004B40A3" w:rsidP="00B6529C">
            <w:pPr>
              <w:jc w:val="right"/>
              <w:rPr>
                <w:color w:val="000000"/>
                <w:sz w:val="18"/>
                <w:szCs w:val="18"/>
              </w:rPr>
            </w:pPr>
            <w:r>
              <w:rPr>
                <w:color w:val="000000"/>
                <w:sz w:val="18"/>
                <w:szCs w:val="18"/>
              </w:rPr>
              <w:t>0.0001</w:t>
            </w:r>
          </w:p>
        </w:tc>
        <w:tc>
          <w:tcPr>
            <w:tcW w:w="1030" w:type="dxa"/>
          </w:tcPr>
          <w:p w:rsidR="004B40A3" w:rsidRDefault="004B40A3" w:rsidP="00B6529C">
            <w:pPr>
              <w:jc w:val="right"/>
              <w:rPr>
                <w:color w:val="000000"/>
                <w:sz w:val="18"/>
                <w:szCs w:val="18"/>
              </w:rPr>
            </w:pPr>
            <w:r>
              <w:rPr>
                <w:color w:val="000000"/>
                <w:sz w:val="18"/>
                <w:szCs w:val="18"/>
              </w:rPr>
              <w:t>0.0000</w:t>
            </w:r>
          </w:p>
        </w:tc>
        <w:tc>
          <w:tcPr>
            <w:tcW w:w="980" w:type="dxa"/>
          </w:tcPr>
          <w:p w:rsidR="004B40A3" w:rsidRDefault="004B40A3" w:rsidP="00B6529C">
            <w:pPr>
              <w:jc w:val="right"/>
              <w:rPr>
                <w:color w:val="000000"/>
                <w:sz w:val="18"/>
                <w:szCs w:val="18"/>
              </w:rPr>
            </w:pPr>
            <w:r>
              <w:rPr>
                <w:color w:val="000000"/>
                <w:sz w:val="18"/>
                <w:szCs w:val="18"/>
              </w:rPr>
              <w:t>-0.0041</w:t>
            </w:r>
          </w:p>
        </w:tc>
        <w:tc>
          <w:tcPr>
            <w:tcW w:w="1053" w:type="dxa"/>
          </w:tcPr>
          <w:p w:rsidR="004B40A3" w:rsidRDefault="004B40A3" w:rsidP="00B6529C">
            <w:pPr>
              <w:jc w:val="right"/>
              <w:rPr>
                <w:color w:val="000000"/>
                <w:sz w:val="18"/>
                <w:szCs w:val="18"/>
              </w:rPr>
            </w:pPr>
            <w:r>
              <w:rPr>
                <w:color w:val="000000"/>
                <w:sz w:val="18"/>
                <w:szCs w:val="18"/>
              </w:rPr>
              <w:t>-0.0046</w:t>
            </w:r>
          </w:p>
        </w:tc>
      </w:tr>
      <w:tr w:rsidR="004B40A3" w:rsidTr="00B6529C">
        <w:tc>
          <w:tcPr>
            <w:tcW w:w="4051" w:type="dxa"/>
            <w:gridSpan w:val="2"/>
            <w:tcBorders>
              <w:right w:val="single" w:sz="18" w:space="0" w:color="7F7F7F" w:themeColor="text1" w:themeTint="80"/>
            </w:tcBorders>
          </w:tcPr>
          <w:p w:rsidR="004B40A3" w:rsidRPr="00BD714E" w:rsidRDefault="004B40A3" w:rsidP="00B6529C">
            <w:pPr>
              <w:tabs>
                <w:tab w:val="left" w:pos="146"/>
                <w:tab w:val="left" w:pos="438"/>
              </w:tabs>
              <w:spacing w:before="0"/>
              <w:rPr>
                <w:rFonts w:ascii="Times New Roman" w:hAnsi="Times New Roman" w:cs="Times New Roman"/>
                <w:b/>
                <w:sz w:val="20"/>
                <w:szCs w:val="20"/>
              </w:rPr>
            </w:pPr>
            <w:r w:rsidRPr="00BD714E">
              <w:rPr>
                <w:rFonts w:ascii="Times New Roman" w:hAnsi="Times New Roman" w:cs="Times New Roman"/>
                <w:b/>
                <w:sz w:val="20"/>
                <w:szCs w:val="20"/>
              </w:rPr>
              <w:t xml:space="preserve">9.  Loss of domestic traveler expenditure in target city </w:t>
            </w:r>
          </w:p>
        </w:tc>
        <w:tc>
          <w:tcPr>
            <w:tcW w:w="832" w:type="dxa"/>
            <w:tcBorders>
              <w:left w:val="single" w:sz="18" w:space="0" w:color="7F7F7F" w:themeColor="text1" w:themeTint="80"/>
            </w:tcBorders>
          </w:tcPr>
          <w:p w:rsidR="004B40A3" w:rsidRDefault="004B40A3" w:rsidP="00B6529C">
            <w:pPr>
              <w:jc w:val="right"/>
              <w:rPr>
                <w:color w:val="000000"/>
                <w:sz w:val="18"/>
                <w:szCs w:val="18"/>
              </w:rPr>
            </w:pPr>
            <w:r>
              <w:rPr>
                <w:color w:val="000000"/>
                <w:sz w:val="18"/>
                <w:szCs w:val="18"/>
              </w:rPr>
              <w:t>0.0000</w:t>
            </w:r>
          </w:p>
        </w:tc>
        <w:tc>
          <w:tcPr>
            <w:tcW w:w="1030" w:type="dxa"/>
          </w:tcPr>
          <w:p w:rsidR="004B40A3" w:rsidRDefault="004B40A3" w:rsidP="00B6529C">
            <w:pPr>
              <w:jc w:val="right"/>
              <w:rPr>
                <w:color w:val="000000"/>
                <w:sz w:val="18"/>
                <w:szCs w:val="18"/>
              </w:rPr>
            </w:pPr>
            <w:r>
              <w:rPr>
                <w:color w:val="000000"/>
                <w:sz w:val="18"/>
                <w:szCs w:val="18"/>
              </w:rPr>
              <w:t>0.0000</w:t>
            </w:r>
          </w:p>
        </w:tc>
        <w:tc>
          <w:tcPr>
            <w:tcW w:w="1041" w:type="dxa"/>
          </w:tcPr>
          <w:p w:rsidR="004B40A3" w:rsidRDefault="004B40A3" w:rsidP="00B6529C">
            <w:pPr>
              <w:jc w:val="right"/>
              <w:rPr>
                <w:color w:val="000000"/>
                <w:sz w:val="18"/>
                <w:szCs w:val="18"/>
              </w:rPr>
            </w:pPr>
            <w:r>
              <w:rPr>
                <w:color w:val="000000"/>
                <w:sz w:val="18"/>
                <w:szCs w:val="18"/>
              </w:rPr>
              <w:t>-0.0039</w:t>
            </w:r>
          </w:p>
        </w:tc>
        <w:tc>
          <w:tcPr>
            <w:tcW w:w="1041" w:type="dxa"/>
            <w:tcBorders>
              <w:right w:val="single" w:sz="18" w:space="0" w:color="7F7F7F" w:themeColor="text1" w:themeTint="80"/>
            </w:tcBorders>
          </w:tcPr>
          <w:p w:rsidR="004B40A3" w:rsidRDefault="004B40A3" w:rsidP="00B6529C">
            <w:pPr>
              <w:jc w:val="right"/>
              <w:rPr>
                <w:color w:val="000000"/>
                <w:sz w:val="18"/>
                <w:szCs w:val="18"/>
              </w:rPr>
            </w:pPr>
            <w:r>
              <w:rPr>
                <w:color w:val="000000"/>
                <w:sz w:val="18"/>
                <w:szCs w:val="18"/>
              </w:rPr>
              <w:t>-0.0047</w:t>
            </w:r>
          </w:p>
        </w:tc>
        <w:tc>
          <w:tcPr>
            <w:tcW w:w="1030" w:type="dxa"/>
            <w:tcBorders>
              <w:left w:val="single" w:sz="18" w:space="0" w:color="7F7F7F" w:themeColor="text1" w:themeTint="80"/>
            </w:tcBorders>
          </w:tcPr>
          <w:p w:rsidR="004B40A3" w:rsidRDefault="004B40A3" w:rsidP="00B6529C">
            <w:pPr>
              <w:jc w:val="right"/>
              <w:rPr>
                <w:color w:val="000000"/>
                <w:sz w:val="18"/>
                <w:szCs w:val="18"/>
              </w:rPr>
            </w:pPr>
            <w:r>
              <w:rPr>
                <w:color w:val="000000"/>
                <w:sz w:val="18"/>
                <w:szCs w:val="18"/>
              </w:rPr>
              <w:t>0.0000</w:t>
            </w:r>
          </w:p>
        </w:tc>
        <w:tc>
          <w:tcPr>
            <w:tcW w:w="1043" w:type="dxa"/>
          </w:tcPr>
          <w:p w:rsidR="004B40A3" w:rsidRDefault="004B40A3" w:rsidP="00B6529C">
            <w:pPr>
              <w:jc w:val="right"/>
              <w:rPr>
                <w:color w:val="000000"/>
                <w:sz w:val="18"/>
                <w:szCs w:val="18"/>
              </w:rPr>
            </w:pPr>
            <w:r>
              <w:rPr>
                <w:color w:val="000000"/>
                <w:sz w:val="18"/>
                <w:szCs w:val="18"/>
              </w:rPr>
              <w:t>0.0000</w:t>
            </w:r>
          </w:p>
        </w:tc>
        <w:tc>
          <w:tcPr>
            <w:tcW w:w="1043" w:type="dxa"/>
          </w:tcPr>
          <w:p w:rsidR="004B40A3" w:rsidRDefault="004B40A3" w:rsidP="00B6529C">
            <w:pPr>
              <w:jc w:val="right"/>
              <w:rPr>
                <w:color w:val="000000"/>
                <w:sz w:val="18"/>
                <w:szCs w:val="18"/>
              </w:rPr>
            </w:pPr>
            <w:r>
              <w:rPr>
                <w:color w:val="000000"/>
                <w:sz w:val="18"/>
                <w:szCs w:val="18"/>
              </w:rPr>
              <w:t>0.0000</w:t>
            </w:r>
          </w:p>
        </w:tc>
        <w:tc>
          <w:tcPr>
            <w:tcW w:w="1030" w:type="dxa"/>
          </w:tcPr>
          <w:p w:rsidR="004B40A3" w:rsidRDefault="004B40A3" w:rsidP="00B6529C">
            <w:pPr>
              <w:jc w:val="right"/>
              <w:rPr>
                <w:color w:val="000000"/>
                <w:sz w:val="18"/>
                <w:szCs w:val="18"/>
              </w:rPr>
            </w:pPr>
            <w:r>
              <w:rPr>
                <w:color w:val="000000"/>
                <w:sz w:val="18"/>
                <w:szCs w:val="18"/>
              </w:rPr>
              <w:t>0.0000</w:t>
            </w:r>
          </w:p>
        </w:tc>
        <w:tc>
          <w:tcPr>
            <w:tcW w:w="980" w:type="dxa"/>
          </w:tcPr>
          <w:p w:rsidR="004B40A3" w:rsidRDefault="004B40A3" w:rsidP="00B6529C">
            <w:pPr>
              <w:jc w:val="right"/>
              <w:rPr>
                <w:color w:val="000000"/>
                <w:sz w:val="18"/>
                <w:szCs w:val="18"/>
              </w:rPr>
            </w:pPr>
            <w:r>
              <w:rPr>
                <w:color w:val="000000"/>
                <w:sz w:val="18"/>
                <w:szCs w:val="18"/>
              </w:rPr>
              <w:t>0.0000</w:t>
            </w:r>
          </w:p>
        </w:tc>
        <w:tc>
          <w:tcPr>
            <w:tcW w:w="1053" w:type="dxa"/>
          </w:tcPr>
          <w:p w:rsidR="004B40A3" w:rsidRDefault="004B40A3" w:rsidP="00B6529C">
            <w:pPr>
              <w:jc w:val="right"/>
              <w:rPr>
                <w:color w:val="000000"/>
                <w:sz w:val="18"/>
                <w:szCs w:val="18"/>
              </w:rPr>
            </w:pPr>
            <w:r>
              <w:rPr>
                <w:color w:val="000000"/>
                <w:sz w:val="18"/>
                <w:szCs w:val="18"/>
              </w:rPr>
              <w:t>0.0000</w:t>
            </w:r>
          </w:p>
        </w:tc>
      </w:tr>
      <w:tr w:rsidR="004B40A3" w:rsidTr="00B6529C">
        <w:tc>
          <w:tcPr>
            <w:tcW w:w="4051" w:type="dxa"/>
            <w:gridSpan w:val="2"/>
            <w:tcBorders>
              <w:right w:val="single" w:sz="18" w:space="0" w:color="7F7F7F" w:themeColor="text1" w:themeTint="80"/>
            </w:tcBorders>
          </w:tcPr>
          <w:p w:rsidR="004B40A3" w:rsidRPr="00BD714E" w:rsidRDefault="004B40A3" w:rsidP="00B6529C">
            <w:pPr>
              <w:spacing w:before="0"/>
              <w:rPr>
                <w:rFonts w:ascii="Times New Roman" w:hAnsi="Times New Roman" w:cs="Times New Roman"/>
                <w:b/>
                <w:sz w:val="20"/>
                <w:szCs w:val="20"/>
              </w:rPr>
            </w:pPr>
            <w:r w:rsidRPr="00BD714E">
              <w:rPr>
                <w:rFonts w:ascii="Times New Roman" w:hAnsi="Times New Roman" w:cs="Times New Roman"/>
                <w:b/>
                <w:sz w:val="20"/>
                <w:szCs w:val="20"/>
              </w:rPr>
              <w:t xml:space="preserve">10. Loss of domestic traveler expenditure outside target city </w:t>
            </w:r>
          </w:p>
        </w:tc>
        <w:tc>
          <w:tcPr>
            <w:tcW w:w="832" w:type="dxa"/>
            <w:tcBorders>
              <w:left w:val="single" w:sz="18" w:space="0" w:color="7F7F7F" w:themeColor="text1" w:themeTint="80"/>
            </w:tcBorders>
          </w:tcPr>
          <w:p w:rsidR="004B40A3" w:rsidRDefault="004B40A3" w:rsidP="00B6529C">
            <w:pPr>
              <w:jc w:val="right"/>
              <w:rPr>
                <w:color w:val="000000"/>
                <w:sz w:val="18"/>
                <w:szCs w:val="18"/>
              </w:rPr>
            </w:pPr>
            <w:r>
              <w:rPr>
                <w:color w:val="000000"/>
                <w:sz w:val="18"/>
                <w:szCs w:val="18"/>
              </w:rPr>
              <w:t>-0.0044</w:t>
            </w:r>
          </w:p>
        </w:tc>
        <w:tc>
          <w:tcPr>
            <w:tcW w:w="1030" w:type="dxa"/>
          </w:tcPr>
          <w:p w:rsidR="004B40A3" w:rsidRDefault="004B40A3" w:rsidP="00B6529C">
            <w:pPr>
              <w:jc w:val="right"/>
              <w:rPr>
                <w:color w:val="000000"/>
                <w:sz w:val="18"/>
                <w:szCs w:val="18"/>
              </w:rPr>
            </w:pPr>
            <w:r>
              <w:rPr>
                <w:color w:val="000000"/>
                <w:sz w:val="18"/>
                <w:szCs w:val="18"/>
              </w:rPr>
              <w:t>-0.0064</w:t>
            </w:r>
          </w:p>
        </w:tc>
        <w:tc>
          <w:tcPr>
            <w:tcW w:w="1041" w:type="dxa"/>
          </w:tcPr>
          <w:p w:rsidR="004B40A3" w:rsidRDefault="004B40A3" w:rsidP="00B6529C">
            <w:pPr>
              <w:jc w:val="right"/>
              <w:rPr>
                <w:color w:val="000000"/>
                <w:sz w:val="18"/>
                <w:szCs w:val="18"/>
              </w:rPr>
            </w:pPr>
            <w:r>
              <w:rPr>
                <w:color w:val="000000"/>
                <w:sz w:val="18"/>
                <w:szCs w:val="18"/>
              </w:rPr>
              <w:t>-0.0023</w:t>
            </w:r>
          </w:p>
        </w:tc>
        <w:tc>
          <w:tcPr>
            <w:tcW w:w="1041" w:type="dxa"/>
            <w:tcBorders>
              <w:right w:val="single" w:sz="18" w:space="0" w:color="7F7F7F" w:themeColor="text1" w:themeTint="80"/>
            </w:tcBorders>
          </w:tcPr>
          <w:p w:rsidR="004B40A3" w:rsidRDefault="004B40A3" w:rsidP="00B6529C">
            <w:pPr>
              <w:jc w:val="right"/>
              <w:rPr>
                <w:color w:val="000000"/>
                <w:sz w:val="18"/>
                <w:szCs w:val="18"/>
              </w:rPr>
            </w:pPr>
            <w:r>
              <w:rPr>
                <w:color w:val="000000"/>
                <w:sz w:val="18"/>
                <w:szCs w:val="18"/>
              </w:rPr>
              <w:t>-0.0064</w:t>
            </w:r>
          </w:p>
        </w:tc>
        <w:tc>
          <w:tcPr>
            <w:tcW w:w="1030" w:type="dxa"/>
            <w:tcBorders>
              <w:left w:val="single" w:sz="18" w:space="0" w:color="7F7F7F" w:themeColor="text1" w:themeTint="80"/>
            </w:tcBorders>
          </w:tcPr>
          <w:p w:rsidR="004B40A3" w:rsidRDefault="004B40A3" w:rsidP="00B6529C">
            <w:pPr>
              <w:jc w:val="right"/>
              <w:rPr>
                <w:color w:val="000000"/>
                <w:sz w:val="18"/>
                <w:szCs w:val="18"/>
              </w:rPr>
            </w:pPr>
            <w:r>
              <w:rPr>
                <w:color w:val="000000"/>
                <w:sz w:val="18"/>
                <w:szCs w:val="18"/>
              </w:rPr>
              <w:t>0.0002</w:t>
            </w:r>
          </w:p>
        </w:tc>
        <w:tc>
          <w:tcPr>
            <w:tcW w:w="1043" w:type="dxa"/>
          </w:tcPr>
          <w:p w:rsidR="004B40A3" w:rsidRDefault="004B40A3" w:rsidP="00B6529C">
            <w:pPr>
              <w:jc w:val="right"/>
              <w:rPr>
                <w:color w:val="000000"/>
                <w:sz w:val="18"/>
                <w:szCs w:val="18"/>
              </w:rPr>
            </w:pPr>
            <w:r>
              <w:rPr>
                <w:color w:val="000000"/>
                <w:sz w:val="18"/>
                <w:szCs w:val="18"/>
              </w:rPr>
              <w:t>0.0000</w:t>
            </w:r>
          </w:p>
        </w:tc>
        <w:tc>
          <w:tcPr>
            <w:tcW w:w="1043" w:type="dxa"/>
          </w:tcPr>
          <w:p w:rsidR="004B40A3" w:rsidRDefault="004B40A3" w:rsidP="00B6529C">
            <w:pPr>
              <w:jc w:val="right"/>
              <w:rPr>
                <w:color w:val="000000"/>
                <w:sz w:val="18"/>
                <w:szCs w:val="18"/>
              </w:rPr>
            </w:pPr>
            <w:r>
              <w:rPr>
                <w:color w:val="000000"/>
                <w:sz w:val="18"/>
                <w:szCs w:val="18"/>
              </w:rPr>
              <w:t>0.0002</w:t>
            </w:r>
          </w:p>
        </w:tc>
        <w:tc>
          <w:tcPr>
            <w:tcW w:w="1030" w:type="dxa"/>
          </w:tcPr>
          <w:p w:rsidR="004B40A3" w:rsidRDefault="004B40A3" w:rsidP="00B6529C">
            <w:pPr>
              <w:jc w:val="right"/>
              <w:rPr>
                <w:color w:val="000000"/>
                <w:sz w:val="18"/>
                <w:szCs w:val="18"/>
              </w:rPr>
            </w:pPr>
            <w:r>
              <w:rPr>
                <w:color w:val="000000"/>
                <w:sz w:val="18"/>
                <w:szCs w:val="18"/>
              </w:rPr>
              <w:t>0.0000</w:t>
            </w:r>
          </w:p>
        </w:tc>
        <w:tc>
          <w:tcPr>
            <w:tcW w:w="980" w:type="dxa"/>
          </w:tcPr>
          <w:p w:rsidR="004B40A3" w:rsidRDefault="004B40A3" w:rsidP="00B6529C">
            <w:pPr>
              <w:jc w:val="right"/>
              <w:rPr>
                <w:color w:val="000000"/>
                <w:sz w:val="18"/>
                <w:szCs w:val="18"/>
              </w:rPr>
            </w:pPr>
            <w:r>
              <w:rPr>
                <w:color w:val="000000"/>
                <w:sz w:val="18"/>
                <w:szCs w:val="18"/>
              </w:rPr>
              <w:t>-0.0125</w:t>
            </w:r>
          </w:p>
        </w:tc>
        <w:tc>
          <w:tcPr>
            <w:tcW w:w="1053" w:type="dxa"/>
          </w:tcPr>
          <w:p w:rsidR="004B40A3" w:rsidRDefault="004B40A3" w:rsidP="00B6529C">
            <w:pPr>
              <w:jc w:val="right"/>
              <w:rPr>
                <w:color w:val="000000"/>
                <w:sz w:val="18"/>
                <w:szCs w:val="18"/>
              </w:rPr>
            </w:pPr>
            <w:r>
              <w:rPr>
                <w:color w:val="000000"/>
                <w:sz w:val="18"/>
                <w:szCs w:val="18"/>
              </w:rPr>
              <w:t>-0.0102</w:t>
            </w:r>
          </w:p>
        </w:tc>
      </w:tr>
      <w:tr w:rsidR="004B40A3" w:rsidTr="00B6529C">
        <w:tc>
          <w:tcPr>
            <w:tcW w:w="4051" w:type="dxa"/>
            <w:gridSpan w:val="2"/>
            <w:tcBorders>
              <w:right w:val="single" w:sz="18" w:space="0" w:color="7F7F7F" w:themeColor="text1" w:themeTint="80"/>
            </w:tcBorders>
          </w:tcPr>
          <w:p w:rsidR="004B40A3" w:rsidRPr="00BD714E" w:rsidRDefault="004B40A3" w:rsidP="00B6529C">
            <w:pPr>
              <w:spacing w:before="0"/>
              <w:rPr>
                <w:rFonts w:ascii="Times New Roman" w:hAnsi="Times New Roman" w:cs="Times New Roman"/>
                <w:b/>
                <w:sz w:val="20"/>
                <w:szCs w:val="20"/>
              </w:rPr>
            </w:pPr>
            <w:r w:rsidRPr="00BD714E">
              <w:rPr>
                <w:rFonts w:ascii="Times New Roman" w:hAnsi="Times New Roman" w:cs="Times New Roman"/>
                <w:b/>
                <w:sz w:val="20"/>
                <w:szCs w:val="20"/>
              </w:rPr>
              <w:t xml:space="preserve">11. Loss of food production in target state </w:t>
            </w:r>
          </w:p>
        </w:tc>
        <w:tc>
          <w:tcPr>
            <w:tcW w:w="832" w:type="dxa"/>
            <w:tcBorders>
              <w:left w:val="single" w:sz="18" w:space="0" w:color="7F7F7F" w:themeColor="text1" w:themeTint="80"/>
            </w:tcBorders>
          </w:tcPr>
          <w:p w:rsidR="004B40A3" w:rsidRDefault="004B40A3" w:rsidP="00B6529C">
            <w:pPr>
              <w:jc w:val="right"/>
              <w:rPr>
                <w:color w:val="000000"/>
                <w:sz w:val="18"/>
                <w:szCs w:val="18"/>
              </w:rPr>
            </w:pPr>
            <w:r>
              <w:rPr>
                <w:color w:val="000000"/>
                <w:sz w:val="18"/>
                <w:szCs w:val="18"/>
              </w:rPr>
              <w:t>-0.0051</w:t>
            </w:r>
          </w:p>
        </w:tc>
        <w:tc>
          <w:tcPr>
            <w:tcW w:w="1030" w:type="dxa"/>
          </w:tcPr>
          <w:p w:rsidR="004B40A3" w:rsidRDefault="004B40A3" w:rsidP="00B6529C">
            <w:pPr>
              <w:jc w:val="right"/>
              <w:rPr>
                <w:color w:val="000000"/>
                <w:sz w:val="18"/>
                <w:szCs w:val="18"/>
              </w:rPr>
            </w:pPr>
            <w:r>
              <w:rPr>
                <w:color w:val="000000"/>
                <w:sz w:val="18"/>
                <w:szCs w:val="18"/>
              </w:rPr>
              <w:t>-0.0045</w:t>
            </w:r>
          </w:p>
        </w:tc>
        <w:tc>
          <w:tcPr>
            <w:tcW w:w="1041" w:type="dxa"/>
          </w:tcPr>
          <w:p w:rsidR="004B40A3" w:rsidRDefault="004B40A3" w:rsidP="00B6529C">
            <w:pPr>
              <w:jc w:val="right"/>
              <w:rPr>
                <w:color w:val="000000"/>
                <w:sz w:val="18"/>
                <w:szCs w:val="18"/>
              </w:rPr>
            </w:pPr>
            <w:r>
              <w:rPr>
                <w:color w:val="000000"/>
                <w:sz w:val="18"/>
                <w:szCs w:val="18"/>
              </w:rPr>
              <w:t>-0.0252</w:t>
            </w:r>
          </w:p>
        </w:tc>
        <w:tc>
          <w:tcPr>
            <w:tcW w:w="1041" w:type="dxa"/>
            <w:tcBorders>
              <w:right w:val="single" w:sz="18" w:space="0" w:color="7F7F7F" w:themeColor="text1" w:themeTint="80"/>
            </w:tcBorders>
          </w:tcPr>
          <w:p w:rsidR="004B40A3" w:rsidRDefault="004B40A3" w:rsidP="00B6529C">
            <w:pPr>
              <w:jc w:val="right"/>
              <w:rPr>
                <w:color w:val="000000"/>
                <w:sz w:val="18"/>
                <w:szCs w:val="18"/>
              </w:rPr>
            </w:pPr>
            <w:r>
              <w:rPr>
                <w:color w:val="000000"/>
                <w:sz w:val="18"/>
                <w:szCs w:val="18"/>
              </w:rPr>
              <w:t>-0.0191</w:t>
            </w:r>
          </w:p>
        </w:tc>
        <w:tc>
          <w:tcPr>
            <w:tcW w:w="1030" w:type="dxa"/>
            <w:tcBorders>
              <w:left w:val="single" w:sz="18" w:space="0" w:color="7F7F7F" w:themeColor="text1" w:themeTint="80"/>
            </w:tcBorders>
          </w:tcPr>
          <w:p w:rsidR="004B40A3" w:rsidRDefault="004B40A3" w:rsidP="00B6529C">
            <w:pPr>
              <w:jc w:val="right"/>
              <w:rPr>
                <w:color w:val="000000"/>
                <w:sz w:val="18"/>
                <w:szCs w:val="18"/>
              </w:rPr>
            </w:pPr>
            <w:r>
              <w:rPr>
                <w:color w:val="000000"/>
                <w:sz w:val="18"/>
                <w:szCs w:val="18"/>
              </w:rPr>
              <w:t>0.0000</w:t>
            </w:r>
          </w:p>
        </w:tc>
        <w:tc>
          <w:tcPr>
            <w:tcW w:w="1043" w:type="dxa"/>
          </w:tcPr>
          <w:p w:rsidR="004B40A3" w:rsidRDefault="004B40A3" w:rsidP="00B6529C">
            <w:pPr>
              <w:jc w:val="right"/>
              <w:rPr>
                <w:color w:val="000000"/>
                <w:sz w:val="18"/>
                <w:szCs w:val="18"/>
              </w:rPr>
            </w:pPr>
            <w:r>
              <w:rPr>
                <w:color w:val="000000"/>
                <w:sz w:val="18"/>
                <w:szCs w:val="18"/>
              </w:rPr>
              <w:t>0.0000</w:t>
            </w:r>
          </w:p>
        </w:tc>
        <w:tc>
          <w:tcPr>
            <w:tcW w:w="1043" w:type="dxa"/>
          </w:tcPr>
          <w:p w:rsidR="004B40A3" w:rsidRDefault="004B40A3" w:rsidP="00B6529C">
            <w:pPr>
              <w:jc w:val="right"/>
              <w:rPr>
                <w:color w:val="000000"/>
                <w:sz w:val="18"/>
                <w:szCs w:val="18"/>
              </w:rPr>
            </w:pPr>
            <w:r>
              <w:rPr>
                <w:color w:val="000000"/>
                <w:sz w:val="18"/>
                <w:szCs w:val="18"/>
              </w:rPr>
              <w:t>-0.0001</w:t>
            </w:r>
          </w:p>
        </w:tc>
        <w:tc>
          <w:tcPr>
            <w:tcW w:w="1030" w:type="dxa"/>
          </w:tcPr>
          <w:p w:rsidR="004B40A3" w:rsidRDefault="004B40A3" w:rsidP="00B6529C">
            <w:pPr>
              <w:jc w:val="right"/>
              <w:rPr>
                <w:color w:val="000000"/>
                <w:sz w:val="18"/>
                <w:szCs w:val="18"/>
              </w:rPr>
            </w:pPr>
            <w:r>
              <w:rPr>
                <w:color w:val="000000"/>
                <w:sz w:val="18"/>
                <w:szCs w:val="18"/>
              </w:rPr>
              <w:t>0.0000</w:t>
            </w:r>
          </w:p>
        </w:tc>
        <w:tc>
          <w:tcPr>
            <w:tcW w:w="980" w:type="dxa"/>
          </w:tcPr>
          <w:p w:rsidR="004B40A3" w:rsidRDefault="004B40A3" w:rsidP="00B6529C">
            <w:pPr>
              <w:jc w:val="right"/>
              <w:rPr>
                <w:color w:val="000000"/>
                <w:sz w:val="18"/>
                <w:szCs w:val="18"/>
              </w:rPr>
            </w:pPr>
            <w:r>
              <w:rPr>
                <w:color w:val="000000"/>
                <w:sz w:val="18"/>
                <w:szCs w:val="18"/>
              </w:rPr>
              <w:t>-0.0008</w:t>
            </w:r>
          </w:p>
        </w:tc>
        <w:tc>
          <w:tcPr>
            <w:tcW w:w="1053" w:type="dxa"/>
          </w:tcPr>
          <w:p w:rsidR="004B40A3" w:rsidRDefault="004B40A3" w:rsidP="00B6529C">
            <w:pPr>
              <w:jc w:val="right"/>
              <w:rPr>
                <w:color w:val="000000"/>
                <w:sz w:val="18"/>
                <w:szCs w:val="18"/>
              </w:rPr>
            </w:pPr>
            <w:r>
              <w:rPr>
                <w:color w:val="000000"/>
                <w:sz w:val="18"/>
                <w:szCs w:val="18"/>
              </w:rPr>
              <w:t>-0.0009</w:t>
            </w:r>
          </w:p>
        </w:tc>
      </w:tr>
      <w:tr w:rsidR="004B40A3" w:rsidTr="00B6529C">
        <w:tc>
          <w:tcPr>
            <w:tcW w:w="4051" w:type="dxa"/>
            <w:gridSpan w:val="2"/>
            <w:tcBorders>
              <w:right w:val="single" w:sz="18" w:space="0" w:color="7F7F7F" w:themeColor="text1" w:themeTint="80"/>
            </w:tcBorders>
          </w:tcPr>
          <w:p w:rsidR="004B40A3" w:rsidRPr="00BD714E" w:rsidRDefault="004B40A3" w:rsidP="00B6529C">
            <w:pPr>
              <w:spacing w:before="0"/>
              <w:rPr>
                <w:rFonts w:ascii="Times New Roman" w:hAnsi="Times New Roman" w:cs="Times New Roman"/>
                <w:b/>
                <w:sz w:val="20"/>
                <w:szCs w:val="20"/>
              </w:rPr>
            </w:pPr>
            <w:r w:rsidRPr="00BD714E">
              <w:rPr>
                <w:rFonts w:ascii="Times New Roman" w:hAnsi="Times New Roman" w:cs="Times New Roman"/>
                <w:b/>
                <w:sz w:val="20"/>
                <w:szCs w:val="20"/>
              </w:rPr>
              <w:t xml:space="preserve">12. Total loss of food production in U.S. including target state </w:t>
            </w:r>
          </w:p>
        </w:tc>
        <w:tc>
          <w:tcPr>
            <w:tcW w:w="832" w:type="dxa"/>
            <w:tcBorders>
              <w:left w:val="single" w:sz="18" w:space="0" w:color="7F7F7F" w:themeColor="text1" w:themeTint="80"/>
            </w:tcBorders>
          </w:tcPr>
          <w:p w:rsidR="004B40A3" w:rsidRDefault="004B40A3" w:rsidP="00B6529C">
            <w:pPr>
              <w:jc w:val="right"/>
              <w:rPr>
                <w:color w:val="000000"/>
                <w:sz w:val="18"/>
                <w:szCs w:val="18"/>
              </w:rPr>
            </w:pPr>
            <w:r>
              <w:rPr>
                <w:color w:val="000000"/>
                <w:sz w:val="18"/>
                <w:szCs w:val="18"/>
              </w:rPr>
              <w:t>-0.0539</w:t>
            </w:r>
          </w:p>
        </w:tc>
        <w:tc>
          <w:tcPr>
            <w:tcW w:w="1030" w:type="dxa"/>
          </w:tcPr>
          <w:p w:rsidR="004B40A3" w:rsidRDefault="004B40A3" w:rsidP="00B6529C">
            <w:pPr>
              <w:jc w:val="right"/>
              <w:rPr>
                <w:color w:val="000000"/>
                <w:sz w:val="18"/>
                <w:szCs w:val="18"/>
              </w:rPr>
            </w:pPr>
            <w:r>
              <w:rPr>
                <w:color w:val="000000"/>
                <w:sz w:val="18"/>
                <w:szCs w:val="18"/>
              </w:rPr>
              <w:t>-0.0373</w:t>
            </w:r>
          </w:p>
        </w:tc>
        <w:tc>
          <w:tcPr>
            <w:tcW w:w="1041" w:type="dxa"/>
          </w:tcPr>
          <w:p w:rsidR="004B40A3" w:rsidRDefault="004B40A3" w:rsidP="00B6529C">
            <w:pPr>
              <w:jc w:val="right"/>
              <w:rPr>
                <w:color w:val="000000"/>
                <w:sz w:val="18"/>
                <w:szCs w:val="18"/>
              </w:rPr>
            </w:pPr>
            <w:r>
              <w:rPr>
                <w:color w:val="000000"/>
                <w:sz w:val="18"/>
                <w:szCs w:val="18"/>
              </w:rPr>
              <w:t>-0.0438</w:t>
            </w:r>
          </w:p>
        </w:tc>
        <w:tc>
          <w:tcPr>
            <w:tcW w:w="1041" w:type="dxa"/>
            <w:tcBorders>
              <w:right w:val="single" w:sz="18" w:space="0" w:color="7F7F7F" w:themeColor="text1" w:themeTint="80"/>
            </w:tcBorders>
          </w:tcPr>
          <w:p w:rsidR="004B40A3" w:rsidRDefault="004B40A3" w:rsidP="00B6529C">
            <w:pPr>
              <w:jc w:val="right"/>
              <w:rPr>
                <w:color w:val="000000"/>
                <w:sz w:val="18"/>
                <w:szCs w:val="18"/>
              </w:rPr>
            </w:pPr>
            <w:r>
              <w:rPr>
                <w:color w:val="000000"/>
                <w:sz w:val="18"/>
                <w:szCs w:val="18"/>
              </w:rPr>
              <w:t>-0.1008</w:t>
            </w:r>
          </w:p>
        </w:tc>
        <w:tc>
          <w:tcPr>
            <w:tcW w:w="1030" w:type="dxa"/>
            <w:tcBorders>
              <w:left w:val="single" w:sz="18" w:space="0" w:color="7F7F7F" w:themeColor="text1" w:themeTint="80"/>
            </w:tcBorders>
          </w:tcPr>
          <w:p w:rsidR="004B40A3" w:rsidRDefault="004B40A3" w:rsidP="00B6529C">
            <w:pPr>
              <w:jc w:val="right"/>
              <w:rPr>
                <w:color w:val="000000"/>
                <w:sz w:val="18"/>
                <w:szCs w:val="18"/>
              </w:rPr>
            </w:pPr>
            <w:r>
              <w:rPr>
                <w:color w:val="000000"/>
                <w:sz w:val="18"/>
                <w:szCs w:val="18"/>
              </w:rPr>
              <w:t>0.0003</w:t>
            </w:r>
          </w:p>
        </w:tc>
        <w:tc>
          <w:tcPr>
            <w:tcW w:w="1043" w:type="dxa"/>
          </w:tcPr>
          <w:p w:rsidR="004B40A3" w:rsidRDefault="004B40A3" w:rsidP="00B6529C">
            <w:pPr>
              <w:jc w:val="right"/>
              <w:rPr>
                <w:color w:val="000000"/>
                <w:sz w:val="18"/>
                <w:szCs w:val="18"/>
              </w:rPr>
            </w:pPr>
            <w:r>
              <w:rPr>
                <w:color w:val="000000"/>
                <w:sz w:val="18"/>
                <w:szCs w:val="18"/>
              </w:rPr>
              <w:t>0.0000</w:t>
            </w:r>
          </w:p>
        </w:tc>
        <w:tc>
          <w:tcPr>
            <w:tcW w:w="1043" w:type="dxa"/>
          </w:tcPr>
          <w:p w:rsidR="004B40A3" w:rsidRDefault="004B40A3" w:rsidP="00B6529C">
            <w:pPr>
              <w:jc w:val="right"/>
              <w:rPr>
                <w:color w:val="000000"/>
                <w:sz w:val="18"/>
                <w:szCs w:val="18"/>
              </w:rPr>
            </w:pPr>
            <w:r>
              <w:rPr>
                <w:color w:val="000000"/>
                <w:sz w:val="18"/>
                <w:szCs w:val="18"/>
              </w:rPr>
              <w:t>0.0026</w:t>
            </w:r>
          </w:p>
        </w:tc>
        <w:tc>
          <w:tcPr>
            <w:tcW w:w="1030" w:type="dxa"/>
          </w:tcPr>
          <w:p w:rsidR="004B40A3" w:rsidRDefault="004B40A3" w:rsidP="00B6529C">
            <w:pPr>
              <w:jc w:val="right"/>
              <w:rPr>
                <w:color w:val="000000"/>
                <w:sz w:val="18"/>
                <w:szCs w:val="18"/>
              </w:rPr>
            </w:pPr>
            <w:r>
              <w:rPr>
                <w:color w:val="000000"/>
                <w:sz w:val="18"/>
                <w:szCs w:val="18"/>
              </w:rPr>
              <w:t>-0.0003</w:t>
            </w:r>
          </w:p>
        </w:tc>
        <w:tc>
          <w:tcPr>
            <w:tcW w:w="980" w:type="dxa"/>
          </w:tcPr>
          <w:p w:rsidR="004B40A3" w:rsidRDefault="004B40A3" w:rsidP="00B6529C">
            <w:pPr>
              <w:jc w:val="right"/>
              <w:rPr>
                <w:color w:val="000000"/>
                <w:sz w:val="18"/>
                <w:szCs w:val="18"/>
              </w:rPr>
            </w:pPr>
            <w:r>
              <w:rPr>
                <w:color w:val="000000"/>
                <w:sz w:val="18"/>
                <w:szCs w:val="18"/>
              </w:rPr>
              <w:t>-0.0631</w:t>
            </w:r>
          </w:p>
        </w:tc>
        <w:tc>
          <w:tcPr>
            <w:tcW w:w="1053" w:type="dxa"/>
          </w:tcPr>
          <w:p w:rsidR="004B40A3" w:rsidRDefault="004B40A3" w:rsidP="00B6529C">
            <w:pPr>
              <w:jc w:val="right"/>
              <w:rPr>
                <w:color w:val="000000"/>
                <w:sz w:val="18"/>
                <w:szCs w:val="18"/>
              </w:rPr>
            </w:pPr>
            <w:r>
              <w:rPr>
                <w:color w:val="000000"/>
                <w:sz w:val="18"/>
                <w:szCs w:val="18"/>
              </w:rPr>
              <w:t>-0.0655</w:t>
            </w:r>
          </w:p>
        </w:tc>
      </w:tr>
      <w:tr w:rsidR="004B40A3" w:rsidTr="00B6529C">
        <w:tc>
          <w:tcPr>
            <w:tcW w:w="4051" w:type="dxa"/>
            <w:gridSpan w:val="2"/>
            <w:tcBorders>
              <w:right w:val="single" w:sz="18" w:space="0" w:color="7F7F7F" w:themeColor="text1" w:themeTint="80"/>
            </w:tcBorders>
          </w:tcPr>
          <w:p w:rsidR="004B40A3" w:rsidRPr="00BD714E" w:rsidRDefault="004B40A3" w:rsidP="00B6529C">
            <w:pPr>
              <w:spacing w:before="0"/>
              <w:rPr>
                <w:rFonts w:ascii="Times New Roman" w:hAnsi="Times New Roman" w:cs="Times New Roman"/>
                <w:b/>
                <w:sz w:val="20"/>
                <w:szCs w:val="20"/>
              </w:rPr>
            </w:pPr>
            <w:r w:rsidRPr="00BD714E">
              <w:rPr>
                <w:rFonts w:ascii="Times New Roman" w:hAnsi="Times New Roman" w:cs="Times New Roman"/>
                <w:b/>
                <w:sz w:val="20"/>
                <w:szCs w:val="20"/>
              </w:rPr>
              <w:t>13. Deaths &amp; serious injuries, permanent removal from work (people)</w:t>
            </w:r>
          </w:p>
        </w:tc>
        <w:tc>
          <w:tcPr>
            <w:tcW w:w="832" w:type="dxa"/>
            <w:tcBorders>
              <w:left w:val="single" w:sz="18" w:space="0" w:color="7F7F7F" w:themeColor="text1" w:themeTint="80"/>
            </w:tcBorders>
          </w:tcPr>
          <w:p w:rsidR="004B40A3" w:rsidRDefault="004B40A3" w:rsidP="00B6529C">
            <w:pPr>
              <w:jc w:val="right"/>
              <w:rPr>
                <w:color w:val="000000"/>
                <w:sz w:val="18"/>
                <w:szCs w:val="18"/>
              </w:rPr>
            </w:pPr>
            <w:r>
              <w:rPr>
                <w:color w:val="000000"/>
                <w:sz w:val="18"/>
                <w:szCs w:val="18"/>
              </w:rPr>
              <w:t>-0.2086</w:t>
            </w:r>
          </w:p>
        </w:tc>
        <w:tc>
          <w:tcPr>
            <w:tcW w:w="1030" w:type="dxa"/>
          </w:tcPr>
          <w:p w:rsidR="004B40A3" w:rsidRDefault="004B40A3" w:rsidP="00B6529C">
            <w:pPr>
              <w:jc w:val="right"/>
              <w:rPr>
                <w:color w:val="000000"/>
                <w:sz w:val="18"/>
                <w:szCs w:val="18"/>
              </w:rPr>
            </w:pPr>
            <w:r>
              <w:rPr>
                <w:color w:val="000000"/>
                <w:sz w:val="18"/>
                <w:szCs w:val="18"/>
              </w:rPr>
              <w:t>-0.3564</w:t>
            </w:r>
          </w:p>
        </w:tc>
        <w:tc>
          <w:tcPr>
            <w:tcW w:w="1041" w:type="dxa"/>
          </w:tcPr>
          <w:p w:rsidR="004B40A3" w:rsidRDefault="004B40A3" w:rsidP="00B6529C">
            <w:pPr>
              <w:jc w:val="right"/>
              <w:rPr>
                <w:color w:val="000000"/>
                <w:sz w:val="18"/>
                <w:szCs w:val="18"/>
              </w:rPr>
            </w:pPr>
            <w:r>
              <w:rPr>
                <w:color w:val="000000"/>
                <w:sz w:val="18"/>
                <w:szCs w:val="18"/>
              </w:rPr>
              <w:t>-3.2903</w:t>
            </w:r>
          </w:p>
        </w:tc>
        <w:tc>
          <w:tcPr>
            <w:tcW w:w="1041" w:type="dxa"/>
            <w:tcBorders>
              <w:right w:val="single" w:sz="18" w:space="0" w:color="7F7F7F" w:themeColor="text1" w:themeTint="80"/>
            </w:tcBorders>
          </w:tcPr>
          <w:p w:rsidR="004B40A3" w:rsidRDefault="004B40A3" w:rsidP="00B6529C">
            <w:pPr>
              <w:jc w:val="right"/>
              <w:rPr>
                <w:color w:val="000000"/>
                <w:sz w:val="18"/>
                <w:szCs w:val="18"/>
              </w:rPr>
            </w:pPr>
            <w:r>
              <w:rPr>
                <w:color w:val="000000"/>
                <w:sz w:val="18"/>
                <w:szCs w:val="18"/>
              </w:rPr>
              <w:t>-5.5367</w:t>
            </w:r>
          </w:p>
        </w:tc>
        <w:tc>
          <w:tcPr>
            <w:tcW w:w="1030" w:type="dxa"/>
            <w:tcBorders>
              <w:left w:val="single" w:sz="18" w:space="0" w:color="7F7F7F" w:themeColor="text1" w:themeTint="80"/>
            </w:tcBorders>
          </w:tcPr>
          <w:p w:rsidR="004B40A3" w:rsidRDefault="004B40A3" w:rsidP="00B6529C">
            <w:pPr>
              <w:jc w:val="right"/>
              <w:rPr>
                <w:color w:val="000000"/>
                <w:sz w:val="18"/>
                <w:szCs w:val="18"/>
              </w:rPr>
            </w:pPr>
            <w:r>
              <w:rPr>
                <w:color w:val="000000"/>
                <w:sz w:val="18"/>
                <w:szCs w:val="18"/>
              </w:rPr>
              <w:t>-0.9552</w:t>
            </w:r>
          </w:p>
        </w:tc>
        <w:tc>
          <w:tcPr>
            <w:tcW w:w="1043" w:type="dxa"/>
          </w:tcPr>
          <w:p w:rsidR="004B40A3" w:rsidRDefault="004B40A3" w:rsidP="00B6529C">
            <w:pPr>
              <w:jc w:val="right"/>
              <w:rPr>
                <w:color w:val="000000"/>
                <w:sz w:val="18"/>
                <w:szCs w:val="18"/>
              </w:rPr>
            </w:pPr>
            <w:r>
              <w:rPr>
                <w:color w:val="000000"/>
                <w:sz w:val="18"/>
                <w:szCs w:val="18"/>
              </w:rPr>
              <w:t>-0.9910</w:t>
            </w:r>
          </w:p>
        </w:tc>
        <w:tc>
          <w:tcPr>
            <w:tcW w:w="1043" w:type="dxa"/>
          </w:tcPr>
          <w:p w:rsidR="004B40A3" w:rsidRDefault="004B40A3" w:rsidP="00B6529C">
            <w:pPr>
              <w:jc w:val="right"/>
              <w:rPr>
                <w:color w:val="000000"/>
                <w:sz w:val="18"/>
                <w:szCs w:val="18"/>
              </w:rPr>
            </w:pPr>
            <w:r>
              <w:rPr>
                <w:color w:val="000000"/>
                <w:sz w:val="18"/>
                <w:szCs w:val="18"/>
              </w:rPr>
              <w:t>-0.0300</w:t>
            </w:r>
          </w:p>
        </w:tc>
        <w:tc>
          <w:tcPr>
            <w:tcW w:w="1030" w:type="dxa"/>
          </w:tcPr>
          <w:p w:rsidR="004B40A3" w:rsidRDefault="004B40A3" w:rsidP="00B6529C">
            <w:pPr>
              <w:jc w:val="right"/>
              <w:rPr>
                <w:color w:val="000000"/>
                <w:sz w:val="18"/>
                <w:szCs w:val="18"/>
              </w:rPr>
            </w:pPr>
            <w:r>
              <w:rPr>
                <w:color w:val="000000"/>
                <w:sz w:val="18"/>
                <w:szCs w:val="18"/>
              </w:rPr>
              <w:t>-0.0205</w:t>
            </w:r>
          </w:p>
        </w:tc>
        <w:tc>
          <w:tcPr>
            <w:tcW w:w="980" w:type="dxa"/>
          </w:tcPr>
          <w:p w:rsidR="004B40A3" w:rsidRDefault="004B40A3" w:rsidP="00B6529C">
            <w:pPr>
              <w:jc w:val="right"/>
              <w:rPr>
                <w:color w:val="000000"/>
                <w:sz w:val="18"/>
                <w:szCs w:val="18"/>
              </w:rPr>
            </w:pPr>
            <w:r>
              <w:rPr>
                <w:color w:val="000000"/>
                <w:sz w:val="18"/>
                <w:szCs w:val="18"/>
              </w:rPr>
              <w:t>-298.6014</w:t>
            </w:r>
          </w:p>
        </w:tc>
        <w:tc>
          <w:tcPr>
            <w:tcW w:w="1053" w:type="dxa"/>
          </w:tcPr>
          <w:p w:rsidR="004B40A3" w:rsidRDefault="004B40A3" w:rsidP="00B6529C">
            <w:pPr>
              <w:jc w:val="right"/>
              <w:rPr>
                <w:color w:val="000000"/>
                <w:sz w:val="18"/>
                <w:szCs w:val="18"/>
              </w:rPr>
            </w:pPr>
            <w:r>
              <w:rPr>
                <w:color w:val="000000"/>
                <w:sz w:val="18"/>
                <w:szCs w:val="18"/>
              </w:rPr>
              <w:t>-307.2679</w:t>
            </w:r>
          </w:p>
        </w:tc>
      </w:tr>
      <w:tr w:rsidR="004B40A3" w:rsidTr="00B6529C">
        <w:tc>
          <w:tcPr>
            <w:tcW w:w="4051" w:type="dxa"/>
            <w:gridSpan w:val="2"/>
            <w:tcBorders>
              <w:bottom w:val="single" w:sz="18" w:space="0" w:color="7F7F7F" w:themeColor="text1" w:themeTint="80"/>
              <w:right w:val="single" w:sz="18" w:space="0" w:color="7F7F7F" w:themeColor="text1" w:themeTint="80"/>
            </w:tcBorders>
          </w:tcPr>
          <w:p w:rsidR="004B40A3" w:rsidRPr="00BD714E" w:rsidRDefault="004B40A3" w:rsidP="00B6529C">
            <w:pPr>
              <w:spacing w:before="0"/>
              <w:rPr>
                <w:rFonts w:ascii="Times New Roman" w:hAnsi="Times New Roman" w:cs="Times New Roman"/>
                <w:b/>
                <w:sz w:val="20"/>
                <w:szCs w:val="20"/>
              </w:rPr>
            </w:pPr>
            <w:r w:rsidRPr="00BD714E">
              <w:rPr>
                <w:rFonts w:ascii="Times New Roman" w:hAnsi="Times New Roman" w:cs="Times New Roman"/>
                <w:b/>
                <w:sz w:val="20"/>
                <w:szCs w:val="20"/>
              </w:rPr>
              <w:t xml:space="preserve">14. Aversion, per cent reduction in labor </w:t>
            </w:r>
            <w:r w:rsidR="00B6529C">
              <w:rPr>
                <w:rFonts w:ascii="Times New Roman" w:hAnsi="Times New Roman" w:cs="Times New Roman"/>
                <w:b/>
                <w:sz w:val="20"/>
                <w:szCs w:val="20"/>
              </w:rPr>
              <w:t xml:space="preserve"> </w:t>
            </w:r>
            <w:r w:rsidRPr="00BD714E">
              <w:rPr>
                <w:rFonts w:ascii="Times New Roman" w:hAnsi="Times New Roman" w:cs="Times New Roman"/>
                <w:b/>
                <w:sz w:val="20"/>
                <w:szCs w:val="20"/>
              </w:rPr>
              <w:t>supply to target region</w:t>
            </w:r>
          </w:p>
        </w:tc>
        <w:tc>
          <w:tcPr>
            <w:tcW w:w="832" w:type="dxa"/>
            <w:tcBorders>
              <w:left w:val="single" w:sz="18" w:space="0" w:color="7F7F7F" w:themeColor="text1" w:themeTint="80"/>
              <w:bottom w:val="single" w:sz="18" w:space="0" w:color="7F7F7F" w:themeColor="text1" w:themeTint="80"/>
            </w:tcBorders>
          </w:tcPr>
          <w:p w:rsidR="004B40A3" w:rsidRDefault="004B40A3" w:rsidP="00B6529C">
            <w:pPr>
              <w:jc w:val="right"/>
              <w:rPr>
                <w:color w:val="000000"/>
                <w:sz w:val="18"/>
                <w:szCs w:val="18"/>
              </w:rPr>
            </w:pPr>
            <w:r>
              <w:rPr>
                <w:color w:val="000000"/>
                <w:sz w:val="18"/>
                <w:szCs w:val="18"/>
              </w:rPr>
              <w:t>0.0000</w:t>
            </w:r>
          </w:p>
        </w:tc>
        <w:tc>
          <w:tcPr>
            <w:tcW w:w="1030" w:type="dxa"/>
            <w:tcBorders>
              <w:bottom w:val="single" w:sz="18" w:space="0" w:color="7F7F7F" w:themeColor="text1" w:themeTint="80"/>
            </w:tcBorders>
          </w:tcPr>
          <w:p w:rsidR="004B40A3" w:rsidRDefault="004B40A3" w:rsidP="00B6529C">
            <w:pPr>
              <w:jc w:val="right"/>
              <w:rPr>
                <w:color w:val="000000"/>
                <w:sz w:val="18"/>
                <w:szCs w:val="18"/>
              </w:rPr>
            </w:pPr>
            <w:r>
              <w:rPr>
                <w:color w:val="000000"/>
                <w:sz w:val="18"/>
                <w:szCs w:val="18"/>
              </w:rPr>
              <w:t>0.0000</w:t>
            </w:r>
          </w:p>
        </w:tc>
        <w:tc>
          <w:tcPr>
            <w:tcW w:w="1041" w:type="dxa"/>
            <w:tcBorders>
              <w:bottom w:val="single" w:sz="18" w:space="0" w:color="7F7F7F" w:themeColor="text1" w:themeTint="80"/>
            </w:tcBorders>
          </w:tcPr>
          <w:p w:rsidR="004B40A3" w:rsidRDefault="004B40A3" w:rsidP="00B6529C">
            <w:pPr>
              <w:jc w:val="right"/>
              <w:rPr>
                <w:color w:val="000000"/>
                <w:sz w:val="18"/>
                <w:szCs w:val="18"/>
              </w:rPr>
            </w:pPr>
            <w:r>
              <w:rPr>
                <w:color w:val="000000"/>
                <w:sz w:val="18"/>
                <w:szCs w:val="18"/>
              </w:rPr>
              <w:t>-0.1502</w:t>
            </w:r>
          </w:p>
        </w:tc>
        <w:tc>
          <w:tcPr>
            <w:tcW w:w="1041" w:type="dxa"/>
            <w:tcBorders>
              <w:bottom w:val="single" w:sz="18" w:space="0" w:color="7F7F7F" w:themeColor="text1" w:themeTint="80"/>
              <w:right w:val="single" w:sz="18" w:space="0" w:color="7F7F7F" w:themeColor="text1" w:themeTint="80"/>
            </w:tcBorders>
          </w:tcPr>
          <w:p w:rsidR="004B40A3" w:rsidRDefault="004B40A3" w:rsidP="00B6529C">
            <w:pPr>
              <w:jc w:val="right"/>
              <w:rPr>
                <w:color w:val="000000"/>
                <w:sz w:val="18"/>
                <w:szCs w:val="18"/>
              </w:rPr>
            </w:pPr>
            <w:r>
              <w:rPr>
                <w:color w:val="000000"/>
                <w:sz w:val="18"/>
                <w:szCs w:val="18"/>
              </w:rPr>
              <w:t>-0.2529</w:t>
            </w:r>
          </w:p>
        </w:tc>
        <w:tc>
          <w:tcPr>
            <w:tcW w:w="1030" w:type="dxa"/>
            <w:tcBorders>
              <w:left w:val="single" w:sz="18" w:space="0" w:color="7F7F7F" w:themeColor="text1" w:themeTint="80"/>
              <w:bottom w:val="single" w:sz="18" w:space="0" w:color="7F7F7F" w:themeColor="text1" w:themeTint="80"/>
            </w:tcBorders>
          </w:tcPr>
          <w:p w:rsidR="004B40A3" w:rsidRDefault="004B40A3" w:rsidP="00B6529C">
            <w:pPr>
              <w:jc w:val="right"/>
              <w:rPr>
                <w:color w:val="000000"/>
                <w:sz w:val="18"/>
                <w:szCs w:val="18"/>
              </w:rPr>
            </w:pPr>
            <w:r>
              <w:rPr>
                <w:color w:val="000000"/>
                <w:sz w:val="18"/>
                <w:szCs w:val="18"/>
              </w:rPr>
              <w:t>0.0000</w:t>
            </w:r>
          </w:p>
        </w:tc>
        <w:tc>
          <w:tcPr>
            <w:tcW w:w="1043" w:type="dxa"/>
            <w:tcBorders>
              <w:bottom w:val="single" w:sz="18" w:space="0" w:color="7F7F7F" w:themeColor="text1" w:themeTint="80"/>
            </w:tcBorders>
          </w:tcPr>
          <w:p w:rsidR="004B40A3" w:rsidRDefault="004B40A3" w:rsidP="00B6529C">
            <w:pPr>
              <w:jc w:val="right"/>
              <w:rPr>
                <w:color w:val="000000"/>
                <w:sz w:val="18"/>
                <w:szCs w:val="18"/>
              </w:rPr>
            </w:pPr>
            <w:r>
              <w:rPr>
                <w:color w:val="000000"/>
                <w:sz w:val="18"/>
                <w:szCs w:val="18"/>
              </w:rPr>
              <w:t>0.0000</w:t>
            </w:r>
          </w:p>
        </w:tc>
        <w:tc>
          <w:tcPr>
            <w:tcW w:w="1043" w:type="dxa"/>
            <w:tcBorders>
              <w:bottom w:val="single" w:sz="18" w:space="0" w:color="7F7F7F" w:themeColor="text1" w:themeTint="80"/>
            </w:tcBorders>
          </w:tcPr>
          <w:p w:rsidR="004B40A3" w:rsidRDefault="004B40A3" w:rsidP="00B6529C">
            <w:pPr>
              <w:jc w:val="right"/>
              <w:rPr>
                <w:color w:val="000000"/>
                <w:sz w:val="18"/>
                <w:szCs w:val="18"/>
              </w:rPr>
            </w:pPr>
            <w:r>
              <w:rPr>
                <w:color w:val="000000"/>
                <w:sz w:val="18"/>
                <w:szCs w:val="18"/>
              </w:rPr>
              <w:t>-0.8275</w:t>
            </w:r>
          </w:p>
        </w:tc>
        <w:tc>
          <w:tcPr>
            <w:tcW w:w="1030" w:type="dxa"/>
            <w:tcBorders>
              <w:bottom w:val="single" w:sz="18" w:space="0" w:color="7F7F7F" w:themeColor="text1" w:themeTint="80"/>
            </w:tcBorders>
          </w:tcPr>
          <w:p w:rsidR="004B40A3" w:rsidRDefault="004B40A3" w:rsidP="00B6529C">
            <w:pPr>
              <w:jc w:val="right"/>
              <w:rPr>
                <w:color w:val="000000"/>
                <w:sz w:val="18"/>
                <w:szCs w:val="18"/>
              </w:rPr>
            </w:pPr>
            <w:r>
              <w:rPr>
                <w:color w:val="000000"/>
                <w:sz w:val="18"/>
                <w:szCs w:val="18"/>
              </w:rPr>
              <w:t>-0.9075</w:t>
            </w:r>
          </w:p>
        </w:tc>
        <w:tc>
          <w:tcPr>
            <w:tcW w:w="980" w:type="dxa"/>
            <w:tcBorders>
              <w:bottom w:val="single" w:sz="18" w:space="0" w:color="7F7F7F" w:themeColor="text1" w:themeTint="80"/>
            </w:tcBorders>
          </w:tcPr>
          <w:p w:rsidR="004B40A3" w:rsidRDefault="004B40A3" w:rsidP="00B6529C">
            <w:pPr>
              <w:jc w:val="right"/>
              <w:rPr>
                <w:color w:val="000000"/>
                <w:sz w:val="18"/>
                <w:szCs w:val="18"/>
              </w:rPr>
            </w:pPr>
            <w:r>
              <w:rPr>
                <w:color w:val="000000"/>
                <w:sz w:val="18"/>
                <w:szCs w:val="18"/>
              </w:rPr>
              <w:t>0.0000</w:t>
            </w:r>
          </w:p>
        </w:tc>
        <w:tc>
          <w:tcPr>
            <w:tcW w:w="1053" w:type="dxa"/>
            <w:tcBorders>
              <w:bottom w:val="single" w:sz="18" w:space="0" w:color="7F7F7F" w:themeColor="text1" w:themeTint="80"/>
            </w:tcBorders>
          </w:tcPr>
          <w:p w:rsidR="004B40A3" w:rsidRDefault="004B40A3" w:rsidP="00B6529C">
            <w:pPr>
              <w:jc w:val="right"/>
              <w:rPr>
                <w:color w:val="000000"/>
                <w:sz w:val="18"/>
                <w:szCs w:val="18"/>
              </w:rPr>
            </w:pPr>
            <w:r>
              <w:rPr>
                <w:color w:val="000000"/>
                <w:sz w:val="18"/>
                <w:szCs w:val="18"/>
              </w:rPr>
              <w:t>0.0000</w:t>
            </w:r>
          </w:p>
        </w:tc>
      </w:tr>
    </w:tbl>
    <w:p w:rsidR="004B40A3" w:rsidRDefault="004B40A3" w:rsidP="004B40A3">
      <w:pPr>
        <w:rPr>
          <w:rFonts w:ascii="Times New Roman" w:hAnsi="Times New Roman" w:cs="Times New Roman"/>
          <w:sz w:val="24"/>
          <w:szCs w:val="24"/>
        </w:rPr>
        <w:sectPr w:rsidR="004B40A3" w:rsidSect="00941227">
          <w:pgSz w:w="16838" w:h="11906" w:orient="landscape"/>
          <w:pgMar w:top="1440" w:right="1440" w:bottom="1440" w:left="1440" w:header="708" w:footer="708" w:gutter="0"/>
          <w:cols w:space="708"/>
          <w:docGrid w:linePitch="360"/>
        </w:sectPr>
      </w:pPr>
    </w:p>
    <w:p w:rsidR="0021748C" w:rsidRDefault="0021748C" w:rsidP="0021748C">
      <w:pPr>
        <w:tabs>
          <w:tab w:val="left" w:pos="720"/>
          <w:tab w:val="right" w:pos="8820"/>
        </w:tabs>
        <w:rPr>
          <w:rFonts w:ascii="Times New Roman" w:hAnsi="Times New Roman" w:cs="Times New Roman"/>
          <w:sz w:val="24"/>
          <w:szCs w:val="24"/>
        </w:rPr>
      </w:pPr>
      <w:r>
        <w:rPr>
          <w:rFonts w:ascii="Times New Roman" w:hAnsi="Times New Roman" w:cs="Times New Roman"/>
          <w:sz w:val="24"/>
          <w:szCs w:val="24"/>
        </w:rPr>
        <w:lastRenderedPageBreak/>
        <w:t xml:space="preserve">throughout the Target city (FL24 plus nearby congressional districts, see Table 6.1).  It is reasonable to suppose that clean-up would be conducted by the use of capital and labor located in the Target city, not just the target congressional district, FL24.  Under Keynesian assumptions, a 1 per cent increase in public expenditure in FL24’s city stimulates the nation’s output and employment in year 1 by 0.0017 and 0.0016 per cent, and FL24’s output and employment by 0.0866 and 0.0917 per cent.  By year 20, the output and employment effects have faded away at the national level and are tiny negatives at the FL24 level (-0.0012 and </w:t>
      </w:r>
      <w:r>
        <w:rPr>
          <w:rFonts w:ascii="Times New Roman" w:hAnsi="Times New Roman" w:cs="Times New Roman"/>
          <w:sz w:val="24"/>
          <w:szCs w:val="24"/>
        </w:rPr>
        <w:br/>
        <w:t xml:space="preserve">-0.0002).  Despite stimulation of the economy in year 1, the national welfare effects of the 1 per cent boost in public expenditure in FL24’s city are negative (-0.0001 and -0.0005 with 5 per cent and 2 per cent discount rates).  Extra public expenditure in year 1 leads to higher public debt.  This induces tighter fiscal policy which reduces consumption (and therefore welfare) after year 1.  </w:t>
      </w:r>
    </w:p>
    <w:p w:rsidR="00EB5507" w:rsidRDefault="00A72BEA" w:rsidP="003864AC">
      <w:pPr>
        <w:tabs>
          <w:tab w:val="left" w:pos="720"/>
          <w:tab w:val="right" w:pos="8820"/>
        </w:tabs>
        <w:rPr>
          <w:rFonts w:ascii="Times New Roman" w:hAnsi="Times New Roman" w:cs="Times New Roman"/>
          <w:sz w:val="24"/>
          <w:szCs w:val="24"/>
        </w:rPr>
      </w:pPr>
      <w:r>
        <w:rPr>
          <w:rFonts w:ascii="Times New Roman" w:hAnsi="Times New Roman" w:cs="Times New Roman"/>
          <w:sz w:val="24"/>
          <w:szCs w:val="24"/>
        </w:rPr>
        <w:t xml:space="preserve">Row 4 of Table </w:t>
      </w:r>
      <w:r w:rsidR="00E9794F">
        <w:rPr>
          <w:rFonts w:ascii="Times New Roman" w:hAnsi="Times New Roman" w:cs="Times New Roman"/>
          <w:sz w:val="24"/>
          <w:szCs w:val="24"/>
        </w:rPr>
        <w:t xml:space="preserve">6.2 </w:t>
      </w:r>
      <w:r>
        <w:rPr>
          <w:rFonts w:ascii="Times New Roman" w:hAnsi="Times New Roman" w:cs="Times New Roman"/>
          <w:sz w:val="24"/>
          <w:szCs w:val="24"/>
        </w:rPr>
        <w:t xml:space="preserve">shows under Keynesian assumptions the percentage effects of a </w:t>
      </w:r>
      <w:r w:rsidR="00BD322A">
        <w:rPr>
          <w:rFonts w:ascii="Times New Roman" w:hAnsi="Times New Roman" w:cs="Times New Roman"/>
          <w:sz w:val="24"/>
          <w:szCs w:val="24"/>
        </w:rPr>
        <w:t xml:space="preserve">temporary (one year) </w:t>
      </w:r>
      <w:r>
        <w:rPr>
          <w:rFonts w:ascii="Times New Roman" w:hAnsi="Times New Roman" w:cs="Times New Roman"/>
          <w:sz w:val="24"/>
          <w:szCs w:val="24"/>
        </w:rPr>
        <w:t xml:space="preserve">1 per cent boost in public health expenditure throughout FL24’s city.  These elasticities are </w:t>
      </w:r>
      <w:r w:rsidR="00EB5507">
        <w:rPr>
          <w:rFonts w:ascii="Times New Roman" w:hAnsi="Times New Roman" w:cs="Times New Roman"/>
          <w:sz w:val="24"/>
          <w:szCs w:val="24"/>
        </w:rPr>
        <w:t xml:space="preserve">much smaller than those in Row 3 because public health expenditure is small relative to total public expenditure.  The long-run effects of a 1 per cent boost in public health expenditure in FL24’s city are too small to register at 4 decimal places. </w:t>
      </w:r>
    </w:p>
    <w:p w:rsidR="00EB5507" w:rsidRDefault="00EB5507" w:rsidP="003864AC">
      <w:pPr>
        <w:tabs>
          <w:tab w:val="left" w:pos="720"/>
          <w:tab w:val="right" w:pos="8820"/>
        </w:tabs>
        <w:rPr>
          <w:rFonts w:ascii="Times New Roman" w:hAnsi="Times New Roman" w:cs="Times New Roman"/>
          <w:sz w:val="24"/>
          <w:szCs w:val="24"/>
        </w:rPr>
      </w:pPr>
      <w:r>
        <w:rPr>
          <w:rFonts w:ascii="Times New Roman" w:hAnsi="Times New Roman" w:cs="Times New Roman"/>
          <w:sz w:val="24"/>
          <w:szCs w:val="24"/>
        </w:rPr>
        <w:t xml:space="preserve">The TRA scenarios contain separate items for accommodation expenditure in the </w:t>
      </w:r>
      <w:r w:rsidR="006B72A0">
        <w:rPr>
          <w:rFonts w:ascii="Times New Roman" w:hAnsi="Times New Roman" w:cs="Times New Roman"/>
          <w:sz w:val="24"/>
          <w:szCs w:val="24"/>
        </w:rPr>
        <w:t>T</w:t>
      </w:r>
      <w:r>
        <w:rPr>
          <w:rFonts w:ascii="Times New Roman" w:hAnsi="Times New Roman" w:cs="Times New Roman"/>
          <w:sz w:val="24"/>
          <w:szCs w:val="24"/>
        </w:rPr>
        <w:t xml:space="preserve">arget city and outside the </w:t>
      </w:r>
      <w:r w:rsidR="006B72A0">
        <w:rPr>
          <w:rFonts w:ascii="Times New Roman" w:hAnsi="Times New Roman" w:cs="Times New Roman"/>
          <w:sz w:val="24"/>
          <w:szCs w:val="24"/>
        </w:rPr>
        <w:t>T</w:t>
      </w:r>
      <w:r>
        <w:rPr>
          <w:rFonts w:ascii="Times New Roman" w:hAnsi="Times New Roman" w:cs="Times New Roman"/>
          <w:sz w:val="24"/>
          <w:szCs w:val="24"/>
        </w:rPr>
        <w:t xml:space="preserve">arget city for displaced people.  </w:t>
      </w:r>
      <w:r w:rsidR="00FD03B7">
        <w:rPr>
          <w:rFonts w:ascii="Times New Roman" w:hAnsi="Times New Roman" w:cs="Times New Roman"/>
          <w:sz w:val="24"/>
          <w:szCs w:val="24"/>
        </w:rPr>
        <w:t xml:space="preserve">Rows 5 and 6 of Table </w:t>
      </w:r>
      <w:r w:rsidR="00E9794F">
        <w:rPr>
          <w:rFonts w:ascii="Times New Roman" w:hAnsi="Times New Roman" w:cs="Times New Roman"/>
          <w:sz w:val="24"/>
          <w:szCs w:val="24"/>
        </w:rPr>
        <w:t>6.2</w:t>
      </w:r>
      <w:r w:rsidR="00FD03B7">
        <w:rPr>
          <w:rFonts w:ascii="Times New Roman" w:hAnsi="Times New Roman" w:cs="Times New Roman"/>
          <w:sz w:val="24"/>
          <w:szCs w:val="24"/>
        </w:rPr>
        <w:t xml:space="preserve"> show</w:t>
      </w:r>
      <w:r w:rsidR="001F721A">
        <w:rPr>
          <w:rFonts w:ascii="Times New Roman" w:hAnsi="Times New Roman" w:cs="Times New Roman"/>
          <w:sz w:val="24"/>
          <w:szCs w:val="24"/>
        </w:rPr>
        <w:t>,</w:t>
      </w:r>
      <w:r w:rsidR="00FD03B7">
        <w:rPr>
          <w:rFonts w:ascii="Times New Roman" w:hAnsi="Times New Roman" w:cs="Times New Roman"/>
          <w:sz w:val="24"/>
          <w:szCs w:val="24"/>
        </w:rPr>
        <w:t xml:space="preserve"> </w:t>
      </w:r>
      <w:r w:rsidR="001F721A">
        <w:rPr>
          <w:rFonts w:ascii="Times New Roman" w:hAnsi="Times New Roman" w:cs="Times New Roman"/>
          <w:sz w:val="24"/>
          <w:szCs w:val="24"/>
        </w:rPr>
        <w:t xml:space="preserve">under Keynesian assumptions, </w:t>
      </w:r>
      <w:r w:rsidR="00FD03B7">
        <w:rPr>
          <w:rFonts w:ascii="Times New Roman" w:hAnsi="Times New Roman" w:cs="Times New Roman"/>
          <w:sz w:val="24"/>
          <w:szCs w:val="24"/>
        </w:rPr>
        <w:t>elasticities</w:t>
      </w:r>
      <w:r w:rsidR="001F721A">
        <w:rPr>
          <w:rFonts w:ascii="Times New Roman" w:hAnsi="Times New Roman" w:cs="Times New Roman"/>
          <w:sz w:val="24"/>
          <w:szCs w:val="24"/>
        </w:rPr>
        <w:t xml:space="preserve"> </w:t>
      </w:r>
      <w:r w:rsidR="00FD03B7">
        <w:rPr>
          <w:rFonts w:ascii="Times New Roman" w:hAnsi="Times New Roman" w:cs="Times New Roman"/>
          <w:sz w:val="24"/>
          <w:szCs w:val="24"/>
        </w:rPr>
        <w:t xml:space="preserve">with respect to accommodation expenditure in FL24’s city </w:t>
      </w:r>
      <w:r w:rsidR="001F721A">
        <w:rPr>
          <w:rFonts w:ascii="Times New Roman" w:hAnsi="Times New Roman" w:cs="Times New Roman"/>
          <w:sz w:val="24"/>
          <w:szCs w:val="24"/>
        </w:rPr>
        <w:t>and outside FL24’s city.</w:t>
      </w:r>
      <w:r w:rsidR="00FD03B7">
        <w:rPr>
          <w:rFonts w:ascii="Times New Roman" w:hAnsi="Times New Roman" w:cs="Times New Roman"/>
          <w:sz w:val="24"/>
          <w:szCs w:val="24"/>
        </w:rPr>
        <w:t xml:space="preserve">  At the national level, a 1 per cent increase in accommodation expenditure in FL24’s city has only small effects (output and employment </w:t>
      </w:r>
      <w:r w:rsidR="00B004A0">
        <w:rPr>
          <w:rFonts w:ascii="Times New Roman" w:hAnsi="Times New Roman" w:cs="Times New Roman"/>
          <w:sz w:val="24"/>
          <w:szCs w:val="24"/>
        </w:rPr>
        <w:t>effects</w:t>
      </w:r>
      <w:r w:rsidR="00FD03B7">
        <w:rPr>
          <w:rFonts w:ascii="Times New Roman" w:hAnsi="Times New Roman" w:cs="Times New Roman"/>
          <w:sz w:val="24"/>
          <w:szCs w:val="24"/>
        </w:rPr>
        <w:t xml:space="preserve"> of 0.0002 per cent in year 1and</w:t>
      </w:r>
      <w:r w:rsidR="00B004A0">
        <w:rPr>
          <w:rFonts w:ascii="Times New Roman" w:hAnsi="Times New Roman" w:cs="Times New Roman"/>
          <w:sz w:val="24"/>
          <w:szCs w:val="24"/>
        </w:rPr>
        <w:t xml:space="preserve"> </w:t>
      </w:r>
      <w:r w:rsidR="00FD03B7">
        <w:rPr>
          <w:rFonts w:ascii="Times New Roman" w:hAnsi="Times New Roman" w:cs="Times New Roman"/>
          <w:sz w:val="24"/>
          <w:szCs w:val="24"/>
        </w:rPr>
        <w:t xml:space="preserve">zero in year 20).  A 1 per cent increase in accommodation expenditure outside FL24’s city is a much larger shock.  Consequently, the </w:t>
      </w:r>
      <w:r w:rsidR="001F721A">
        <w:rPr>
          <w:rFonts w:ascii="Times New Roman" w:hAnsi="Times New Roman" w:cs="Times New Roman"/>
          <w:sz w:val="24"/>
          <w:szCs w:val="24"/>
        </w:rPr>
        <w:t>year</w:t>
      </w:r>
      <w:r w:rsidR="00B004A0">
        <w:rPr>
          <w:rFonts w:ascii="Times New Roman" w:hAnsi="Times New Roman" w:cs="Times New Roman"/>
          <w:sz w:val="24"/>
          <w:szCs w:val="24"/>
        </w:rPr>
        <w:t>-</w:t>
      </w:r>
      <w:r w:rsidR="001F721A">
        <w:rPr>
          <w:rFonts w:ascii="Times New Roman" w:hAnsi="Times New Roman" w:cs="Times New Roman"/>
          <w:sz w:val="24"/>
          <w:szCs w:val="24"/>
        </w:rPr>
        <w:t xml:space="preserve">1 </w:t>
      </w:r>
      <w:r w:rsidR="00FD03B7">
        <w:rPr>
          <w:rFonts w:ascii="Times New Roman" w:hAnsi="Times New Roman" w:cs="Times New Roman"/>
          <w:sz w:val="24"/>
          <w:szCs w:val="24"/>
        </w:rPr>
        <w:t xml:space="preserve">national elasticities in row 6 </w:t>
      </w:r>
      <w:r w:rsidR="001F721A">
        <w:rPr>
          <w:rFonts w:ascii="Times New Roman" w:hAnsi="Times New Roman" w:cs="Times New Roman"/>
          <w:sz w:val="24"/>
          <w:szCs w:val="24"/>
        </w:rPr>
        <w:t xml:space="preserve">(0.0303 and 0.0280) </w:t>
      </w:r>
      <w:r w:rsidR="00FD03B7">
        <w:rPr>
          <w:rFonts w:ascii="Times New Roman" w:hAnsi="Times New Roman" w:cs="Times New Roman"/>
          <w:sz w:val="24"/>
          <w:szCs w:val="24"/>
        </w:rPr>
        <w:t xml:space="preserve">are much larger than the </w:t>
      </w:r>
      <w:r w:rsidR="001F721A">
        <w:rPr>
          <w:rFonts w:ascii="Times New Roman" w:hAnsi="Times New Roman" w:cs="Times New Roman"/>
          <w:sz w:val="24"/>
          <w:szCs w:val="24"/>
        </w:rPr>
        <w:t>corresponding elasticities in row 5.  Even for FL24, the year</w:t>
      </w:r>
      <w:r w:rsidR="00B004A0">
        <w:rPr>
          <w:rFonts w:ascii="Times New Roman" w:hAnsi="Times New Roman" w:cs="Times New Roman"/>
          <w:sz w:val="24"/>
          <w:szCs w:val="24"/>
        </w:rPr>
        <w:t>-</w:t>
      </w:r>
      <w:r w:rsidR="001F721A">
        <w:rPr>
          <w:rFonts w:ascii="Times New Roman" w:hAnsi="Times New Roman" w:cs="Times New Roman"/>
          <w:sz w:val="24"/>
          <w:szCs w:val="24"/>
        </w:rPr>
        <w:t>1 elasticities are greater for accommodation expenditure outside FL24’s city than for accommodation expenditure in FL24’s city.  Despite the year</w:t>
      </w:r>
      <w:r w:rsidR="00B004A0">
        <w:rPr>
          <w:rFonts w:ascii="Times New Roman" w:hAnsi="Times New Roman" w:cs="Times New Roman"/>
          <w:sz w:val="24"/>
          <w:szCs w:val="24"/>
        </w:rPr>
        <w:t>-</w:t>
      </w:r>
      <w:r w:rsidR="001F721A">
        <w:rPr>
          <w:rFonts w:ascii="Times New Roman" w:hAnsi="Times New Roman" w:cs="Times New Roman"/>
          <w:sz w:val="24"/>
          <w:szCs w:val="24"/>
        </w:rPr>
        <w:t xml:space="preserve">1 boosts in the output and employment from increased accommodation expenditure, the welfare effects in rows 5 and 6 of Table </w:t>
      </w:r>
      <w:r w:rsidR="00E9794F">
        <w:rPr>
          <w:rFonts w:ascii="Times New Roman" w:hAnsi="Times New Roman" w:cs="Times New Roman"/>
          <w:sz w:val="24"/>
          <w:szCs w:val="24"/>
        </w:rPr>
        <w:t>6.2</w:t>
      </w:r>
      <w:r w:rsidR="001F721A">
        <w:rPr>
          <w:rFonts w:ascii="Times New Roman" w:hAnsi="Times New Roman" w:cs="Times New Roman"/>
          <w:sz w:val="24"/>
          <w:szCs w:val="24"/>
        </w:rPr>
        <w:t xml:space="preserve"> are negative.  </w:t>
      </w:r>
    </w:p>
    <w:p w:rsidR="00AC19B3" w:rsidRDefault="0058411E" w:rsidP="003864AC">
      <w:pPr>
        <w:tabs>
          <w:tab w:val="left" w:pos="720"/>
          <w:tab w:val="right" w:pos="8820"/>
        </w:tabs>
        <w:rPr>
          <w:rFonts w:ascii="Times New Roman" w:hAnsi="Times New Roman" w:cs="Times New Roman"/>
          <w:sz w:val="24"/>
          <w:szCs w:val="24"/>
        </w:rPr>
      </w:pPr>
      <w:r>
        <w:rPr>
          <w:rFonts w:ascii="Times New Roman" w:hAnsi="Times New Roman" w:cs="Times New Roman"/>
          <w:sz w:val="24"/>
          <w:szCs w:val="24"/>
        </w:rPr>
        <w:t xml:space="preserve">Similarly, the TRA scenarios contain separate items for loss of foreign visitor expenditure in the target city and outside the target city.  Rows 7 and 8 of Table </w:t>
      </w:r>
      <w:r w:rsidR="00E9794F">
        <w:rPr>
          <w:rFonts w:ascii="Times New Roman" w:hAnsi="Times New Roman" w:cs="Times New Roman"/>
          <w:sz w:val="24"/>
          <w:szCs w:val="24"/>
        </w:rPr>
        <w:t xml:space="preserve">6.2 </w:t>
      </w:r>
      <w:r>
        <w:rPr>
          <w:rFonts w:ascii="Times New Roman" w:hAnsi="Times New Roman" w:cs="Times New Roman"/>
          <w:sz w:val="24"/>
          <w:szCs w:val="24"/>
        </w:rPr>
        <w:t xml:space="preserve">show, under Keynesian assumptions, elasticities with respect to </w:t>
      </w:r>
      <w:r w:rsidR="006B72A0">
        <w:rPr>
          <w:rFonts w:ascii="Times New Roman" w:hAnsi="Times New Roman" w:cs="Times New Roman"/>
          <w:sz w:val="24"/>
          <w:szCs w:val="24"/>
        </w:rPr>
        <w:t xml:space="preserve">a temporary </w:t>
      </w:r>
      <w:r>
        <w:rPr>
          <w:rFonts w:ascii="Times New Roman" w:hAnsi="Times New Roman" w:cs="Times New Roman"/>
          <w:sz w:val="24"/>
          <w:szCs w:val="24"/>
        </w:rPr>
        <w:t xml:space="preserve">loss of foreign visitor expenditure in FL24’s city and outside FL24’s city. </w:t>
      </w:r>
      <w:r w:rsidR="005D243A">
        <w:rPr>
          <w:rFonts w:ascii="Times New Roman" w:hAnsi="Times New Roman" w:cs="Times New Roman"/>
          <w:sz w:val="24"/>
          <w:szCs w:val="24"/>
        </w:rPr>
        <w:t xml:space="preserve"> As with rows 5 and 6, the year</w:t>
      </w:r>
      <w:r w:rsidR="00B004A0">
        <w:rPr>
          <w:rFonts w:ascii="Times New Roman" w:hAnsi="Times New Roman" w:cs="Times New Roman"/>
          <w:sz w:val="24"/>
          <w:szCs w:val="24"/>
        </w:rPr>
        <w:t>-</w:t>
      </w:r>
      <w:r w:rsidR="005D243A">
        <w:rPr>
          <w:rFonts w:ascii="Times New Roman" w:hAnsi="Times New Roman" w:cs="Times New Roman"/>
          <w:sz w:val="24"/>
          <w:szCs w:val="24"/>
        </w:rPr>
        <w:t>1 national elasticities in row 8 for the shock outside FL24’</w:t>
      </w:r>
      <w:r w:rsidR="00B85E46">
        <w:rPr>
          <w:rFonts w:ascii="Times New Roman" w:hAnsi="Times New Roman" w:cs="Times New Roman"/>
          <w:sz w:val="24"/>
          <w:szCs w:val="24"/>
        </w:rPr>
        <w:t>s</w:t>
      </w:r>
      <w:r w:rsidR="005D243A">
        <w:rPr>
          <w:rFonts w:ascii="Times New Roman" w:hAnsi="Times New Roman" w:cs="Times New Roman"/>
          <w:sz w:val="24"/>
          <w:szCs w:val="24"/>
        </w:rPr>
        <w:t xml:space="preserve"> city are much larger in absolute size than those in row 7 for the shock in FL24’s city.  Again, this reflects the much larger magnitude of the shocked variable for outside FL24’s city than for in FL24’s city.  By contrast with rows 5 and 6, the elasticities for </w:t>
      </w:r>
      <w:r w:rsidR="00B72B48">
        <w:rPr>
          <w:rFonts w:ascii="Times New Roman" w:hAnsi="Times New Roman" w:cs="Times New Roman"/>
          <w:sz w:val="24"/>
          <w:szCs w:val="24"/>
        </w:rPr>
        <w:t>year</w:t>
      </w:r>
      <w:r w:rsidR="00B85E46">
        <w:rPr>
          <w:rFonts w:ascii="Times New Roman" w:hAnsi="Times New Roman" w:cs="Times New Roman"/>
          <w:sz w:val="24"/>
          <w:szCs w:val="24"/>
        </w:rPr>
        <w:t>-</w:t>
      </w:r>
      <w:r w:rsidR="00B72B48">
        <w:rPr>
          <w:rFonts w:ascii="Times New Roman" w:hAnsi="Times New Roman" w:cs="Times New Roman"/>
          <w:sz w:val="24"/>
          <w:szCs w:val="24"/>
        </w:rPr>
        <w:t>1 output and employment in FL24 are larger in absolute size for the own city shock than for the outside city shock (</w:t>
      </w:r>
      <w:r w:rsidR="00DC0BF9">
        <w:rPr>
          <w:rFonts w:ascii="Times New Roman" w:hAnsi="Times New Roman" w:cs="Times New Roman"/>
          <w:sz w:val="24"/>
          <w:szCs w:val="24"/>
        </w:rPr>
        <w:t>-</w:t>
      </w:r>
      <w:r w:rsidR="00B72B48">
        <w:rPr>
          <w:rFonts w:ascii="Times New Roman" w:hAnsi="Times New Roman" w:cs="Times New Roman"/>
          <w:sz w:val="24"/>
          <w:szCs w:val="24"/>
        </w:rPr>
        <w:t xml:space="preserve">0.0448 and </w:t>
      </w:r>
      <w:r w:rsidR="00DC0BF9">
        <w:rPr>
          <w:rFonts w:ascii="Times New Roman" w:hAnsi="Times New Roman" w:cs="Times New Roman"/>
          <w:sz w:val="24"/>
          <w:szCs w:val="24"/>
        </w:rPr>
        <w:t>-</w:t>
      </w:r>
      <w:r w:rsidR="00B72B48">
        <w:rPr>
          <w:rFonts w:ascii="Times New Roman" w:hAnsi="Times New Roman" w:cs="Times New Roman"/>
          <w:sz w:val="24"/>
          <w:szCs w:val="24"/>
        </w:rPr>
        <w:t>0.0402 in row 7 compared with</w:t>
      </w:r>
      <w:r w:rsidR="00DC0BF9">
        <w:rPr>
          <w:rFonts w:ascii="Times New Roman" w:hAnsi="Times New Roman" w:cs="Times New Roman"/>
          <w:sz w:val="24"/>
          <w:szCs w:val="24"/>
        </w:rPr>
        <w:br/>
        <w:t>-</w:t>
      </w:r>
      <w:r w:rsidR="00B72B48">
        <w:rPr>
          <w:rFonts w:ascii="Times New Roman" w:hAnsi="Times New Roman" w:cs="Times New Roman"/>
          <w:sz w:val="24"/>
          <w:szCs w:val="24"/>
        </w:rPr>
        <w:t xml:space="preserve">0.0114 and </w:t>
      </w:r>
      <w:r w:rsidR="00DC0BF9">
        <w:rPr>
          <w:rFonts w:ascii="Times New Roman" w:hAnsi="Times New Roman" w:cs="Times New Roman"/>
          <w:sz w:val="24"/>
          <w:szCs w:val="24"/>
        </w:rPr>
        <w:t>-</w:t>
      </w:r>
      <w:r w:rsidR="00B72B48">
        <w:rPr>
          <w:rFonts w:ascii="Times New Roman" w:hAnsi="Times New Roman" w:cs="Times New Roman"/>
          <w:sz w:val="24"/>
          <w:szCs w:val="24"/>
        </w:rPr>
        <w:t>0.0096 in row 8).  This reflects the high level of importance of foreign tourism to FL24’s city</w:t>
      </w:r>
      <w:r w:rsidR="00B85E46">
        <w:rPr>
          <w:rFonts w:ascii="Times New Roman" w:hAnsi="Times New Roman" w:cs="Times New Roman"/>
          <w:sz w:val="24"/>
          <w:szCs w:val="24"/>
        </w:rPr>
        <w:t xml:space="preserve"> (</w:t>
      </w:r>
      <w:r w:rsidR="00B72B48">
        <w:rPr>
          <w:rFonts w:ascii="Times New Roman" w:hAnsi="Times New Roman" w:cs="Times New Roman"/>
          <w:sz w:val="24"/>
          <w:szCs w:val="24"/>
        </w:rPr>
        <w:t>Miami</w:t>
      </w:r>
      <w:r w:rsidR="00DC0BF9">
        <w:rPr>
          <w:rFonts w:ascii="Times New Roman" w:hAnsi="Times New Roman" w:cs="Times New Roman"/>
          <w:sz w:val="24"/>
          <w:szCs w:val="24"/>
        </w:rPr>
        <w:t>).</w:t>
      </w:r>
      <w:r w:rsidR="00AC19B3">
        <w:rPr>
          <w:rFonts w:ascii="Times New Roman" w:hAnsi="Times New Roman" w:cs="Times New Roman"/>
          <w:sz w:val="24"/>
          <w:szCs w:val="24"/>
        </w:rPr>
        <w:t xml:space="preserve">  </w:t>
      </w:r>
    </w:p>
    <w:p w:rsidR="005D243A" w:rsidRDefault="00AC19B3" w:rsidP="003864AC">
      <w:pPr>
        <w:tabs>
          <w:tab w:val="left" w:pos="720"/>
          <w:tab w:val="right" w:pos="8820"/>
        </w:tabs>
        <w:rPr>
          <w:rFonts w:ascii="Times New Roman" w:hAnsi="Times New Roman" w:cs="Times New Roman"/>
          <w:sz w:val="24"/>
          <w:szCs w:val="24"/>
        </w:rPr>
      </w:pPr>
      <w:r>
        <w:rPr>
          <w:rFonts w:ascii="Times New Roman" w:hAnsi="Times New Roman" w:cs="Times New Roman"/>
          <w:sz w:val="24"/>
          <w:szCs w:val="24"/>
        </w:rPr>
        <w:t xml:space="preserve">The next pair of rows in Table </w:t>
      </w:r>
      <w:r w:rsidR="00E9794F">
        <w:rPr>
          <w:rFonts w:ascii="Times New Roman" w:hAnsi="Times New Roman" w:cs="Times New Roman"/>
          <w:sz w:val="24"/>
          <w:szCs w:val="24"/>
        </w:rPr>
        <w:t xml:space="preserve">6.2 </w:t>
      </w:r>
      <w:r>
        <w:rPr>
          <w:rFonts w:ascii="Times New Roman" w:hAnsi="Times New Roman" w:cs="Times New Roman"/>
          <w:sz w:val="24"/>
          <w:szCs w:val="24"/>
        </w:rPr>
        <w:t xml:space="preserve">(rows 9 and 10) show, under Keynesian assumptions, elasticities with respect to </w:t>
      </w:r>
      <w:r w:rsidR="00DC0BF9">
        <w:rPr>
          <w:rFonts w:ascii="Times New Roman" w:hAnsi="Times New Roman" w:cs="Times New Roman"/>
          <w:sz w:val="24"/>
          <w:szCs w:val="24"/>
        </w:rPr>
        <w:t xml:space="preserve">temporary </w:t>
      </w:r>
      <w:r>
        <w:rPr>
          <w:rFonts w:ascii="Times New Roman" w:hAnsi="Times New Roman" w:cs="Times New Roman"/>
          <w:sz w:val="24"/>
          <w:szCs w:val="24"/>
        </w:rPr>
        <w:t xml:space="preserve">loss of domestic visitor expenditure in FL24’s city and outside FL24’s city.  The pattern of results for this pair of rows is qualitatively similar to that in the previous pair of rows: non-negligible </w:t>
      </w:r>
      <w:r w:rsidR="004F12DD">
        <w:rPr>
          <w:rFonts w:ascii="Times New Roman" w:hAnsi="Times New Roman" w:cs="Times New Roman"/>
          <w:sz w:val="24"/>
          <w:szCs w:val="24"/>
        </w:rPr>
        <w:t>year</w:t>
      </w:r>
      <w:r w:rsidR="00B85E46">
        <w:rPr>
          <w:rFonts w:ascii="Times New Roman" w:hAnsi="Times New Roman" w:cs="Times New Roman"/>
          <w:sz w:val="24"/>
          <w:szCs w:val="24"/>
        </w:rPr>
        <w:t>-</w:t>
      </w:r>
      <w:r w:rsidR="004F12DD">
        <w:rPr>
          <w:rFonts w:ascii="Times New Roman" w:hAnsi="Times New Roman" w:cs="Times New Roman"/>
          <w:sz w:val="24"/>
          <w:szCs w:val="24"/>
        </w:rPr>
        <w:t xml:space="preserve">1 </w:t>
      </w:r>
      <w:r>
        <w:rPr>
          <w:rFonts w:ascii="Times New Roman" w:hAnsi="Times New Roman" w:cs="Times New Roman"/>
          <w:sz w:val="24"/>
          <w:szCs w:val="24"/>
        </w:rPr>
        <w:t xml:space="preserve">national elasticities only for </w:t>
      </w:r>
      <w:r w:rsidR="004F12DD">
        <w:rPr>
          <w:rFonts w:ascii="Times New Roman" w:hAnsi="Times New Roman" w:cs="Times New Roman"/>
          <w:sz w:val="24"/>
          <w:szCs w:val="24"/>
        </w:rPr>
        <w:t>the outside shock (-0.0360 and -0.0284); relatively large year</w:t>
      </w:r>
      <w:r w:rsidR="00B85E46">
        <w:rPr>
          <w:rFonts w:ascii="Times New Roman" w:hAnsi="Times New Roman" w:cs="Times New Roman"/>
          <w:sz w:val="24"/>
          <w:szCs w:val="24"/>
        </w:rPr>
        <w:t>-</w:t>
      </w:r>
      <w:r w:rsidR="004F12DD">
        <w:rPr>
          <w:rFonts w:ascii="Times New Roman" w:hAnsi="Times New Roman" w:cs="Times New Roman"/>
          <w:sz w:val="24"/>
          <w:szCs w:val="24"/>
        </w:rPr>
        <w:t>1 FL24 elasticities for the shock to FL24’s city</w:t>
      </w:r>
      <w:r w:rsidR="0021748C">
        <w:rPr>
          <w:rFonts w:ascii="Times New Roman" w:hAnsi="Times New Roman" w:cs="Times New Roman"/>
          <w:sz w:val="24"/>
          <w:szCs w:val="24"/>
        </w:rPr>
        <w:t xml:space="preserve"> </w:t>
      </w:r>
      <w:r w:rsidR="004F12DD">
        <w:rPr>
          <w:rFonts w:ascii="Times New Roman" w:hAnsi="Times New Roman" w:cs="Times New Roman"/>
          <w:sz w:val="24"/>
          <w:szCs w:val="24"/>
        </w:rPr>
        <w:t>(-0.0</w:t>
      </w:r>
      <w:r w:rsidR="009853F6">
        <w:rPr>
          <w:rFonts w:ascii="Times New Roman" w:hAnsi="Times New Roman" w:cs="Times New Roman"/>
          <w:sz w:val="24"/>
          <w:szCs w:val="24"/>
        </w:rPr>
        <w:t>804</w:t>
      </w:r>
      <w:r w:rsidR="004F12DD">
        <w:rPr>
          <w:rFonts w:ascii="Times New Roman" w:hAnsi="Times New Roman" w:cs="Times New Roman"/>
          <w:sz w:val="24"/>
          <w:szCs w:val="24"/>
        </w:rPr>
        <w:t xml:space="preserve"> and-0.0</w:t>
      </w:r>
      <w:r w:rsidR="009853F6">
        <w:rPr>
          <w:rFonts w:ascii="Times New Roman" w:hAnsi="Times New Roman" w:cs="Times New Roman"/>
          <w:sz w:val="24"/>
          <w:szCs w:val="24"/>
        </w:rPr>
        <w:t>708</w:t>
      </w:r>
      <w:r w:rsidR="004F12DD">
        <w:rPr>
          <w:rFonts w:ascii="Times New Roman" w:hAnsi="Times New Roman" w:cs="Times New Roman"/>
          <w:sz w:val="24"/>
          <w:szCs w:val="24"/>
        </w:rPr>
        <w:t>); and significant negative welfare elasticities only for the outside shock (-0.0263 a</w:t>
      </w:r>
      <w:r w:rsidR="009853F6">
        <w:rPr>
          <w:rFonts w:ascii="Times New Roman" w:hAnsi="Times New Roman" w:cs="Times New Roman"/>
          <w:sz w:val="24"/>
          <w:szCs w:val="24"/>
        </w:rPr>
        <w:t>nd</w:t>
      </w:r>
      <w:r w:rsidR="004F12DD">
        <w:rPr>
          <w:rFonts w:ascii="Times New Roman" w:hAnsi="Times New Roman" w:cs="Times New Roman"/>
          <w:sz w:val="24"/>
          <w:szCs w:val="24"/>
        </w:rPr>
        <w:t xml:space="preserve"> -0-0238).  </w:t>
      </w:r>
    </w:p>
    <w:p w:rsidR="001E79FA" w:rsidRDefault="009945E7" w:rsidP="004D59BD">
      <w:pPr>
        <w:tabs>
          <w:tab w:val="left" w:pos="720"/>
          <w:tab w:val="right" w:pos="8820"/>
        </w:tabs>
        <w:rPr>
          <w:rFonts w:ascii="Times New Roman" w:hAnsi="Times New Roman" w:cs="Times New Roman"/>
          <w:sz w:val="24"/>
          <w:szCs w:val="24"/>
        </w:rPr>
      </w:pPr>
      <w:r>
        <w:rPr>
          <w:rFonts w:ascii="Times New Roman" w:hAnsi="Times New Roman" w:cs="Times New Roman"/>
          <w:sz w:val="24"/>
          <w:szCs w:val="24"/>
        </w:rPr>
        <w:lastRenderedPageBreak/>
        <w:t xml:space="preserve">The setup of the next pair of rows, 11 and 12, is slightly different from that of the previous pairs.  Row 11 </w:t>
      </w:r>
      <w:r w:rsidR="00967652">
        <w:rPr>
          <w:rFonts w:ascii="Times New Roman" w:hAnsi="Times New Roman" w:cs="Times New Roman"/>
          <w:sz w:val="24"/>
          <w:szCs w:val="24"/>
        </w:rPr>
        <w:t xml:space="preserve">gives </w:t>
      </w:r>
      <w:r w:rsidR="00F045A6">
        <w:rPr>
          <w:rFonts w:ascii="Times New Roman" w:hAnsi="Times New Roman" w:cs="Times New Roman"/>
          <w:sz w:val="24"/>
          <w:szCs w:val="24"/>
        </w:rPr>
        <w:t xml:space="preserve">Keynesian </w:t>
      </w:r>
      <w:r w:rsidR="00967652">
        <w:rPr>
          <w:rFonts w:ascii="Times New Roman" w:hAnsi="Times New Roman" w:cs="Times New Roman"/>
          <w:sz w:val="24"/>
          <w:szCs w:val="24"/>
        </w:rPr>
        <w:t>elasticities with respect to loss of food production</w:t>
      </w:r>
      <w:r w:rsidR="00F5253B">
        <w:rPr>
          <w:rStyle w:val="FootnoteReference"/>
          <w:rFonts w:ascii="Times New Roman" w:hAnsi="Times New Roman" w:cs="Times New Roman"/>
          <w:sz w:val="24"/>
          <w:szCs w:val="24"/>
        </w:rPr>
        <w:footnoteReference w:id="24"/>
      </w:r>
      <w:r w:rsidR="00967652">
        <w:rPr>
          <w:rFonts w:ascii="Times New Roman" w:hAnsi="Times New Roman" w:cs="Times New Roman"/>
          <w:sz w:val="24"/>
          <w:szCs w:val="24"/>
        </w:rPr>
        <w:t xml:space="preserve"> in FL24’s state</w:t>
      </w:r>
      <w:r w:rsidR="001A7873">
        <w:rPr>
          <w:rFonts w:ascii="Times New Roman" w:hAnsi="Times New Roman" w:cs="Times New Roman"/>
          <w:sz w:val="24"/>
          <w:szCs w:val="24"/>
        </w:rPr>
        <w:t>,</w:t>
      </w:r>
      <w:r w:rsidR="00AD2EA1">
        <w:rPr>
          <w:rFonts w:ascii="Times New Roman" w:hAnsi="Times New Roman" w:cs="Times New Roman"/>
          <w:sz w:val="24"/>
          <w:szCs w:val="24"/>
        </w:rPr>
        <w:t xml:space="preserve"> </w:t>
      </w:r>
      <w:r w:rsidR="001A7873">
        <w:rPr>
          <w:rFonts w:ascii="Times New Roman" w:hAnsi="Times New Roman" w:cs="Times New Roman"/>
          <w:sz w:val="24"/>
          <w:szCs w:val="24"/>
        </w:rPr>
        <w:t>namely Florida</w:t>
      </w:r>
      <w:r w:rsidR="001A7873">
        <w:rPr>
          <w:rStyle w:val="FootnoteReference"/>
          <w:rFonts w:ascii="Times New Roman" w:hAnsi="Times New Roman" w:cs="Times New Roman"/>
          <w:sz w:val="24"/>
          <w:szCs w:val="24"/>
        </w:rPr>
        <w:footnoteReference w:id="25"/>
      </w:r>
      <w:r w:rsidR="001A7873">
        <w:rPr>
          <w:rFonts w:ascii="Times New Roman" w:hAnsi="Times New Roman" w:cs="Times New Roman"/>
          <w:sz w:val="24"/>
          <w:szCs w:val="24"/>
        </w:rPr>
        <w:t xml:space="preserve">, </w:t>
      </w:r>
      <w:r w:rsidR="00AD2EA1">
        <w:rPr>
          <w:rFonts w:ascii="Times New Roman" w:hAnsi="Times New Roman" w:cs="Times New Roman"/>
          <w:sz w:val="24"/>
          <w:szCs w:val="24"/>
        </w:rPr>
        <w:t xml:space="preserve">holding constant total U.S. </w:t>
      </w:r>
      <w:r w:rsidR="00F045A6">
        <w:rPr>
          <w:rFonts w:ascii="Times New Roman" w:hAnsi="Times New Roman" w:cs="Times New Roman"/>
          <w:sz w:val="24"/>
          <w:szCs w:val="24"/>
        </w:rPr>
        <w:t xml:space="preserve">food </w:t>
      </w:r>
      <w:r w:rsidR="00AD2EA1">
        <w:rPr>
          <w:rFonts w:ascii="Times New Roman" w:hAnsi="Times New Roman" w:cs="Times New Roman"/>
          <w:sz w:val="24"/>
          <w:szCs w:val="24"/>
        </w:rPr>
        <w:t>output</w:t>
      </w:r>
      <w:r w:rsidR="001A7873">
        <w:rPr>
          <w:rFonts w:ascii="Times New Roman" w:hAnsi="Times New Roman" w:cs="Times New Roman"/>
          <w:sz w:val="24"/>
          <w:szCs w:val="24"/>
        </w:rPr>
        <w:t>,</w:t>
      </w:r>
      <w:r w:rsidR="00F045A6">
        <w:rPr>
          <w:rFonts w:ascii="Times New Roman" w:hAnsi="Times New Roman" w:cs="Times New Roman"/>
          <w:sz w:val="24"/>
          <w:szCs w:val="24"/>
        </w:rPr>
        <w:t xml:space="preserve"> and r</w:t>
      </w:r>
      <w:r w:rsidR="00967652">
        <w:rPr>
          <w:rFonts w:ascii="Times New Roman" w:hAnsi="Times New Roman" w:cs="Times New Roman"/>
          <w:sz w:val="24"/>
          <w:szCs w:val="24"/>
        </w:rPr>
        <w:t xml:space="preserve">ow 12 gives elasticities with respect to loss of food production in </w:t>
      </w:r>
      <w:r w:rsidR="00F045A6">
        <w:rPr>
          <w:rFonts w:ascii="Times New Roman" w:hAnsi="Times New Roman" w:cs="Times New Roman"/>
          <w:sz w:val="24"/>
          <w:szCs w:val="24"/>
        </w:rPr>
        <w:t xml:space="preserve">the U.S. holding constant food production in </w:t>
      </w:r>
      <w:r w:rsidR="001A7873">
        <w:rPr>
          <w:rFonts w:ascii="Times New Roman" w:hAnsi="Times New Roman" w:cs="Times New Roman"/>
          <w:sz w:val="24"/>
          <w:szCs w:val="24"/>
        </w:rPr>
        <w:t>Florida</w:t>
      </w:r>
      <w:r w:rsidR="00967652">
        <w:rPr>
          <w:rFonts w:ascii="Times New Roman" w:hAnsi="Times New Roman" w:cs="Times New Roman"/>
          <w:sz w:val="24"/>
          <w:szCs w:val="24"/>
        </w:rPr>
        <w:t xml:space="preserve">. </w:t>
      </w:r>
      <w:r w:rsidR="00F045A6">
        <w:rPr>
          <w:rFonts w:ascii="Times New Roman" w:hAnsi="Times New Roman" w:cs="Times New Roman"/>
          <w:sz w:val="24"/>
          <w:szCs w:val="24"/>
        </w:rPr>
        <w:t xml:space="preserve"> The difference between the set up in rows 11 and 12 and the earlier pairs is the “holding constant” condition.  Even though U.S. food output is held constant in row 11, (implying </w:t>
      </w:r>
      <w:r w:rsidR="001E79FA">
        <w:rPr>
          <w:rFonts w:ascii="Times New Roman" w:hAnsi="Times New Roman" w:cs="Times New Roman"/>
          <w:sz w:val="24"/>
          <w:szCs w:val="24"/>
        </w:rPr>
        <w:t>the</w:t>
      </w:r>
      <w:r w:rsidR="00F045A6">
        <w:rPr>
          <w:rFonts w:ascii="Times New Roman" w:hAnsi="Times New Roman" w:cs="Times New Roman"/>
          <w:sz w:val="24"/>
          <w:szCs w:val="24"/>
        </w:rPr>
        <w:t xml:space="preserve"> reduction in Florida </w:t>
      </w:r>
      <w:r w:rsidR="001E79FA">
        <w:rPr>
          <w:rFonts w:ascii="Times New Roman" w:hAnsi="Times New Roman" w:cs="Times New Roman"/>
          <w:sz w:val="24"/>
          <w:szCs w:val="24"/>
        </w:rPr>
        <w:t xml:space="preserve">is </w:t>
      </w:r>
      <w:r w:rsidR="00F045A6">
        <w:rPr>
          <w:rFonts w:ascii="Times New Roman" w:hAnsi="Times New Roman" w:cs="Times New Roman"/>
          <w:sz w:val="24"/>
          <w:szCs w:val="24"/>
        </w:rPr>
        <w:t>offset by an increase in the rest of the U.S.) the year</w:t>
      </w:r>
      <w:r w:rsidR="009853F6">
        <w:rPr>
          <w:rFonts w:ascii="Times New Roman" w:hAnsi="Times New Roman" w:cs="Times New Roman"/>
          <w:sz w:val="24"/>
          <w:szCs w:val="24"/>
        </w:rPr>
        <w:t>-</w:t>
      </w:r>
      <w:r w:rsidR="00F045A6">
        <w:rPr>
          <w:rFonts w:ascii="Times New Roman" w:hAnsi="Times New Roman" w:cs="Times New Roman"/>
          <w:sz w:val="24"/>
          <w:szCs w:val="24"/>
        </w:rPr>
        <w:t xml:space="preserve">1 national output and employment elasticities are negative (-0.0012 and -0.0009).  This is because the replacement of lost food from Florida requires diversion of resources towards food production in the rest of the U.S. and away from other productive activities.  </w:t>
      </w:r>
      <w:r w:rsidR="004D59BD">
        <w:rPr>
          <w:rFonts w:ascii="Times New Roman" w:hAnsi="Times New Roman" w:cs="Times New Roman"/>
          <w:sz w:val="24"/>
          <w:szCs w:val="24"/>
        </w:rPr>
        <w:t>Even though Florida food output is held constant in row 12, the year</w:t>
      </w:r>
      <w:r w:rsidR="001E79FA">
        <w:rPr>
          <w:rFonts w:ascii="Times New Roman" w:hAnsi="Times New Roman" w:cs="Times New Roman"/>
          <w:sz w:val="24"/>
          <w:szCs w:val="24"/>
        </w:rPr>
        <w:t>-</w:t>
      </w:r>
      <w:r w:rsidR="004D59BD">
        <w:rPr>
          <w:rFonts w:ascii="Times New Roman" w:hAnsi="Times New Roman" w:cs="Times New Roman"/>
          <w:sz w:val="24"/>
          <w:szCs w:val="24"/>
        </w:rPr>
        <w:t>1 FL24 output and employment elasticities are negative (-0.1310</w:t>
      </w:r>
      <w:r w:rsidR="001E79FA">
        <w:rPr>
          <w:rFonts w:ascii="Times New Roman" w:hAnsi="Times New Roman" w:cs="Times New Roman"/>
          <w:sz w:val="24"/>
          <w:szCs w:val="24"/>
        </w:rPr>
        <w:t xml:space="preserve"> </w:t>
      </w:r>
      <w:r w:rsidR="0031664E">
        <w:rPr>
          <w:rFonts w:ascii="Times New Roman" w:hAnsi="Times New Roman" w:cs="Times New Roman"/>
          <w:sz w:val="24"/>
          <w:szCs w:val="24"/>
        </w:rPr>
        <w:t>and -0.1179).</w:t>
      </w:r>
      <w:r w:rsidR="004D59BD">
        <w:rPr>
          <w:rFonts w:ascii="Times New Roman" w:hAnsi="Times New Roman" w:cs="Times New Roman"/>
          <w:sz w:val="24"/>
          <w:szCs w:val="24"/>
        </w:rPr>
        <w:t xml:space="preserve">  This is because FL24 is damaged by its connection through trade with the </w:t>
      </w:r>
      <w:r w:rsidR="0031664E">
        <w:rPr>
          <w:rFonts w:ascii="Times New Roman" w:hAnsi="Times New Roman" w:cs="Times New Roman"/>
          <w:sz w:val="24"/>
          <w:szCs w:val="24"/>
        </w:rPr>
        <w:t>R</w:t>
      </w:r>
      <w:r w:rsidR="004D59BD">
        <w:rPr>
          <w:rFonts w:ascii="Times New Roman" w:hAnsi="Times New Roman" w:cs="Times New Roman"/>
          <w:sz w:val="24"/>
          <w:szCs w:val="24"/>
        </w:rPr>
        <w:t xml:space="preserve">est of the U.S.  As </w:t>
      </w:r>
      <w:r w:rsidR="00F5253B">
        <w:rPr>
          <w:rFonts w:ascii="Times New Roman" w:hAnsi="Times New Roman" w:cs="Times New Roman"/>
          <w:sz w:val="24"/>
          <w:szCs w:val="24"/>
        </w:rPr>
        <w:t>in</w:t>
      </w:r>
      <w:r w:rsidR="004D59BD">
        <w:rPr>
          <w:rFonts w:ascii="Times New Roman" w:hAnsi="Times New Roman" w:cs="Times New Roman"/>
          <w:sz w:val="24"/>
          <w:szCs w:val="24"/>
        </w:rPr>
        <w:t xml:space="preserve"> the earlier rows, the </w:t>
      </w:r>
      <w:r w:rsidR="00E63D73">
        <w:rPr>
          <w:rFonts w:ascii="Times New Roman" w:hAnsi="Times New Roman" w:cs="Times New Roman"/>
          <w:sz w:val="24"/>
          <w:szCs w:val="24"/>
        </w:rPr>
        <w:t>year-20</w:t>
      </w:r>
      <w:r w:rsidR="004D59BD">
        <w:rPr>
          <w:rFonts w:ascii="Times New Roman" w:hAnsi="Times New Roman" w:cs="Times New Roman"/>
          <w:sz w:val="24"/>
          <w:szCs w:val="24"/>
        </w:rPr>
        <w:t xml:space="preserve"> elasticities </w:t>
      </w:r>
      <w:r w:rsidR="0031664E">
        <w:rPr>
          <w:rFonts w:ascii="Times New Roman" w:hAnsi="Times New Roman" w:cs="Times New Roman"/>
          <w:sz w:val="24"/>
          <w:szCs w:val="24"/>
        </w:rPr>
        <w:t xml:space="preserve">in rows 11 and 12 </w:t>
      </w:r>
      <w:r w:rsidR="004D59BD">
        <w:rPr>
          <w:rFonts w:ascii="Times New Roman" w:hAnsi="Times New Roman" w:cs="Times New Roman"/>
          <w:sz w:val="24"/>
          <w:szCs w:val="24"/>
        </w:rPr>
        <w:t xml:space="preserve">for output and employment </w:t>
      </w:r>
      <w:r w:rsidR="00E63D73">
        <w:rPr>
          <w:rFonts w:ascii="Times New Roman" w:hAnsi="Times New Roman" w:cs="Times New Roman"/>
          <w:sz w:val="24"/>
          <w:szCs w:val="24"/>
        </w:rPr>
        <w:t xml:space="preserve">at the national </w:t>
      </w:r>
      <w:r w:rsidR="00F5253B">
        <w:rPr>
          <w:rFonts w:ascii="Times New Roman" w:hAnsi="Times New Roman" w:cs="Times New Roman"/>
          <w:sz w:val="24"/>
          <w:szCs w:val="24"/>
        </w:rPr>
        <w:t>and regional</w:t>
      </w:r>
      <w:r w:rsidR="00E63D73">
        <w:rPr>
          <w:rFonts w:ascii="Times New Roman" w:hAnsi="Times New Roman" w:cs="Times New Roman"/>
          <w:sz w:val="24"/>
          <w:szCs w:val="24"/>
        </w:rPr>
        <w:t xml:space="preserve"> levels are small.  This reflects long-run recovery of the economy from the shock (in this case </w:t>
      </w:r>
      <w:r w:rsidR="00F5253B">
        <w:rPr>
          <w:rFonts w:ascii="Times New Roman" w:hAnsi="Times New Roman" w:cs="Times New Roman"/>
          <w:sz w:val="24"/>
          <w:szCs w:val="24"/>
        </w:rPr>
        <w:t xml:space="preserve">temporary </w:t>
      </w:r>
      <w:r w:rsidR="00E63D73">
        <w:rPr>
          <w:rFonts w:ascii="Times New Roman" w:hAnsi="Times New Roman" w:cs="Times New Roman"/>
          <w:sz w:val="24"/>
          <w:szCs w:val="24"/>
        </w:rPr>
        <w:t xml:space="preserve">loss of food production) imposed in year 1.  Also consistent with the earlier rows, the negative shocks in year 1 produce negative accumulated welfare effects.  </w:t>
      </w:r>
    </w:p>
    <w:p w:rsidR="00F045A6" w:rsidRDefault="001E79FA" w:rsidP="004D59BD">
      <w:pPr>
        <w:tabs>
          <w:tab w:val="left" w:pos="720"/>
          <w:tab w:val="right" w:pos="8820"/>
        </w:tabs>
        <w:rPr>
          <w:rFonts w:ascii="Times New Roman" w:hAnsi="Times New Roman" w:cs="Times New Roman"/>
          <w:sz w:val="24"/>
          <w:szCs w:val="24"/>
        </w:rPr>
      </w:pPr>
      <w:r>
        <w:rPr>
          <w:rFonts w:ascii="Times New Roman" w:hAnsi="Times New Roman" w:cs="Times New Roman"/>
          <w:sz w:val="24"/>
          <w:szCs w:val="24"/>
        </w:rPr>
        <w:t xml:space="preserve">Row 13 shows effects of a loss of 1 per cent of the population through deaths.  These elasticities look very large relative to the other elasticities in Table </w:t>
      </w:r>
      <w:r w:rsidR="005E5D44">
        <w:rPr>
          <w:rFonts w:ascii="Times New Roman" w:hAnsi="Times New Roman" w:cs="Times New Roman"/>
          <w:sz w:val="24"/>
          <w:szCs w:val="24"/>
        </w:rPr>
        <w:t>6.2</w:t>
      </w:r>
      <w:r>
        <w:rPr>
          <w:rFonts w:ascii="Times New Roman" w:hAnsi="Times New Roman" w:cs="Times New Roman"/>
          <w:sz w:val="24"/>
          <w:szCs w:val="24"/>
        </w:rPr>
        <w:t>. The row-13 elasticities are large because the shock is large, about 3.2 million deaths.  With a life valued at $9.6 million (see section 5), 3.2 million deaths translates into $30.72 trillion</w:t>
      </w:r>
      <w:r w:rsidR="000969D9">
        <w:rPr>
          <w:rFonts w:ascii="Times New Roman" w:hAnsi="Times New Roman" w:cs="Times New Roman"/>
          <w:sz w:val="24"/>
          <w:szCs w:val="24"/>
        </w:rPr>
        <w:t>, about 3 times the value of a year’s consumption.  This is the reason that the welfare entries in the last two columns of row 13 are about -300 per cent.  There are also large entries for the year-1 FL24 output and employment elasticities (-5</w:t>
      </w:r>
      <w:r w:rsidR="00C15AFC">
        <w:rPr>
          <w:rFonts w:ascii="Times New Roman" w:hAnsi="Times New Roman" w:cs="Times New Roman"/>
          <w:sz w:val="24"/>
          <w:szCs w:val="24"/>
        </w:rPr>
        <w:t>1</w:t>
      </w:r>
      <w:r w:rsidR="000969D9">
        <w:rPr>
          <w:rFonts w:ascii="Times New Roman" w:hAnsi="Times New Roman" w:cs="Times New Roman"/>
          <w:sz w:val="24"/>
          <w:szCs w:val="24"/>
        </w:rPr>
        <w:t>.</w:t>
      </w:r>
      <w:r w:rsidR="00C15AFC">
        <w:rPr>
          <w:rFonts w:ascii="Times New Roman" w:hAnsi="Times New Roman" w:cs="Times New Roman"/>
          <w:sz w:val="24"/>
          <w:szCs w:val="24"/>
        </w:rPr>
        <w:t>3175</w:t>
      </w:r>
      <w:r w:rsidR="000969D9">
        <w:rPr>
          <w:rFonts w:ascii="Times New Roman" w:hAnsi="Times New Roman" w:cs="Times New Roman"/>
          <w:sz w:val="24"/>
          <w:szCs w:val="24"/>
        </w:rPr>
        <w:t xml:space="preserve"> and -5</w:t>
      </w:r>
      <w:r w:rsidR="00C15AFC">
        <w:rPr>
          <w:rFonts w:ascii="Times New Roman" w:hAnsi="Times New Roman" w:cs="Times New Roman"/>
          <w:sz w:val="24"/>
          <w:szCs w:val="24"/>
        </w:rPr>
        <w:t>6</w:t>
      </w:r>
      <w:r w:rsidR="000969D9">
        <w:rPr>
          <w:rFonts w:ascii="Times New Roman" w:hAnsi="Times New Roman" w:cs="Times New Roman"/>
          <w:sz w:val="24"/>
          <w:szCs w:val="24"/>
        </w:rPr>
        <w:t>.</w:t>
      </w:r>
      <w:r w:rsidR="00C15AFC">
        <w:rPr>
          <w:rFonts w:ascii="Times New Roman" w:hAnsi="Times New Roman" w:cs="Times New Roman"/>
          <w:sz w:val="24"/>
          <w:szCs w:val="24"/>
        </w:rPr>
        <w:t>4681</w:t>
      </w:r>
      <w:r w:rsidR="000969D9">
        <w:rPr>
          <w:rFonts w:ascii="Times New Roman" w:hAnsi="Times New Roman" w:cs="Times New Roman"/>
          <w:sz w:val="24"/>
          <w:szCs w:val="24"/>
        </w:rPr>
        <w:t xml:space="preserve">).  In computing these elasticities, </w:t>
      </w:r>
      <w:r w:rsidR="00A260EF">
        <w:rPr>
          <w:rFonts w:ascii="Times New Roman" w:hAnsi="Times New Roman" w:cs="Times New Roman"/>
          <w:sz w:val="24"/>
          <w:szCs w:val="24"/>
        </w:rPr>
        <w:t xml:space="preserve">we assume that half the people who die </w:t>
      </w:r>
      <w:r w:rsidR="00C15AFC">
        <w:rPr>
          <w:rFonts w:ascii="Times New Roman" w:hAnsi="Times New Roman" w:cs="Times New Roman"/>
          <w:sz w:val="24"/>
          <w:szCs w:val="24"/>
        </w:rPr>
        <w:t>are</w:t>
      </w:r>
      <w:r w:rsidR="00A260EF">
        <w:rPr>
          <w:rFonts w:ascii="Times New Roman" w:hAnsi="Times New Roman" w:cs="Times New Roman"/>
          <w:sz w:val="24"/>
          <w:szCs w:val="24"/>
        </w:rPr>
        <w:t xml:space="preserve"> in the labor force and that in year 1, only half the deceased workers in FL24’s city are replaced by incoming workers.  Thus, there is a net loss of 800 thousand workers in FL24’s city.  </w:t>
      </w:r>
      <w:r w:rsidR="005F390A">
        <w:rPr>
          <w:rFonts w:ascii="Times New Roman" w:hAnsi="Times New Roman" w:cs="Times New Roman"/>
          <w:sz w:val="24"/>
          <w:szCs w:val="24"/>
        </w:rPr>
        <w:t xml:space="preserve">This translates into large percentage loses in employment and output in each of the city’s 3 </w:t>
      </w:r>
      <w:r w:rsidR="00B835CD">
        <w:rPr>
          <w:rFonts w:ascii="Times New Roman" w:hAnsi="Times New Roman" w:cs="Times New Roman"/>
          <w:sz w:val="24"/>
          <w:szCs w:val="24"/>
        </w:rPr>
        <w:t>congressional</w:t>
      </w:r>
      <w:r w:rsidR="005F390A">
        <w:rPr>
          <w:rFonts w:ascii="Times New Roman" w:hAnsi="Times New Roman" w:cs="Times New Roman"/>
          <w:sz w:val="24"/>
          <w:szCs w:val="24"/>
        </w:rPr>
        <w:t xml:space="preserve"> districts, including FL24.  Compared with earlier rows, row 13 shows relatively large negative year-20 national output and employment</w:t>
      </w:r>
      <w:r w:rsidR="00A260EF">
        <w:rPr>
          <w:rFonts w:ascii="Times New Roman" w:hAnsi="Times New Roman" w:cs="Times New Roman"/>
          <w:sz w:val="24"/>
          <w:szCs w:val="24"/>
        </w:rPr>
        <w:t xml:space="preserve"> </w:t>
      </w:r>
      <w:r w:rsidR="005F390A">
        <w:rPr>
          <w:rFonts w:ascii="Times New Roman" w:hAnsi="Times New Roman" w:cs="Times New Roman"/>
          <w:sz w:val="24"/>
          <w:szCs w:val="24"/>
        </w:rPr>
        <w:t>elasticities (-0.95</w:t>
      </w:r>
      <w:r w:rsidR="00C15AFC">
        <w:rPr>
          <w:rFonts w:ascii="Times New Roman" w:hAnsi="Times New Roman" w:cs="Times New Roman"/>
          <w:sz w:val="24"/>
          <w:szCs w:val="24"/>
        </w:rPr>
        <w:t>46</w:t>
      </w:r>
      <w:r w:rsidR="005F390A">
        <w:rPr>
          <w:rFonts w:ascii="Times New Roman" w:hAnsi="Times New Roman" w:cs="Times New Roman"/>
          <w:sz w:val="24"/>
          <w:szCs w:val="24"/>
        </w:rPr>
        <w:t xml:space="preserve"> and -0.98</w:t>
      </w:r>
      <w:r w:rsidR="00C15AFC">
        <w:rPr>
          <w:rFonts w:ascii="Times New Roman" w:hAnsi="Times New Roman" w:cs="Times New Roman"/>
          <w:sz w:val="24"/>
          <w:szCs w:val="24"/>
        </w:rPr>
        <w:t>73</w:t>
      </w:r>
      <w:r w:rsidR="005F390A">
        <w:rPr>
          <w:rFonts w:ascii="Times New Roman" w:hAnsi="Times New Roman" w:cs="Times New Roman"/>
          <w:sz w:val="24"/>
          <w:szCs w:val="24"/>
        </w:rPr>
        <w:t xml:space="preserve">).  The loss of workers is permanent.  </w:t>
      </w:r>
    </w:p>
    <w:p w:rsidR="005F390A" w:rsidRDefault="00236857" w:rsidP="0061336B">
      <w:pPr>
        <w:tabs>
          <w:tab w:val="left" w:pos="720"/>
          <w:tab w:val="right" w:pos="8820"/>
        </w:tabs>
        <w:rPr>
          <w:rFonts w:ascii="Times New Roman" w:hAnsi="Times New Roman" w:cs="Times New Roman"/>
          <w:sz w:val="24"/>
          <w:szCs w:val="24"/>
        </w:rPr>
      </w:pPr>
      <w:r>
        <w:rPr>
          <w:rFonts w:ascii="Times New Roman" w:hAnsi="Times New Roman" w:cs="Times New Roman"/>
          <w:sz w:val="24"/>
          <w:szCs w:val="24"/>
        </w:rPr>
        <w:t xml:space="preserve">Row 14 shows aversion elasticities.  These are elasticities of implication variables with respect to a </w:t>
      </w:r>
      <w:r w:rsidR="0061336B">
        <w:rPr>
          <w:rFonts w:ascii="Times New Roman" w:hAnsi="Times New Roman" w:cs="Times New Roman"/>
          <w:sz w:val="24"/>
          <w:szCs w:val="24"/>
        </w:rPr>
        <w:t xml:space="preserve">permanent </w:t>
      </w:r>
      <w:r>
        <w:rPr>
          <w:rFonts w:ascii="Times New Roman" w:hAnsi="Times New Roman" w:cs="Times New Roman"/>
          <w:sz w:val="24"/>
          <w:szCs w:val="24"/>
        </w:rPr>
        <w:t xml:space="preserve">1 per cent reduction in labor supply to FL24.  By </w:t>
      </w:r>
      <w:r w:rsidR="0061336B">
        <w:rPr>
          <w:rFonts w:ascii="Times New Roman" w:hAnsi="Times New Roman" w:cs="Times New Roman"/>
          <w:sz w:val="24"/>
          <w:szCs w:val="24"/>
        </w:rPr>
        <w:t>this</w:t>
      </w:r>
      <w:r>
        <w:rPr>
          <w:rFonts w:ascii="Times New Roman" w:hAnsi="Times New Roman" w:cs="Times New Roman"/>
          <w:sz w:val="24"/>
          <w:szCs w:val="24"/>
        </w:rPr>
        <w:t xml:space="preserve"> we mean a permanent shift in the supply curve so that</w:t>
      </w:r>
      <w:r w:rsidR="0061336B">
        <w:rPr>
          <w:rFonts w:ascii="Times New Roman" w:hAnsi="Times New Roman" w:cs="Times New Roman"/>
          <w:sz w:val="24"/>
          <w:szCs w:val="24"/>
        </w:rPr>
        <w:t xml:space="preserve"> at </w:t>
      </w:r>
      <w:r>
        <w:rPr>
          <w:rFonts w:ascii="Times New Roman" w:hAnsi="Times New Roman" w:cs="Times New Roman"/>
          <w:sz w:val="24"/>
          <w:szCs w:val="24"/>
        </w:rPr>
        <w:t xml:space="preserve">any given </w:t>
      </w:r>
      <w:r w:rsidR="0061336B">
        <w:rPr>
          <w:rFonts w:ascii="Times New Roman" w:hAnsi="Times New Roman" w:cs="Times New Roman"/>
          <w:sz w:val="24"/>
          <w:szCs w:val="24"/>
        </w:rPr>
        <w:t xml:space="preserve">real wage, </w:t>
      </w:r>
      <w:r>
        <w:rPr>
          <w:rFonts w:ascii="Times New Roman" w:hAnsi="Times New Roman" w:cs="Times New Roman"/>
          <w:sz w:val="24"/>
          <w:szCs w:val="24"/>
        </w:rPr>
        <w:t xml:space="preserve">1 per cent </w:t>
      </w:r>
      <w:r w:rsidR="0061336B">
        <w:rPr>
          <w:rFonts w:ascii="Times New Roman" w:hAnsi="Times New Roman" w:cs="Times New Roman"/>
          <w:sz w:val="24"/>
          <w:szCs w:val="24"/>
        </w:rPr>
        <w:t xml:space="preserve">less </w:t>
      </w:r>
      <w:r w:rsidR="005E5D44">
        <w:rPr>
          <w:rFonts w:ascii="Times New Roman" w:hAnsi="Times New Roman" w:cs="Times New Roman"/>
          <w:sz w:val="24"/>
          <w:szCs w:val="24"/>
        </w:rPr>
        <w:t>labor is</w:t>
      </w:r>
      <w:r w:rsidR="0061336B">
        <w:rPr>
          <w:rFonts w:ascii="Times New Roman" w:hAnsi="Times New Roman" w:cs="Times New Roman"/>
          <w:sz w:val="24"/>
          <w:szCs w:val="24"/>
        </w:rPr>
        <w:t xml:space="preserve"> supplied to FL24.  Reflecting the permanent nature of the shock, there are significantly negative year-20 elasticities for FL24’s output and employment (-0.8123 and -0.8927).  By contrast, the national effects in both the short and long-runs are zero.  Aversion merely changes the regional allocation of economic activity without affecting its total level.   </w:t>
      </w:r>
    </w:p>
    <w:p w:rsidR="00F47EBA" w:rsidRPr="00386561" w:rsidRDefault="00C05420" w:rsidP="00F47EBA">
      <w:pPr>
        <w:rPr>
          <w:rFonts w:ascii="Times New Roman" w:hAnsi="Times New Roman" w:cs="Times New Roman"/>
          <w:i/>
          <w:sz w:val="24"/>
          <w:szCs w:val="24"/>
        </w:rPr>
      </w:pPr>
      <w:r>
        <w:rPr>
          <w:rFonts w:ascii="Times New Roman" w:hAnsi="Times New Roman" w:cs="Times New Roman"/>
          <w:i/>
          <w:sz w:val="24"/>
          <w:szCs w:val="24"/>
        </w:rPr>
        <w:t xml:space="preserve">Neoclassical </w:t>
      </w:r>
      <w:r w:rsidR="00F47EBA">
        <w:rPr>
          <w:rFonts w:ascii="Times New Roman" w:hAnsi="Times New Roman" w:cs="Times New Roman"/>
          <w:i/>
          <w:sz w:val="24"/>
          <w:szCs w:val="24"/>
        </w:rPr>
        <w:t xml:space="preserve">elasticities versus </w:t>
      </w:r>
      <w:r>
        <w:rPr>
          <w:rFonts w:ascii="Times New Roman" w:hAnsi="Times New Roman" w:cs="Times New Roman"/>
          <w:i/>
          <w:sz w:val="24"/>
          <w:szCs w:val="24"/>
        </w:rPr>
        <w:t xml:space="preserve">Keynesian </w:t>
      </w:r>
      <w:r w:rsidR="00F47EBA">
        <w:rPr>
          <w:rFonts w:ascii="Times New Roman" w:hAnsi="Times New Roman" w:cs="Times New Roman"/>
          <w:i/>
          <w:sz w:val="24"/>
          <w:szCs w:val="24"/>
        </w:rPr>
        <w:t>elasticities</w:t>
      </w:r>
      <w:r w:rsidR="00D0711A">
        <w:rPr>
          <w:rFonts w:ascii="Times New Roman" w:hAnsi="Times New Roman" w:cs="Times New Roman"/>
          <w:i/>
          <w:sz w:val="24"/>
          <w:szCs w:val="24"/>
        </w:rPr>
        <w:t xml:space="preserve"> </w:t>
      </w:r>
    </w:p>
    <w:p w:rsidR="00E63D73" w:rsidRDefault="00461E0F" w:rsidP="004D59BD">
      <w:pPr>
        <w:tabs>
          <w:tab w:val="left" w:pos="720"/>
          <w:tab w:val="right" w:pos="8820"/>
        </w:tabs>
        <w:rPr>
          <w:rFonts w:ascii="Times New Roman" w:hAnsi="Times New Roman" w:cs="Times New Roman"/>
          <w:sz w:val="24"/>
          <w:szCs w:val="24"/>
        </w:rPr>
      </w:pPr>
      <w:r>
        <w:rPr>
          <w:rFonts w:ascii="Times New Roman" w:hAnsi="Times New Roman" w:cs="Times New Roman"/>
          <w:sz w:val="24"/>
          <w:szCs w:val="24"/>
        </w:rPr>
        <w:t xml:space="preserve">Table </w:t>
      </w:r>
      <w:r w:rsidR="00E9794F">
        <w:rPr>
          <w:rFonts w:ascii="Times New Roman" w:hAnsi="Times New Roman" w:cs="Times New Roman"/>
          <w:sz w:val="24"/>
          <w:szCs w:val="24"/>
        </w:rPr>
        <w:t>6.3</w:t>
      </w:r>
      <w:r>
        <w:rPr>
          <w:rFonts w:ascii="Times New Roman" w:hAnsi="Times New Roman" w:cs="Times New Roman"/>
          <w:sz w:val="24"/>
          <w:szCs w:val="24"/>
        </w:rPr>
        <w:t xml:space="preserve"> gives the elasticity matrix calculated under Neoclassical assumptions for an event in FL24.  Comparison of Tables </w:t>
      </w:r>
      <w:r w:rsidR="00E9794F">
        <w:rPr>
          <w:rFonts w:ascii="Times New Roman" w:hAnsi="Times New Roman" w:cs="Times New Roman"/>
          <w:sz w:val="24"/>
          <w:szCs w:val="24"/>
        </w:rPr>
        <w:t>6.2</w:t>
      </w:r>
      <w:r>
        <w:rPr>
          <w:rFonts w:ascii="Times New Roman" w:hAnsi="Times New Roman" w:cs="Times New Roman"/>
          <w:sz w:val="24"/>
          <w:szCs w:val="24"/>
        </w:rPr>
        <w:t xml:space="preserve"> and </w:t>
      </w:r>
      <w:r w:rsidR="00E9794F">
        <w:rPr>
          <w:rFonts w:ascii="Times New Roman" w:hAnsi="Times New Roman" w:cs="Times New Roman"/>
          <w:sz w:val="24"/>
          <w:szCs w:val="24"/>
        </w:rPr>
        <w:t>6.3</w:t>
      </w:r>
      <w:r>
        <w:rPr>
          <w:rFonts w:ascii="Times New Roman" w:hAnsi="Times New Roman" w:cs="Times New Roman"/>
          <w:sz w:val="24"/>
          <w:szCs w:val="24"/>
        </w:rPr>
        <w:t xml:space="preserve"> shows the effects of moving from Keynesian assumptions (high levels of unemployment and underutilization of capital in year</w:t>
      </w:r>
      <w:r w:rsidR="00D0711A">
        <w:rPr>
          <w:rFonts w:ascii="Times New Roman" w:hAnsi="Times New Roman" w:cs="Times New Roman"/>
          <w:sz w:val="24"/>
          <w:szCs w:val="24"/>
        </w:rPr>
        <w:t xml:space="preserve"> </w:t>
      </w:r>
      <w:r>
        <w:rPr>
          <w:rFonts w:ascii="Times New Roman" w:hAnsi="Times New Roman" w:cs="Times New Roman"/>
          <w:sz w:val="24"/>
          <w:szCs w:val="24"/>
        </w:rPr>
        <w:t>1) to Neoclassical assumptions (normal levels of unemployment and capital utilization in year</w:t>
      </w:r>
      <w:r w:rsidR="00D0711A">
        <w:rPr>
          <w:rFonts w:ascii="Times New Roman" w:hAnsi="Times New Roman" w:cs="Times New Roman"/>
          <w:sz w:val="24"/>
          <w:szCs w:val="24"/>
        </w:rPr>
        <w:t xml:space="preserve"> </w:t>
      </w:r>
      <w:r>
        <w:rPr>
          <w:rFonts w:ascii="Times New Roman" w:hAnsi="Times New Roman" w:cs="Times New Roman"/>
          <w:sz w:val="24"/>
          <w:szCs w:val="24"/>
        </w:rPr>
        <w:t xml:space="preserve">1).  </w:t>
      </w:r>
    </w:p>
    <w:p w:rsidR="00461E0F" w:rsidRDefault="00461E0F" w:rsidP="004D59BD">
      <w:pPr>
        <w:tabs>
          <w:tab w:val="left" w:pos="720"/>
          <w:tab w:val="right" w:pos="8820"/>
        </w:tabs>
        <w:rPr>
          <w:rFonts w:ascii="Times New Roman" w:hAnsi="Times New Roman" w:cs="Times New Roman"/>
          <w:sz w:val="24"/>
          <w:szCs w:val="24"/>
        </w:rPr>
      </w:pPr>
      <w:r>
        <w:rPr>
          <w:rFonts w:ascii="Times New Roman" w:hAnsi="Times New Roman" w:cs="Times New Roman"/>
          <w:sz w:val="24"/>
          <w:szCs w:val="24"/>
        </w:rPr>
        <w:t xml:space="preserve">The first two rows of Table </w:t>
      </w:r>
      <w:r w:rsidR="00E9794F">
        <w:rPr>
          <w:rFonts w:ascii="Times New Roman" w:hAnsi="Times New Roman" w:cs="Times New Roman"/>
          <w:sz w:val="24"/>
          <w:szCs w:val="24"/>
        </w:rPr>
        <w:t>6.3</w:t>
      </w:r>
      <w:r>
        <w:rPr>
          <w:rFonts w:ascii="Times New Roman" w:hAnsi="Times New Roman" w:cs="Times New Roman"/>
          <w:sz w:val="24"/>
          <w:szCs w:val="24"/>
        </w:rPr>
        <w:t xml:space="preserve"> are the same as those in Table </w:t>
      </w:r>
      <w:r w:rsidR="00E9794F">
        <w:rPr>
          <w:rFonts w:ascii="Times New Roman" w:hAnsi="Times New Roman" w:cs="Times New Roman"/>
          <w:sz w:val="24"/>
          <w:szCs w:val="24"/>
        </w:rPr>
        <w:t>6.2</w:t>
      </w:r>
      <w:r>
        <w:rPr>
          <w:rFonts w:ascii="Times New Roman" w:hAnsi="Times New Roman" w:cs="Times New Roman"/>
          <w:sz w:val="24"/>
          <w:szCs w:val="24"/>
        </w:rPr>
        <w:t xml:space="preserve">.  We assume that capital destruction and reactivation have the same effects under the two assumptions.  This makes </w:t>
      </w:r>
      <w:r>
        <w:rPr>
          <w:rFonts w:ascii="Times New Roman" w:hAnsi="Times New Roman" w:cs="Times New Roman"/>
          <w:sz w:val="24"/>
          <w:szCs w:val="24"/>
        </w:rPr>
        <w:lastRenderedPageBreak/>
        <w:t xml:space="preserve">sense </w:t>
      </w:r>
      <w:r w:rsidR="00D0711A">
        <w:rPr>
          <w:rFonts w:ascii="Times New Roman" w:hAnsi="Times New Roman" w:cs="Times New Roman"/>
          <w:sz w:val="24"/>
          <w:szCs w:val="24"/>
        </w:rPr>
        <w:t>if we assume</w:t>
      </w:r>
      <w:r>
        <w:rPr>
          <w:rFonts w:ascii="Times New Roman" w:hAnsi="Times New Roman" w:cs="Times New Roman"/>
          <w:sz w:val="24"/>
          <w:szCs w:val="24"/>
        </w:rPr>
        <w:t xml:space="preserve"> that the particular capital which is destroyed or reactivated was fully used even in the Keynesian situation.  </w:t>
      </w:r>
    </w:p>
    <w:p w:rsidR="00F66BB7" w:rsidRDefault="00F66BB7" w:rsidP="005D4609">
      <w:pPr>
        <w:tabs>
          <w:tab w:val="left" w:pos="720"/>
          <w:tab w:val="right" w:pos="8820"/>
        </w:tabs>
        <w:rPr>
          <w:rFonts w:ascii="Times New Roman" w:hAnsi="Times New Roman" w:cs="Times New Roman"/>
          <w:sz w:val="24"/>
          <w:szCs w:val="24"/>
        </w:rPr>
      </w:pPr>
      <w:r w:rsidRPr="00F66BB7">
        <w:rPr>
          <w:rFonts w:ascii="Times New Roman" w:hAnsi="Times New Roman" w:cs="Times New Roman"/>
          <w:sz w:val="24"/>
          <w:szCs w:val="24"/>
        </w:rPr>
        <w:t xml:space="preserve">Rows 3 to 6 </w:t>
      </w:r>
      <w:r>
        <w:rPr>
          <w:rFonts w:ascii="Times New Roman" w:hAnsi="Times New Roman" w:cs="Times New Roman"/>
          <w:sz w:val="24"/>
          <w:szCs w:val="24"/>
        </w:rPr>
        <w:t xml:space="preserve">in Table </w:t>
      </w:r>
      <w:r w:rsidR="00E9794F">
        <w:rPr>
          <w:rFonts w:ascii="Times New Roman" w:hAnsi="Times New Roman" w:cs="Times New Roman"/>
          <w:sz w:val="24"/>
          <w:szCs w:val="24"/>
        </w:rPr>
        <w:t>6.3</w:t>
      </w:r>
      <w:r>
        <w:rPr>
          <w:rFonts w:ascii="Times New Roman" w:hAnsi="Times New Roman" w:cs="Times New Roman"/>
          <w:sz w:val="24"/>
          <w:szCs w:val="24"/>
        </w:rPr>
        <w:t xml:space="preserve"> give Neoclassical elasticities for the 10 implication variables with respect to public expenditure, public health expenditure and accommodation expenditure.  All of the year-1 elasticities in these rows have smaller positives values than the corresponding elasticities in Table </w:t>
      </w:r>
      <w:r w:rsidR="00E9794F">
        <w:rPr>
          <w:rFonts w:ascii="Times New Roman" w:hAnsi="Times New Roman" w:cs="Times New Roman"/>
          <w:sz w:val="24"/>
          <w:szCs w:val="24"/>
        </w:rPr>
        <w:t>6.2</w:t>
      </w:r>
      <w:r>
        <w:rPr>
          <w:rFonts w:ascii="Times New Roman" w:hAnsi="Times New Roman" w:cs="Times New Roman"/>
          <w:sz w:val="24"/>
          <w:szCs w:val="24"/>
        </w:rPr>
        <w:t xml:space="preserve">.  </w:t>
      </w:r>
      <w:r w:rsidR="00627DF6">
        <w:rPr>
          <w:rFonts w:ascii="Times New Roman" w:hAnsi="Times New Roman" w:cs="Times New Roman"/>
          <w:sz w:val="24"/>
          <w:szCs w:val="24"/>
        </w:rPr>
        <w:t>For example, in row 3 of Table</w:t>
      </w:r>
      <w:r w:rsidR="005B3CB9">
        <w:rPr>
          <w:rFonts w:ascii="Times New Roman" w:hAnsi="Times New Roman" w:cs="Times New Roman"/>
          <w:sz w:val="24"/>
          <w:szCs w:val="24"/>
        </w:rPr>
        <w:t xml:space="preserve"> </w:t>
      </w:r>
      <w:r w:rsidR="00E9794F">
        <w:rPr>
          <w:rFonts w:ascii="Times New Roman" w:hAnsi="Times New Roman" w:cs="Times New Roman"/>
          <w:sz w:val="24"/>
          <w:szCs w:val="24"/>
        </w:rPr>
        <w:t>6.3</w:t>
      </w:r>
      <w:r w:rsidR="00627DF6">
        <w:rPr>
          <w:rFonts w:ascii="Times New Roman" w:hAnsi="Times New Roman" w:cs="Times New Roman"/>
          <w:sz w:val="24"/>
          <w:szCs w:val="24"/>
        </w:rPr>
        <w:t xml:space="preserve"> the Neoclassical elasticity of national GDP in year 1 with respect to public expenditure in FL24 is 0.0007 whereas the corresponding Keynesian elasticity in Table </w:t>
      </w:r>
      <w:r w:rsidR="005B3CB9">
        <w:rPr>
          <w:rFonts w:ascii="Times New Roman" w:hAnsi="Times New Roman" w:cs="Times New Roman"/>
          <w:sz w:val="24"/>
          <w:szCs w:val="24"/>
        </w:rPr>
        <w:t>6.2</w:t>
      </w:r>
      <w:r w:rsidR="00627DF6">
        <w:rPr>
          <w:rFonts w:ascii="Times New Roman" w:hAnsi="Times New Roman" w:cs="Times New Roman"/>
          <w:sz w:val="24"/>
          <w:szCs w:val="24"/>
        </w:rPr>
        <w:t xml:space="preserve"> is 0.001</w:t>
      </w:r>
      <w:r w:rsidR="005B3CB9">
        <w:rPr>
          <w:rFonts w:ascii="Times New Roman" w:hAnsi="Times New Roman" w:cs="Times New Roman"/>
          <w:sz w:val="24"/>
          <w:szCs w:val="24"/>
        </w:rPr>
        <w:t>7</w:t>
      </w:r>
      <w:r w:rsidR="00627DF6">
        <w:rPr>
          <w:rFonts w:ascii="Times New Roman" w:hAnsi="Times New Roman" w:cs="Times New Roman"/>
          <w:sz w:val="24"/>
          <w:szCs w:val="24"/>
        </w:rPr>
        <w:t xml:space="preserve">.  Under Neoclassical assumptions there is less scope for increased expenditures to cause short-run stimulation of the economy.  </w:t>
      </w:r>
      <w:r w:rsidR="00103FEF">
        <w:rPr>
          <w:rFonts w:ascii="Times New Roman" w:hAnsi="Times New Roman" w:cs="Times New Roman"/>
          <w:sz w:val="24"/>
          <w:szCs w:val="24"/>
        </w:rPr>
        <w:t>With</w:t>
      </w:r>
      <w:r w:rsidR="00627DF6">
        <w:rPr>
          <w:rFonts w:ascii="Times New Roman" w:hAnsi="Times New Roman" w:cs="Times New Roman"/>
          <w:sz w:val="24"/>
          <w:szCs w:val="24"/>
        </w:rPr>
        <w:t xml:space="preserve"> less favorable </w:t>
      </w:r>
      <w:r w:rsidR="00103FEF">
        <w:rPr>
          <w:rFonts w:ascii="Times New Roman" w:hAnsi="Times New Roman" w:cs="Times New Roman"/>
          <w:sz w:val="24"/>
          <w:szCs w:val="24"/>
        </w:rPr>
        <w:t xml:space="preserve">short-run impacts of expenditures, Table </w:t>
      </w:r>
      <w:r w:rsidR="005B3CB9">
        <w:rPr>
          <w:rFonts w:ascii="Times New Roman" w:hAnsi="Times New Roman" w:cs="Times New Roman"/>
          <w:sz w:val="24"/>
          <w:szCs w:val="24"/>
        </w:rPr>
        <w:t>6.3</w:t>
      </w:r>
      <w:r w:rsidR="00103FEF">
        <w:rPr>
          <w:rFonts w:ascii="Times New Roman" w:hAnsi="Times New Roman" w:cs="Times New Roman"/>
          <w:sz w:val="24"/>
          <w:szCs w:val="24"/>
        </w:rPr>
        <w:t xml:space="preserve"> shows less favorable accumulated welfare </w:t>
      </w:r>
      <w:r w:rsidR="007A7B6D">
        <w:rPr>
          <w:rFonts w:ascii="Times New Roman" w:hAnsi="Times New Roman" w:cs="Times New Roman"/>
          <w:sz w:val="24"/>
          <w:szCs w:val="24"/>
        </w:rPr>
        <w:t>elasticities</w:t>
      </w:r>
      <w:r w:rsidR="00103FEF">
        <w:rPr>
          <w:rFonts w:ascii="Times New Roman" w:hAnsi="Times New Roman" w:cs="Times New Roman"/>
          <w:sz w:val="24"/>
          <w:szCs w:val="24"/>
        </w:rPr>
        <w:t xml:space="preserve">.  </w:t>
      </w:r>
      <w:r w:rsidR="00103FEF" w:rsidRPr="000B4FE3">
        <w:rPr>
          <w:rFonts w:ascii="Times New Roman" w:hAnsi="Times New Roman" w:cs="Times New Roman"/>
          <w:sz w:val="24"/>
          <w:szCs w:val="24"/>
        </w:rPr>
        <w:t xml:space="preserve">For example, in row 6 of Table </w:t>
      </w:r>
      <w:r w:rsidR="00E9794F" w:rsidRPr="000B4FE3">
        <w:rPr>
          <w:rFonts w:ascii="Times New Roman" w:hAnsi="Times New Roman" w:cs="Times New Roman"/>
          <w:sz w:val="24"/>
          <w:szCs w:val="24"/>
        </w:rPr>
        <w:t>6.3</w:t>
      </w:r>
      <w:r w:rsidR="00103FEF" w:rsidRPr="000B4FE3">
        <w:rPr>
          <w:rFonts w:ascii="Times New Roman" w:hAnsi="Times New Roman" w:cs="Times New Roman"/>
          <w:sz w:val="24"/>
          <w:szCs w:val="24"/>
        </w:rPr>
        <w:t xml:space="preserve">, the Neoclassical elasticity of welfare (5 per cent discount) with respect to accommodation expenditures outside the target city is </w:t>
      </w:r>
      <w:r w:rsidR="007A7B6D" w:rsidRPr="000B4FE3">
        <w:rPr>
          <w:rFonts w:ascii="Times New Roman" w:hAnsi="Times New Roman" w:cs="Times New Roman"/>
          <w:sz w:val="24"/>
          <w:szCs w:val="24"/>
        </w:rPr>
        <w:t>-0.023</w:t>
      </w:r>
      <w:r w:rsidR="000B4FE3" w:rsidRPr="000B4FE3">
        <w:rPr>
          <w:rFonts w:ascii="Times New Roman" w:hAnsi="Times New Roman" w:cs="Times New Roman"/>
          <w:sz w:val="24"/>
          <w:szCs w:val="24"/>
        </w:rPr>
        <w:t>1</w:t>
      </w:r>
      <w:r w:rsidR="007A7B6D" w:rsidRPr="000B4FE3">
        <w:rPr>
          <w:rFonts w:ascii="Times New Roman" w:hAnsi="Times New Roman" w:cs="Times New Roman"/>
          <w:sz w:val="24"/>
          <w:szCs w:val="24"/>
        </w:rPr>
        <w:t>.</w:t>
      </w:r>
      <w:r w:rsidR="007A7B6D">
        <w:rPr>
          <w:rFonts w:ascii="Times New Roman" w:hAnsi="Times New Roman" w:cs="Times New Roman"/>
          <w:sz w:val="24"/>
          <w:szCs w:val="24"/>
        </w:rPr>
        <w:t xml:space="preserve">  Table </w:t>
      </w:r>
      <w:r w:rsidR="000B4FE3">
        <w:rPr>
          <w:rFonts w:ascii="Times New Roman" w:hAnsi="Times New Roman" w:cs="Times New Roman"/>
          <w:sz w:val="24"/>
          <w:szCs w:val="24"/>
        </w:rPr>
        <w:t>6.2</w:t>
      </w:r>
      <w:r w:rsidR="007A7B6D">
        <w:rPr>
          <w:rFonts w:ascii="Times New Roman" w:hAnsi="Times New Roman" w:cs="Times New Roman"/>
          <w:sz w:val="24"/>
          <w:szCs w:val="24"/>
        </w:rPr>
        <w:t xml:space="preserve"> shows the corresponding Keynesian elasticity as </w:t>
      </w:r>
      <w:r w:rsidR="000B4FE3">
        <w:rPr>
          <w:rFonts w:ascii="Times New Roman" w:hAnsi="Times New Roman" w:cs="Times New Roman"/>
          <w:sz w:val="24"/>
          <w:szCs w:val="24"/>
        </w:rPr>
        <w:br/>
      </w:r>
      <w:r w:rsidR="007A7B6D">
        <w:rPr>
          <w:rFonts w:ascii="Times New Roman" w:hAnsi="Times New Roman" w:cs="Times New Roman"/>
          <w:sz w:val="24"/>
          <w:szCs w:val="24"/>
        </w:rPr>
        <w:t xml:space="preserve">-0.0138.  </w:t>
      </w:r>
    </w:p>
    <w:p w:rsidR="007A7B6D" w:rsidRDefault="00F82298" w:rsidP="005D4609">
      <w:pPr>
        <w:tabs>
          <w:tab w:val="left" w:pos="720"/>
          <w:tab w:val="right" w:pos="8820"/>
        </w:tabs>
        <w:rPr>
          <w:rFonts w:ascii="Times New Roman" w:hAnsi="Times New Roman" w:cs="Times New Roman"/>
          <w:sz w:val="24"/>
          <w:szCs w:val="24"/>
        </w:rPr>
      </w:pPr>
      <w:r>
        <w:rPr>
          <w:rFonts w:ascii="Times New Roman" w:hAnsi="Times New Roman" w:cs="Times New Roman"/>
          <w:sz w:val="24"/>
          <w:szCs w:val="24"/>
        </w:rPr>
        <w:t xml:space="preserve">Neoclassical elasticities for the effects of reductions in foreign and domestic </w:t>
      </w:r>
      <w:r w:rsidR="005B3CB9">
        <w:rPr>
          <w:rFonts w:ascii="Times New Roman" w:hAnsi="Times New Roman" w:cs="Times New Roman"/>
          <w:sz w:val="24"/>
          <w:szCs w:val="24"/>
        </w:rPr>
        <w:t>visitor</w:t>
      </w:r>
      <w:r>
        <w:rPr>
          <w:rFonts w:ascii="Times New Roman" w:hAnsi="Times New Roman" w:cs="Times New Roman"/>
          <w:sz w:val="24"/>
          <w:szCs w:val="24"/>
        </w:rPr>
        <w:t xml:space="preserve"> expenditures are in rows 7 to 10 of Table </w:t>
      </w:r>
      <w:r w:rsidR="00E9794F">
        <w:rPr>
          <w:rFonts w:ascii="Times New Roman" w:hAnsi="Times New Roman" w:cs="Times New Roman"/>
          <w:sz w:val="24"/>
          <w:szCs w:val="24"/>
        </w:rPr>
        <w:t>6.3</w:t>
      </w:r>
      <w:r>
        <w:rPr>
          <w:rFonts w:ascii="Times New Roman" w:hAnsi="Times New Roman" w:cs="Times New Roman"/>
          <w:sz w:val="24"/>
          <w:szCs w:val="24"/>
        </w:rPr>
        <w:t xml:space="preserve">.  The year-1 elasticities in these rows are negative but smaller in absolute terms than the corresponding Keynesian elasticities in Table </w:t>
      </w:r>
      <w:r w:rsidR="005B3CB9">
        <w:rPr>
          <w:rFonts w:ascii="Times New Roman" w:hAnsi="Times New Roman" w:cs="Times New Roman"/>
          <w:sz w:val="24"/>
          <w:szCs w:val="24"/>
        </w:rPr>
        <w:t>6.2</w:t>
      </w:r>
      <w:r>
        <w:rPr>
          <w:rFonts w:ascii="Times New Roman" w:hAnsi="Times New Roman" w:cs="Times New Roman"/>
          <w:sz w:val="24"/>
          <w:szCs w:val="24"/>
        </w:rPr>
        <w:t xml:space="preserve">.  In an economy experiencing normal levels of employment (Neoclassical assumptions), loss of tourism expenditures has a less depressing effect than is the case in an underemployed economy (Keynesian assumptions).  </w:t>
      </w:r>
      <w:r w:rsidR="00293325">
        <w:rPr>
          <w:rFonts w:ascii="Times New Roman" w:hAnsi="Times New Roman" w:cs="Times New Roman"/>
          <w:sz w:val="24"/>
          <w:szCs w:val="24"/>
        </w:rPr>
        <w:t xml:space="preserve">Reflecting this, the accumulated welfare effects in rows 7 to 10 </w:t>
      </w:r>
      <w:r w:rsidR="00461432">
        <w:rPr>
          <w:rFonts w:ascii="Times New Roman" w:hAnsi="Times New Roman" w:cs="Times New Roman"/>
          <w:sz w:val="24"/>
          <w:szCs w:val="24"/>
        </w:rPr>
        <w:t xml:space="preserve">of Table </w:t>
      </w:r>
      <w:r w:rsidR="00E9794F">
        <w:rPr>
          <w:rFonts w:ascii="Times New Roman" w:hAnsi="Times New Roman" w:cs="Times New Roman"/>
          <w:sz w:val="24"/>
          <w:szCs w:val="24"/>
        </w:rPr>
        <w:t>6.3</w:t>
      </w:r>
      <w:r w:rsidR="00461432">
        <w:rPr>
          <w:rFonts w:ascii="Times New Roman" w:hAnsi="Times New Roman" w:cs="Times New Roman"/>
          <w:sz w:val="24"/>
          <w:szCs w:val="24"/>
        </w:rPr>
        <w:t xml:space="preserve"> </w:t>
      </w:r>
      <w:r w:rsidR="00293325">
        <w:rPr>
          <w:rFonts w:ascii="Times New Roman" w:hAnsi="Times New Roman" w:cs="Times New Roman"/>
          <w:sz w:val="24"/>
          <w:szCs w:val="24"/>
        </w:rPr>
        <w:t xml:space="preserve">are less strongly negative than those in Table </w:t>
      </w:r>
      <w:r w:rsidR="005B3CB9">
        <w:rPr>
          <w:rFonts w:ascii="Times New Roman" w:hAnsi="Times New Roman" w:cs="Times New Roman"/>
          <w:sz w:val="24"/>
          <w:szCs w:val="24"/>
        </w:rPr>
        <w:t>6.2</w:t>
      </w:r>
      <w:r w:rsidR="00293325">
        <w:rPr>
          <w:rFonts w:ascii="Times New Roman" w:hAnsi="Times New Roman" w:cs="Times New Roman"/>
          <w:sz w:val="24"/>
          <w:szCs w:val="24"/>
        </w:rPr>
        <w:t xml:space="preserve">.  </w:t>
      </w:r>
    </w:p>
    <w:p w:rsidR="00121084" w:rsidRDefault="003A3C37" w:rsidP="005D4609">
      <w:pPr>
        <w:tabs>
          <w:tab w:val="left" w:pos="720"/>
          <w:tab w:val="right" w:pos="8820"/>
        </w:tabs>
        <w:rPr>
          <w:rFonts w:ascii="Times New Roman" w:hAnsi="Times New Roman" w:cs="Times New Roman"/>
          <w:sz w:val="24"/>
          <w:szCs w:val="24"/>
        </w:rPr>
      </w:pPr>
      <w:r>
        <w:rPr>
          <w:rFonts w:ascii="Times New Roman" w:hAnsi="Times New Roman" w:cs="Times New Roman"/>
          <w:sz w:val="24"/>
          <w:szCs w:val="24"/>
        </w:rPr>
        <w:t xml:space="preserve">For loss of food output at the national level (row 12), the relationship between the Neoclassical elasticities in Table </w:t>
      </w:r>
      <w:r w:rsidR="00E9794F">
        <w:rPr>
          <w:rFonts w:ascii="Times New Roman" w:hAnsi="Times New Roman" w:cs="Times New Roman"/>
          <w:sz w:val="24"/>
          <w:szCs w:val="24"/>
        </w:rPr>
        <w:t>6.3</w:t>
      </w:r>
      <w:r>
        <w:rPr>
          <w:rFonts w:ascii="Times New Roman" w:hAnsi="Times New Roman" w:cs="Times New Roman"/>
          <w:sz w:val="24"/>
          <w:szCs w:val="24"/>
        </w:rPr>
        <w:t xml:space="preserve"> and the Keynesian elasticities in Table </w:t>
      </w:r>
      <w:r w:rsidR="00E9794F">
        <w:rPr>
          <w:rFonts w:ascii="Times New Roman" w:hAnsi="Times New Roman" w:cs="Times New Roman"/>
          <w:sz w:val="24"/>
          <w:szCs w:val="24"/>
        </w:rPr>
        <w:t>6.2</w:t>
      </w:r>
      <w:r>
        <w:rPr>
          <w:rFonts w:ascii="Times New Roman" w:hAnsi="Times New Roman" w:cs="Times New Roman"/>
          <w:sz w:val="24"/>
          <w:szCs w:val="24"/>
        </w:rPr>
        <w:t xml:space="preserve"> follows the same pattern as the elasticities in rows 7 to 10: the year-1 elasticities and welfare effects in Table </w:t>
      </w:r>
      <w:r w:rsidR="00825141">
        <w:rPr>
          <w:rFonts w:ascii="Times New Roman" w:hAnsi="Times New Roman" w:cs="Times New Roman"/>
          <w:sz w:val="24"/>
          <w:szCs w:val="24"/>
        </w:rPr>
        <w:t>6.3</w:t>
      </w:r>
      <w:r>
        <w:rPr>
          <w:rFonts w:ascii="Times New Roman" w:hAnsi="Times New Roman" w:cs="Times New Roman"/>
          <w:sz w:val="24"/>
          <w:szCs w:val="24"/>
        </w:rPr>
        <w:t xml:space="preserve"> are negative but smaller in magnitude than those in Table </w:t>
      </w:r>
      <w:r w:rsidR="00825141">
        <w:rPr>
          <w:rFonts w:ascii="Times New Roman" w:hAnsi="Times New Roman" w:cs="Times New Roman"/>
          <w:sz w:val="24"/>
          <w:szCs w:val="24"/>
        </w:rPr>
        <w:t>6.2</w:t>
      </w:r>
      <w:r>
        <w:rPr>
          <w:rFonts w:ascii="Times New Roman" w:hAnsi="Times New Roman" w:cs="Times New Roman"/>
          <w:sz w:val="24"/>
          <w:szCs w:val="24"/>
        </w:rPr>
        <w:t xml:space="preserve">.  </w:t>
      </w:r>
      <w:r w:rsidR="00193162">
        <w:rPr>
          <w:rFonts w:ascii="Times New Roman" w:hAnsi="Times New Roman" w:cs="Times New Roman"/>
          <w:sz w:val="24"/>
          <w:szCs w:val="24"/>
        </w:rPr>
        <w:t>Loss of food output at the state level holding constant national output (row 11) has negligible national effects under either Keynesian or Neoclassical assumptions.  At the regional level the year-1 Neoclassical elasticities are smaller in absolute size than the corresp</w:t>
      </w:r>
      <w:r w:rsidR="00033552">
        <w:rPr>
          <w:rFonts w:ascii="Times New Roman" w:hAnsi="Times New Roman" w:cs="Times New Roman"/>
          <w:sz w:val="24"/>
          <w:szCs w:val="24"/>
        </w:rPr>
        <w:t xml:space="preserve">onding Keynesian elasticities.  Again, </w:t>
      </w:r>
      <w:r w:rsidR="00121084">
        <w:rPr>
          <w:rFonts w:ascii="Times New Roman" w:hAnsi="Times New Roman" w:cs="Times New Roman"/>
          <w:sz w:val="24"/>
          <w:szCs w:val="24"/>
        </w:rPr>
        <w:t xml:space="preserve">the reason is that negative shocks do more damage in an under-employed economy than in an economy with normal levels of employment.  </w:t>
      </w:r>
    </w:p>
    <w:p w:rsidR="00293325" w:rsidRPr="00F66BB7" w:rsidRDefault="00121084" w:rsidP="005D4609">
      <w:pPr>
        <w:tabs>
          <w:tab w:val="left" w:pos="720"/>
          <w:tab w:val="right" w:pos="8820"/>
        </w:tabs>
        <w:rPr>
          <w:rFonts w:ascii="Times New Roman" w:hAnsi="Times New Roman" w:cs="Times New Roman"/>
          <w:sz w:val="24"/>
          <w:szCs w:val="24"/>
        </w:rPr>
      </w:pPr>
      <w:r w:rsidRPr="004B40A3">
        <w:rPr>
          <w:rFonts w:ascii="Times New Roman" w:hAnsi="Times New Roman" w:cs="Times New Roman"/>
          <w:sz w:val="24"/>
          <w:szCs w:val="24"/>
        </w:rPr>
        <w:t xml:space="preserve">Comparison of row 13 (deaths) in Table </w:t>
      </w:r>
      <w:r w:rsidR="000B4FE3" w:rsidRPr="004B40A3">
        <w:rPr>
          <w:rFonts w:ascii="Times New Roman" w:hAnsi="Times New Roman" w:cs="Times New Roman"/>
          <w:sz w:val="24"/>
          <w:szCs w:val="24"/>
        </w:rPr>
        <w:t>6.3</w:t>
      </w:r>
      <w:r w:rsidRPr="004B40A3">
        <w:rPr>
          <w:rFonts w:ascii="Times New Roman" w:hAnsi="Times New Roman" w:cs="Times New Roman"/>
          <w:sz w:val="24"/>
          <w:szCs w:val="24"/>
        </w:rPr>
        <w:t xml:space="preserve"> with that in Table </w:t>
      </w:r>
      <w:r w:rsidR="000B4FE3" w:rsidRPr="004B40A3">
        <w:rPr>
          <w:rFonts w:ascii="Times New Roman" w:hAnsi="Times New Roman" w:cs="Times New Roman"/>
          <w:sz w:val="24"/>
          <w:szCs w:val="24"/>
        </w:rPr>
        <w:t>6.2</w:t>
      </w:r>
      <w:r w:rsidRPr="004B40A3">
        <w:rPr>
          <w:rFonts w:ascii="Times New Roman" w:hAnsi="Times New Roman" w:cs="Times New Roman"/>
          <w:sz w:val="24"/>
          <w:szCs w:val="24"/>
        </w:rPr>
        <w:t xml:space="preserve"> follows the usual pattern: </w:t>
      </w:r>
      <w:r w:rsidR="00BD10EF" w:rsidRPr="004B40A3">
        <w:rPr>
          <w:rFonts w:ascii="Times New Roman" w:hAnsi="Times New Roman" w:cs="Times New Roman"/>
          <w:sz w:val="24"/>
          <w:szCs w:val="24"/>
        </w:rPr>
        <w:t xml:space="preserve">negative </w:t>
      </w:r>
      <w:r w:rsidRPr="004B40A3">
        <w:rPr>
          <w:rFonts w:ascii="Times New Roman" w:hAnsi="Times New Roman" w:cs="Times New Roman"/>
          <w:sz w:val="24"/>
          <w:szCs w:val="24"/>
        </w:rPr>
        <w:t>year-1</w:t>
      </w:r>
      <w:r w:rsidR="00AA5449" w:rsidRPr="004B40A3">
        <w:rPr>
          <w:rFonts w:ascii="Times New Roman" w:hAnsi="Times New Roman" w:cs="Times New Roman"/>
          <w:sz w:val="24"/>
          <w:szCs w:val="24"/>
        </w:rPr>
        <w:t xml:space="preserve"> </w:t>
      </w:r>
      <w:r w:rsidRPr="004B40A3">
        <w:rPr>
          <w:rFonts w:ascii="Times New Roman" w:hAnsi="Times New Roman" w:cs="Times New Roman"/>
          <w:sz w:val="24"/>
          <w:szCs w:val="24"/>
        </w:rPr>
        <w:t xml:space="preserve">elasticities and </w:t>
      </w:r>
      <w:r w:rsidR="00AA5449" w:rsidRPr="004B40A3">
        <w:rPr>
          <w:rFonts w:ascii="Times New Roman" w:hAnsi="Times New Roman" w:cs="Times New Roman"/>
          <w:sz w:val="24"/>
          <w:szCs w:val="24"/>
        </w:rPr>
        <w:t xml:space="preserve">welfare elasticies </w:t>
      </w:r>
      <w:r w:rsidR="00BD10EF">
        <w:rPr>
          <w:rFonts w:ascii="Times New Roman" w:hAnsi="Times New Roman" w:cs="Times New Roman"/>
          <w:sz w:val="24"/>
          <w:szCs w:val="24"/>
        </w:rPr>
        <w:t xml:space="preserve">that are smaller in absolute size </w:t>
      </w:r>
      <w:r w:rsidRPr="004B40A3">
        <w:rPr>
          <w:rFonts w:ascii="Times New Roman" w:hAnsi="Times New Roman" w:cs="Times New Roman"/>
          <w:sz w:val="24"/>
          <w:szCs w:val="24"/>
        </w:rPr>
        <w:t xml:space="preserve">in Table </w:t>
      </w:r>
      <w:r w:rsidR="004B40A3" w:rsidRPr="004B40A3">
        <w:rPr>
          <w:rFonts w:ascii="Times New Roman" w:hAnsi="Times New Roman" w:cs="Times New Roman"/>
          <w:sz w:val="24"/>
          <w:szCs w:val="24"/>
        </w:rPr>
        <w:t>6.3</w:t>
      </w:r>
      <w:r w:rsidRPr="004B40A3">
        <w:rPr>
          <w:rFonts w:ascii="Times New Roman" w:hAnsi="Times New Roman" w:cs="Times New Roman"/>
          <w:sz w:val="24"/>
          <w:szCs w:val="24"/>
        </w:rPr>
        <w:t xml:space="preserve"> than in Table </w:t>
      </w:r>
      <w:r w:rsidR="004B40A3" w:rsidRPr="004B40A3">
        <w:rPr>
          <w:rFonts w:ascii="Times New Roman" w:hAnsi="Times New Roman" w:cs="Times New Roman"/>
          <w:sz w:val="24"/>
          <w:szCs w:val="24"/>
        </w:rPr>
        <w:t>6.2</w:t>
      </w:r>
      <w:r w:rsidR="00543BA6" w:rsidRPr="004B40A3">
        <w:rPr>
          <w:rFonts w:ascii="Times New Roman" w:hAnsi="Times New Roman" w:cs="Times New Roman"/>
          <w:sz w:val="24"/>
          <w:szCs w:val="24"/>
        </w:rPr>
        <w:t>.</w:t>
      </w:r>
      <w:r w:rsidRPr="004B40A3">
        <w:rPr>
          <w:rFonts w:ascii="Times New Roman" w:hAnsi="Times New Roman" w:cs="Times New Roman"/>
          <w:sz w:val="24"/>
          <w:szCs w:val="24"/>
        </w:rPr>
        <w:t xml:space="preserve">  </w:t>
      </w:r>
      <w:r w:rsidR="008D41E4">
        <w:rPr>
          <w:rFonts w:ascii="Times New Roman" w:hAnsi="Times New Roman" w:cs="Times New Roman"/>
          <w:sz w:val="24"/>
          <w:szCs w:val="24"/>
        </w:rPr>
        <w:t xml:space="preserve">The row-13 welfare elasticities are only slightly smaller </w:t>
      </w:r>
      <w:r w:rsidR="00BD10EF">
        <w:rPr>
          <w:rFonts w:ascii="Times New Roman" w:hAnsi="Times New Roman" w:cs="Times New Roman"/>
          <w:sz w:val="24"/>
          <w:szCs w:val="24"/>
        </w:rPr>
        <w:t xml:space="preserve">in absolute size in Table </w:t>
      </w:r>
      <w:r w:rsidR="008D41E4">
        <w:rPr>
          <w:rFonts w:ascii="Times New Roman" w:hAnsi="Times New Roman" w:cs="Times New Roman"/>
          <w:sz w:val="24"/>
          <w:szCs w:val="24"/>
        </w:rPr>
        <w:t xml:space="preserve">6.3 than in Table 6.2 because </w:t>
      </w:r>
      <w:r w:rsidR="00BD10EF">
        <w:rPr>
          <w:rFonts w:ascii="Times New Roman" w:hAnsi="Times New Roman" w:cs="Times New Roman"/>
          <w:sz w:val="24"/>
          <w:szCs w:val="24"/>
        </w:rPr>
        <w:t xml:space="preserve">the values of these elasticities are overwhelmingly determined by the direct contribution from loss of life which is the same in both tables.  </w:t>
      </w:r>
    </w:p>
    <w:p w:rsidR="00AA5449" w:rsidRPr="00AA5449" w:rsidRDefault="00AA5449" w:rsidP="005D4609">
      <w:pPr>
        <w:tabs>
          <w:tab w:val="left" w:pos="720"/>
          <w:tab w:val="right" w:pos="8820"/>
        </w:tabs>
        <w:rPr>
          <w:rFonts w:ascii="Times New Roman" w:hAnsi="Times New Roman" w:cs="Times New Roman"/>
          <w:sz w:val="24"/>
          <w:szCs w:val="24"/>
        </w:rPr>
      </w:pPr>
      <w:r w:rsidRPr="00AA5449">
        <w:rPr>
          <w:rFonts w:ascii="Times New Roman" w:hAnsi="Times New Roman" w:cs="Times New Roman"/>
          <w:sz w:val="24"/>
          <w:szCs w:val="24"/>
        </w:rPr>
        <w:t xml:space="preserve">Permanent aversion </w:t>
      </w:r>
      <w:r>
        <w:rPr>
          <w:rFonts w:ascii="Times New Roman" w:hAnsi="Times New Roman" w:cs="Times New Roman"/>
          <w:sz w:val="24"/>
          <w:szCs w:val="24"/>
        </w:rPr>
        <w:t xml:space="preserve">to working in FL24 has similar long-run national, regional and welfare effects under Neoclassical assumptions (row 14, </w:t>
      </w:r>
      <w:r w:rsidRPr="001B5D26">
        <w:rPr>
          <w:rFonts w:ascii="Times New Roman" w:hAnsi="Times New Roman" w:cs="Times New Roman"/>
          <w:sz w:val="24"/>
          <w:szCs w:val="24"/>
        </w:rPr>
        <w:t xml:space="preserve">Table </w:t>
      </w:r>
      <w:r w:rsidR="001B5D26">
        <w:rPr>
          <w:rFonts w:ascii="Times New Roman" w:hAnsi="Times New Roman" w:cs="Times New Roman"/>
          <w:sz w:val="24"/>
          <w:szCs w:val="24"/>
        </w:rPr>
        <w:t>6.3</w:t>
      </w:r>
      <w:r>
        <w:rPr>
          <w:rFonts w:ascii="Times New Roman" w:hAnsi="Times New Roman" w:cs="Times New Roman"/>
          <w:sz w:val="24"/>
          <w:szCs w:val="24"/>
        </w:rPr>
        <w:t xml:space="preserve">) as under Keynesian assumptions (row 14, </w:t>
      </w:r>
      <w:r w:rsidRPr="001B5D26">
        <w:rPr>
          <w:rFonts w:ascii="Times New Roman" w:hAnsi="Times New Roman" w:cs="Times New Roman"/>
          <w:sz w:val="24"/>
          <w:szCs w:val="24"/>
        </w:rPr>
        <w:t xml:space="preserve">Table </w:t>
      </w:r>
      <w:r w:rsidR="001B5D26">
        <w:rPr>
          <w:rFonts w:ascii="Times New Roman" w:hAnsi="Times New Roman" w:cs="Times New Roman"/>
          <w:sz w:val="24"/>
          <w:szCs w:val="24"/>
        </w:rPr>
        <w:t>6.2</w:t>
      </w:r>
      <w:r>
        <w:rPr>
          <w:rFonts w:ascii="Times New Roman" w:hAnsi="Times New Roman" w:cs="Times New Roman"/>
          <w:sz w:val="24"/>
          <w:szCs w:val="24"/>
        </w:rPr>
        <w:t xml:space="preserve">).  The year-1 effects of aversion are </w:t>
      </w:r>
      <w:r w:rsidR="00F607C3">
        <w:rPr>
          <w:rFonts w:ascii="Times New Roman" w:hAnsi="Times New Roman" w:cs="Times New Roman"/>
          <w:sz w:val="24"/>
          <w:szCs w:val="24"/>
        </w:rPr>
        <w:t xml:space="preserve">less severe for FL24’s economy under Neoclassical conditions than under Keynesian conditions (elasticities of -0.1478 and -0.2488 in Table </w:t>
      </w:r>
      <w:r w:rsidR="001B5D26">
        <w:rPr>
          <w:rFonts w:ascii="Times New Roman" w:hAnsi="Times New Roman" w:cs="Times New Roman"/>
          <w:sz w:val="24"/>
          <w:szCs w:val="24"/>
        </w:rPr>
        <w:t>6.3</w:t>
      </w:r>
      <w:r w:rsidR="00F607C3">
        <w:rPr>
          <w:rFonts w:ascii="Times New Roman" w:hAnsi="Times New Roman" w:cs="Times New Roman"/>
          <w:sz w:val="24"/>
          <w:szCs w:val="24"/>
        </w:rPr>
        <w:t xml:space="preserve"> compared with -0.4354 and -0.4796 in Table </w:t>
      </w:r>
      <w:r w:rsidR="001B5D26">
        <w:rPr>
          <w:rFonts w:ascii="Times New Roman" w:hAnsi="Times New Roman" w:cs="Times New Roman"/>
          <w:sz w:val="24"/>
          <w:szCs w:val="24"/>
        </w:rPr>
        <w:t>6.2</w:t>
      </w:r>
      <w:r w:rsidR="00054448">
        <w:rPr>
          <w:rFonts w:ascii="Times New Roman" w:hAnsi="Times New Roman" w:cs="Times New Roman"/>
          <w:sz w:val="24"/>
          <w:szCs w:val="24"/>
        </w:rPr>
        <w:t xml:space="preserve">  </w:t>
      </w:r>
      <w:r w:rsidR="00F607C3">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543BA6" w:rsidRPr="00386561" w:rsidRDefault="00543BA6" w:rsidP="00543BA6">
      <w:pPr>
        <w:rPr>
          <w:rFonts w:ascii="Times New Roman" w:hAnsi="Times New Roman" w:cs="Times New Roman"/>
          <w:i/>
          <w:sz w:val="24"/>
          <w:szCs w:val="24"/>
        </w:rPr>
      </w:pPr>
      <w:r>
        <w:rPr>
          <w:rFonts w:ascii="Times New Roman" w:hAnsi="Times New Roman" w:cs="Times New Roman"/>
          <w:i/>
          <w:sz w:val="24"/>
          <w:szCs w:val="24"/>
        </w:rPr>
        <w:t xml:space="preserve">Elasticities for events in one region compared with those for another region </w:t>
      </w:r>
    </w:p>
    <w:p w:rsidR="00AA5449" w:rsidRPr="00543BA6" w:rsidRDefault="00543BA6" w:rsidP="005D4609">
      <w:pPr>
        <w:tabs>
          <w:tab w:val="left" w:pos="720"/>
          <w:tab w:val="right" w:pos="8820"/>
        </w:tabs>
        <w:rPr>
          <w:rFonts w:ascii="Times New Roman" w:hAnsi="Times New Roman" w:cs="Times New Roman"/>
          <w:sz w:val="24"/>
          <w:szCs w:val="24"/>
        </w:rPr>
      </w:pPr>
      <w:r w:rsidRPr="00543BA6">
        <w:rPr>
          <w:rFonts w:ascii="Times New Roman" w:hAnsi="Times New Roman" w:cs="Times New Roman"/>
          <w:sz w:val="24"/>
          <w:szCs w:val="24"/>
        </w:rPr>
        <w:t>Tables</w:t>
      </w:r>
      <w:r>
        <w:rPr>
          <w:rFonts w:ascii="Times New Roman" w:hAnsi="Times New Roman" w:cs="Times New Roman"/>
          <w:sz w:val="24"/>
          <w:szCs w:val="24"/>
        </w:rPr>
        <w:t xml:space="preserve"> </w:t>
      </w:r>
      <w:r w:rsidR="00F269BA">
        <w:rPr>
          <w:rFonts w:ascii="Times New Roman" w:hAnsi="Times New Roman" w:cs="Times New Roman"/>
          <w:sz w:val="24"/>
          <w:szCs w:val="24"/>
        </w:rPr>
        <w:t>6.4</w:t>
      </w:r>
      <w:r>
        <w:rPr>
          <w:rFonts w:ascii="Times New Roman" w:hAnsi="Times New Roman" w:cs="Times New Roman"/>
          <w:sz w:val="24"/>
          <w:szCs w:val="24"/>
        </w:rPr>
        <w:t xml:space="preserve"> and </w:t>
      </w:r>
      <w:r w:rsidR="00F269BA">
        <w:rPr>
          <w:rFonts w:ascii="Times New Roman" w:hAnsi="Times New Roman" w:cs="Times New Roman"/>
          <w:sz w:val="24"/>
          <w:szCs w:val="24"/>
        </w:rPr>
        <w:t>6.5</w:t>
      </w:r>
      <w:r>
        <w:rPr>
          <w:rFonts w:ascii="Times New Roman" w:hAnsi="Times New Roman" w:cs="Times New Roman"/>
          <w:sz w:val="24"/>
          <w:szCs w:val="24"/>
        </w:rPr>
        <w:t xml:space="preserve"> give Keynesian and Neoclassical elasticities for shocks occurring in CA34.  Qualitatively, the elasticities in these tables are similar to those in Tables </w:t>
      </w:r>
      <w:r w:rsidR="00F269BA">
        <w:rPr>
          <w:rFonts w:ascii="Times New Roman" w:hAnsi="Times New Roman" w:cs="Times New Roman"/>
          <w:sz w:val="24"/>
          <w:szCs w:val="24"/>
        </w:rPr>
        <w:t xml:space="preserve">6.2 </w:t>
      </w:r>
      <w:r>
        <w:rPr>
          <w:rFonts w:ascii="Times New Roman" w:hAnsi="Times New Roman" w:cs="Times New Roman"/>
          <w:sz w:val="24"/>
          <w:szCs w:val="24"/>
        </w:rPr>
        <w:t xml:space="preserve">and </w:t>
      </w:r>
      <w:r w:rsidR="00F269BA">
        <w:rPr>
          <w:rFonts w:ascii="Times New Roman" w:hAnsi="Times New Roman" w:cs="Times New Roman"/>
          <w:sz w:val="24"/>
          <w:szCs w:val="24"/>
        </w:rPr>
        <w:t>6.3</w:t>
      </w:r>
      <w:r>
        <w:rPr>
          <w:rFonts w:ascii="Times New Roman" w:hAnsi="Times New Roman" w:cs="Times New Roman"/>
          <w:sz w:val="24"/>
          <w:szCs w:val="24"/>
        </w:rPr>
        <w:t xml:space="preserve">.  </w:t>
      </w:r>
      <w:r w:rsidR="00404CED">
        <w:rPr>
          <w:rFonts w:ascii="Times New Roman" w:hAnsi="Times New Roman" w:cs="Times New Roman"/>
          <w:sz w:val="24"/>
          <w:szCs w:val="24"/>
        </w:rPr>
        <w:t xml:space="preserve">They all have the same signs and moving from </w:t>
      </w:r>
      <w:r>
        <w:rPr>
          <w:rFonts w:ascii="Times New Roman" w:hAnsi="Times New Roman" w:cs="Times New Roman"/>
          <w:sz w:val="24"/>
          <w:szCs w:val="24"/>
        </w:rPr>
        <w:t xml:space="preserve">Table </w:t>
      </w:r>
      <w:r w:rsidR="00F269BA">
        <w:rPr>
          <w:rFonts w:ascii="Times New Roman" w:hAnsi="Times New Roman" w:cs="Times New Roman"/>
          <w:sz w:val="24"/>
          <w:szCs w:val="24"/>
        </w:rPr>
        <w:t>6.4</w:t>
      </w:r>
      <w:r>
        <w:rPr>
          <w:rFonts w:ascii="Times New Roman" w:hAnsi="Times New Roman" w:cs="Times New Roman"/>
          <w:sz w:val="24"/>
          <w:szCs w:val="24"/>
        </w:rPr>
        <w:t xml:space="preserve"> to Table </w:t>
      </w:r>
      <w:r w:rsidR="00F269BA">
        <w:rPr>
          <w:rFonts w:ascii="Times New Roman" w:hAnsi="Times New Roman" w:cs="Times New Roman"/>
          <w:sz w:val="24"/>
          <w:szCs w:val="24"/>
        </w:rPr>
        <w:t>6.5</w:t>
      </w:r>
      <w:r>
        <w:rPr>
          <w:rFonts w:ascii="Times New Roman" w:hAnsi="Times New Roman" w:cs="Times New Roman"/>
          <w:sz w:val="24"/>
          <w:szCs w:val="24"/>
        </w:rPr>
        <w:t xml:space="preserve">, that is going from Keynesian to Neoclassical assumptions </w:t>
      </w:r>
      <w:r w:rsidR="00404CED">
        <w:rPr>
          <w:rFonts w:ascii="Times New Roman" w:hAnsi="Times New Roman" w:cs="Times New Roman"/>
          <w:sz w:val="24"/>
          <w:szCs w:val="24"/>
        </w:rPr>
        <w:t xml:space="preserve">in CA34, </w:t>
      </w:r>
      <w:r>
        <w:rPr>
          <w:rFonts w:ascii="Times New Roman" w:hAnsi="Times New Roman" w:cs="Times New Roman"/>
          <w:sz w:val="24"/>
          <w:szCs w:val="24"/>
        </w:rPr>
        <w:t xml:space="preserve">shows </w:t>
      </w:r>
      <w:r w:rsidR="00404CED">
        <w:rPr>
          <w:rFonts w:ascii="Times New Roman" w:hAnsi="Times New Roman" w:cs="Times New Roman"/>
          <w:sz w:val="24"/>
          <w:szCs w:val="24"/>
        </w:rPr>
        <w:t xml:space="preserve">similar effects to those we saw in comparing Tables </w:t>
      </w:r>
      <w:r w:rsidR="00F269BA">
        <w:rPr>
          <w:rFonts w:ascii="Times New Roman" w:hAnsi="Times New Roman" w:cs="Times New Roman"/>
          <w:sz w:val="24"/>
          <w:szCs w:val="24"/>
        </w:rPr>
        <w:t>6.2</w:t>
      </w:r>
      <w:r w:rsidR="00404CED">
        <w:rPr>
          <w:rFonts w:ascii="Times New Roman" w:hAnsi="Times New Roman" w:cs="Times New Roman"/>
          <w:sz w:val="24"/>
          <w:szCs w:val="24"/>
        </w:rPr>
        <w:t xml:space="preserve"> and </w:t>
      </w:r>
      <w:r w:rsidR="00F269BA">
        <w:rPr>
          <w:rFonts w:ascii="Times New Roman" w:hAnsi="Times New Roman" w:cs="Times New Roman"/>
          <w:sz w:val="24"/>
          <w:szCs w:val="24"/>
        </w:rPr>
        <w:t>6.3</w:t>
      </w:r>
      <w:r w:rsidR="00404CED">
        <w:rPr>
          <w:rFonts w:ascii="Times New Roman" w:hAnsi="Times New Roman" w:cs="Times New Roman"/>
          <w:sz w:val="24"/>
          <w:szCs w:val="24"/>
        </w:rPr>
        <w:t xml:space="preserve"> for FL24.  </w:t>
      </w:r>
      <w:r w:rsidR="00F269BA">
        <w:rPr>
          <w:rFonts w:ascii="Times New Roman" w:hAnsi="Times New Roman" w:cs="Times New Roman"/>
          <w:sz w:val="24"/>
          <w:szCs w:val="24"/>
        </w:rPr>
        <w:t>In all cases</w:t>
      </w:r>
      <w:r>
        <w:rPr>
          <w:rFonts w:ascii="Times New Roman" w:hAnsi="Times New Roman" w:cs="Times New Roman"/>
          <w:sz w:val="24"/>
          <w:szCs w:val="24"/>
        </w:rPr>
        <w:t xml:space="preserve">, </w:t>
      </w:r>
      <w:r w:rsidR="00404CED">
        <w:rPr>
          <w:rFonts w:ascii="Times New Roman" w:hAnsi="Times New Roman" w:cs="Times New Roman"/>
          <w:sz w:val="24"/>
          <w:szCs w:val="24"/>
        </w:rPr>
        <w:t xml:space="preserve">the differences between the elasticities </w:t>
      </w:r>
      <w:r w:rsidR="00404CED">
        <w:rPr>
          <w:rFonts w:ascii="Times New Roman" w:hAnsi="Times New Roman" w:cs="Times New Roman"/>
          <w:sz w:val="24"/>
          <w:szCs w:val="24"/>
        </w:rPr>
        <w:lastRenderedPageBreak/>
        <w:t xml:space="preserve">in Tables </w:t>
      </w:r>
      <w:r w:rsidR="00F269BA">
        <w:rPr>
          <w:rFonts w:ascii="Times New Roman" w:hAnsi="Times New Roman" w:cs="Times New Roman"/>
          <w:sz w:val="24"/>
          <w:szCs w:val="24"/>
        </w:rPr>
        <w:t>6.4</w:t>
      </w:r>
      <w:r w:rsidR="00404CED">
        <w:rPr>
          <w:rFonts w:ascii="Times New Roman" w:hAnsi="Times New Roman" w:cs="Times New Roman"/>
          <w:sz w:val="24"/>
          <w:szCs w:val="24"/>
        </w:rPr>
        <w:t xml:space="preserve"> and </w:t>
      </w:r>
      <w:r w:rsidR="00F269BA">
        <w:rPr>
          <w:rFonts w:ascii="Times New Roman" w:hAnsi="Times New Roman" w:cs="Times New Roman"/>
          <w:sz w:val="24"/>
          <w:szCs w:val="24"/>
        </w:rPr>
        <w:t>6.5</w:t>
      </w:r>
      <w:r w:rsidR="00404CED">
        <w:rPr>
          <w:rFonts w:ascii="Times New Roman" w:hAnsi="Times New Roman" w:cs="Times New Roman"/>
          <w:sz w:val="24"/>
          <w:szCs w:val="24"/>
        </w:rPr>
        <w:t xml:space="preserve"> have the same signs as the differences between those in Tables </w:t>
      </w:r>
      <w:r w:rsidR="00F269BA">
        <w:rPr>
          <w:rFonts w:ascii="Times New Roman" w:hAnsi="Times New Roman" w:cs="Times New Roman"/>
          <w:sz w:val="24"/>
          <w:szCs w:val="24"/>
        </w:rPr>
        <w:t>6.2</w:t>
      </w:r>
      <w:r w:rsidR="00404CED">
        <w:rPr>
          <w:rFonts w:ascii="Times New Roman" w:hAnsi="Times New Roman" w:cs="Times New Roman"/>
          <w:sz w:val="24"/>
          <w:szCs w:val="24"/>
        </w:rPr>
        <w:t xml:space="preserve"> and </w:t>
      </w:r>
      <w:r w:rsidR="00F269BA">
        <w:rPr>
          <w:rFonts w:ascii="Times New Roman" w:hAnsi="Times New Roman" w:cs="Times New Roman"/>
          <w:sz w:val="24"/>
          <w:szCs w:val="24"/>
        </w:rPr>
        <w:t xml:space="preserve">6.3. </w:t>
      </w:r>
    </w:p>
    <w:p w:rsidR="00D11E5D" w:rsidRDefault="00FB6A9A" w:rsidP="00D11E5D">
      <w:pPr>
        <w:rPr>
          <w:rFonts w:ascii="Times New Roman" w:hAnsi="Times New Roman" w:cs="Times New Roman"/>
          <w:sz w:val="24"/>
          <w:szCs w:val="24"/>
        </w:rPr>
      </w:pPr>
      <w:r>
        <w:rPr>
          <w:rFonts w:ascii="Times New Roman" w:hAnsi="Times New Roman" w:cs="Times New Roman"/>
          <w:sz w:val="24"/>
          <w:szCs w:val="24"/>
        </w:rPr>
        <w:t xml:space="preserve">While </w:t>
      </w:r>
      <w:r w:rsidR="00F269BA" w:rsidRPr="00543BA6">
        <w:rPr>
          <w:rFonts w:ascii="Times New Roman" w:hAnsi="Times New Roman" w:cs="Times New Roman"/>
          <w:sz w:val="24"/>
          <w:szCs w:val="24"/>
        </w:rPr>
        <w:t>Tables</w:t>
      </w:r>
      <w:r w:rsidR="00F269BA">
        <w:rPr>
          <w:rFonts w:ascii="Times New Roman" w:hAnsi="Times New Roman" w:cs="Times New Roman"/>
          <w:sz w:val="24"/>
          <w:szCs w:val="24"/>
        </w:rPr>
        <w:t xml:space="preserve"> 6.4 and 6.5</w:t>
      </w:r>
      <w:r>
        <w:rPr>
          <w:rFonts w:ascii="Times New Roman" w:hAnsi="Times New Roman" w:cs="Times New Roman"/>
          <w:sz w:val="24"/>
          <w:szCs w:val="24"/>
        </w:rPr>
        <w:t xml:space="preserve"> are qualitatively similar to </w:t>
      </w:r>
      <w:r w:rsidR="00F269BA">
        <w:rPr>
          <w:rFonts w:ascii="Times New Roman" w:hAnsi="Times New Roman" w:cs="Times New Roman"/>
          <w:sz w:val="24"/>
          <w:szCs w:val="24"/>
        </w:rPr>
        <w:t>Tables 6.2 and 6.3</w:t>
      </w:r>
      <w:r>
        <w:rPr>
          <w:rFonts w:ascii="Times New Roman" w:hAnsi="Times New Roman" w:cs="Times New Roman"/>
          <w:sz w:val="24"/>
          <w:szCs w:val="24"/>
        </w:rPr>
        <w:t xml:space="preserve">, the comparison shows at a quantitative level that the region in which an event takes place is potentially important.  </w:t>
      </w:r>
      <w:r w:rsidR="00084C02">
        <w:rPr>
          <w:rFonts w:ascii="Times New Roman" w:hAnsi="Times New Roman" w:cs="Times New Roman"/>
          <w:sz w:val="24"/>
          <w:szCs w:val="24"/>
        </w:rPr>
        <w:t>The differences in the elasticities as we move from one region to another reflect differences in the size and structure of the regional economies.  To illustrate this, we consider a few examples starting with the elasticities in rows 1 and 2.  The entries in these rows in Table</w:t>
      </w:r>
      <w:r w:rsidR="00D11E5D">
        <w:rPr>
          <w:rFonts w:ascii="Times New Roman" w:hAnsi="Times New Roman" w:cs="Times New Roman"/>
          <w:sz w:val="24"/>
          <w:szCs w:val="24"/>
        </w:rPr>
        <w:t>s</w:t>
      </w:r>
      <w:r w:rsidR="00084C02">
        <w:rPr>
          <w:rFonts w:ascii="Times New Roman" w:hAnsi="Times New Roman" w:cs="Times New Roman"/>
          <w:sz w:val="24"/>
          <w:szCs w:val="24"/>
        </w:rPr>
        <w:t xml:space="preserve"> </w:t>
      </w:r>
      <w:r w:rsidR="00F269BA">
        <w:rPr>
          <w:rFonts w:ascii="Times New Roman" w:hAnsi="Times New Roman" w:cs="Times New Roman"/>
          <w:sz w:val="24"/>
          <w:szCs w:val="24"/>
        </w:rPr>
        <w:t>6.4</w:t>
      </w:r>
      <w:r w:rsidR="00D11E5D">
        <w:rPr>
          <w:rFonts w:ascii="Times New Roman" w:hAnsi="Times New Roman" w:cs="Times New Roman"/>
          <w:sz w:val="24"/>
          <w:szCs w:val="24"/>
        </w:rPr>
        <w:t xml:space="preserve"> and </w:t>
      </w:r>
      <w:r w:rsidR="00F269BA">
        <w:rPr>
          <w:rFonts w:ascii="Times New Roman" w:hAnsi="Times New Roman" w:cs="Times New Roman"/>
          <w:sz w:val="24"/>
          <w:szCs w:val="24"/>
        </w:rPr>
        <w:t>6.5</w:t>
      </w:r>
      <w:r w:rsidR="00084C02">
        <w:rPr>
          <w:rFonts w:ascii="Times New Roman" w:hAnsi="Times New Roman" w:cs="Times New Roman"/>
          <w:sz w:val="24"/>
          <w:szCs w:val="24"/>
        </w:rPr>
        <w:t xml:space="preserve"> </w:t>
      </w:r>
      <w:r>
        <w:rPr>
          <w:rFonts w:ascii="Times New Roman" w:hAnsi="Times New Roman" w:cs="Times New Roman"/>
          <w:sz w:val="24"/>
          <w:szCs w:val="24"/>
        </w:rPr>
        <w:t>are larger in absolute size than the corresponding entries in Table</w:t>
      </w:r>
      <w:r w:rsidR="00D11E5D">
        <w:rPr>
          <w:rFonts w:ascii="Times New Roman" w:hAnsi="Times New Roman" w:cs="Times New Roman"/>
          <w:sz w:val="24"/>
          <w:szCs w:val="24"/>
        </w:rPr>
        <w:t>s</w:t>
      </w:r>
      <w:r>
        <w:rPr>
          <w:rFonts w:ascii="Times New Roman" w:hAnsi="Times New Roman" w:cs="Times New Roman"/>
          <w:sz w:val="24"/>
          <w:szCs w:val="24"/>
        </w:rPr>
        <w:t xml:space="preserve"> </w:t>
      </w:r>
      <w:r w:rsidR="00F269BA">
        <w:rPr>
          <w:rFonts w:ascii="Times New Roman" w:hAnsi="Times New Roman" w:cs="Times New Roman"/>
          <w:sz w:val="24"/>
          <w:szCs w:val="24"/>
        </w:rPr>
        <w:t>6.2</w:t>
      </w:r>
      <w:r w:rsidR="00D11E5D">
        <w:rPr>
          <w:rFonts w:ascii="Times New Roman" w:hAnsi="Times New Roman" w:cs="Times New Roman"/>
          <w:sz w:val="24"/>
          <w:szCs w:val="24"/>
        </w:rPr>
        <w:t xml:space="preserve"> and </w:t>
      </w:r>
      <w:r w:rsidR="00F269BA">
        <w:rPr>
          <w:rFonts w:ascii="Times New Roman" w:hAnsi="Times New Roman" w:cs="Times New Roman"/>
          <w:sz w:val="24"/>
          <w:szCs w:val="24"/>
        </w:rPr>
        <w:t>6.3</w:t>
      </w:r>
      <w:r>
        <w:rPr>
          <w:rFonts w:ascii="Times New Roman" w:hAnsi="Times New Roman" w:cs="Times New Roman"/>
          <w:sz w:val="24"/>
          <w:szCs w:val="24"/>
        </w:rPr>
        <w:t xml:space="preserve">.  This reflects features of the USAGE-TERM database which shows a greater value for capital in CA34 </w:t>
      </w:r>
      <w:r w:rsidR="00FD3E10">
        <w:rPr>
          <w:rFonts w:ascii="Times New Roman" w:hAnsi="Times New Roman" w:cs="Times New Roman"/>
          <w:sz w:val="24"/>
          <w:szCs w:val="24"/>
        </w:rPr>
        <w:t>than in</w:t>
      </w:r>
      <w:r>
        <w:rPr>
          <w:rFonts w:ascii="Times New Roman" w:hAnsi="Times New Roman" w:cs="Times New Roman"/>
          <w:sz w:val="24"/>
          <w:szCs w:val="24"/>
        </w:rPr>
        <w:t xml:space="preserve"> FL24 and a larger capital share in the income of CA34 </w:t>
      </w:r>
      <w:r w:rsidR="00FD3E10">
        <w:rPr>
          <w:rFonts w:ascii="Times New Roman" w:hAnsi="Times New Roman" w:cs="Times New Roman"/>
          <w:sz w:val="24"/>
          <w:szCs w:val="24"/>
        </w:rPr>
        <w:t xml:space="preserve">than in the income </w:t>
      </w:r>
      <w:r>
        <w:rPr>
          <w:rFonts w:ascii="Times New Roman" w:hAnsi="Times New Roman" w:cs="Times New Roman"/>
          <w:sz w:val="24"/>
          <w:szCs w:val="24"/>
        </w:rPr>
        <w:t xml:space="preserve">of FL24.  </w:t>
      </w:r>
      <w:r w:rsidR="00084C02">
        <w:rPr>
          <w:rFonts w:ascii="Times New Roman" w:hAnsi="Times New Roman" w:cs="Times New Roman"/>
          <w:sz w:val="24"/>
          <w:szCs w:val="24"/>
        </w:rPr>
        <w:t xml:space="preserve">For row 3, </w:t>
      </w:r>
      <w:r w:rsidR="00D11E5D">
        <w:rPr>
          <w:rFonts w:ascii="Times New Roman" w:hAnsi="Times New Roman" w:cs="Times New Roman"/>
          <w:sz w:val="24"/>
          <w:szCs w:val="24"/>
        </w:rPr>
        <w:t>the greater absolute values for the</w:t>
      </w:r>
      <w:r w:rsidR="00CF5C49">
        <w:rPr>
          <w:rFonts w:ascii="Times New Roman" w:hAnsi="Times New Roman" w:cs="Times New Roman"/>
          <w:sz w:val="24"/>
          <w:szCs w:val="24"/>
        </w:rPr>
        <w:t xml:space="preserve"> year-1 national </w:t>
      </w:r>
      <w:r w:rsidR="00ED5FFD">
        <w:rPr>
          <w:rFonts w:ascii="Times New Roman" w:hAnsi="Times New Roman" w:cs="Times New Roman"/>
          <w:sz w:val="24"/>
          <w:szCs w:val="24"/>
        </w:rPr>
        <w:t xml:space="preserve">elasticities </w:t>
      </w:r>
      <w:r w:rsidR="00CF5C49">
        <w:rPr>
          <w:rFonts w:ascii="Times New Roman" w:hAnsi="Times New Roman" w:cs="Times New Roman"/>
          <w:sz w:val="24"/>
          <w:szCs w:val="24"/>
        </w:rPr>
        <w:t>and welfare elasticities in Table</w:t>
      </w:r>
      <w:r w:rsidR="0053678C">
        <w:rPr>
          <w:rFonts w:ascii="Times New Roman" w:hAnsi="Times New Roman" w:cs="Times New Roman"/>
          <w:sz w:val="24"/>
          <w:szCs w:val="24"/>
        </w:rPr>
        <w:t>s</w:t>
      </w:r>
      <w:r w:rsidR="00CF5C49">
        <w:rPr>
          <w:rFonts w:ascii="Times New Roman" w:hAnsi="Times New Roman" w:cs="Times New Roman"/>
          <w:sz w:val="24"/>
          <w:szCs w:val="24"/>
        </w:rPr>
        <w:t xml:space="preserve"> </w:t>
      </w:r>
      <w:r w:rsidR="00F269BA">
        <w:rPr>
          <w:rFonts w:ascii="Times New Roman" w:hAnsi="Times New Roman" w:cs="Times New Roman"/>
          <w:sz w:val="24"/>
          <w:szCs w:val="24"/>
        </w:rPr>
        <w:t>6.4</w:t>
      </w:r>
      <w:r w:rsidR="00CF5C49">
        <w:rPr>
          <w:rFonts w:ascii="Times New Roman" w:hAnsi="Times New Roman" w:cs="Times New Roman"/>
          <w:sz w:val="24"/>
          <w:szCs w:val="24"/>
        </w:rPr>
        <w:t xml:space="preserve"> </w:t>
      </w:r>
      <w:r w:rsidR="00D11E5D">
        <w:rPr>
          <w:rFonts w:ascii="Times New Roman" w:hAnsi="Times New Roman" w:cs="Times New Roman"/>
          <w:sz w:val="24"/>
          <w:szCs w:val="24"/>
        </w:rPr>
        <w:t xml:space="preserve">and </w:t>
      </w:r>
      <w:r w:rsidR="00F269BA">
        <w:rPr>
          <w:rFonts w:ascii="Times New Roman" w:hAnsi="Times New Roman" w:cs="Times New Roman"/>
          <w:sz w:val="24"/>
          <w:szCs w:val="24"/>
        </w:rPr>
        <w:t>6.5</w:t>
      </w:r>
      <w:r w:rsidR="00D11E5D">
        <w:rPr>
          <w:rFonts w:ascii="Times New Roman" w:hAnsi="Times New Roman" w:cs="Times New Roman"/>
          <w:sz w:val="24"/>
          <w:szCs w:val="24"/>
        </w:rPr>
        <w:t xml:space="preserve"> than </w:t>
      </w:r>
      <w:r w:rsidR="00CF5C49">
        <w:rPr>
          <w:rFonts w:ascii="Times New Roman" w:hAnsi="Times New Roman" w:cs="Times New Roman"/>
          <w:sz w:val="24"/>
          <w:szCs w:val="24"/>
        </w:rPr>
        <w:t>in Table</w:t>
      </w:r>
      <w:r w:rsidR="0053678C">
        <w:rPr>
          <w:rFonts w:ascii="Times New Roman" w:hAnsi="Times New Roman" w:cs="Times New Roman"/>
          <w:sz w:val="24"/>
          <w:szCs w:val="24"/>
        </w:rPr>
        <w:t>s</w:t>
      </w:r>
      <w:r w:rsidR="00CF5C49">
        <w:rPr>
          <w:rFonts w:ascii="Times New Roman" w:hAnsi="Times New Roman" w:cs="Times New Roman"/>
          <w:sz w:val="24"/>
          <w:szCs w:val="24"/>
        </w:rPr>
        <w:t xml:space="preserve"> </w:t>
      </w:r>
      <w:r w:rsidR="00F269BA">
        <w:rPr>
          <w:rFonts w:ascii="Times New Roman" w:hAnsi="Times New Roman" w:cs="Times New Roman"/>
          <w:sz w:val="24"/>
          <w:szCs w:val="24"/>
        </w:rPr>
        <w:t>6.2</w:t>
      </w:r>
      <w:r w:rsidR="0053678C">
        <w:rPr>
          <w:rFonts w:ascii="Times New Roman" w:hAnsi="Times New Roman" w:cs="Times New Roman"/>
          <w:sz w:val="24"/>
          <w:szCs w:val="24"/>
        </w:rPr>
        <w:t xml:space="preserve"> and </w:t>
      </w:r>
      <w:r w:rsidR="00F269BA">
        <w:rPr>
          <w:rFonts w:ascii="Times New Roman" w:hAnsi="Times New Roman" w:cs="Times New Roman"/>
          <w:sz w:val="24"/>
          <w:szCs w:val="24"/>
        </w:rPr>
        <w:t>6.3</w:t>
      </w:r>
      <w:r w:rsidR="00D11E5D">
        <w:rPr>
          <w:rFonts w:ascii="Times New Roman" w:hAnsi="Times New Roman" w:cs="Times New Roman"/>
          <w:sz w:val="24"/>
          <w:szCs w:val="24"/>
        </w:rPr>
        <w:t xml:space="preserve"> are explained by CA34’s city having larger total public expenditure than FL24’s city</w:t>
      </w:r>
      <w:r w:rsidR="00CF5C49">
        <w:rPr>
          <w:rFonts w:ascii="Times New Roman" w:hAnsi="Times New Roman" w:cs="Times New Roman"/>
          <w:sz w:val="24"/>
          <w:szCs w:val="24"/>
        </w:rPr>
        <w:t xml:space="preserve">. </w:t>
      </w:r>
      <w:r w:rsidR="00D11E5D">
        <w:rPr>
          <w:rFonts w:ascii="Times New Roman" w:hAnsi="Times New Roman" w:cs="Times New Roman"/>
          <w:sz w:val="24"/>
          <w:szCs w:val="24"/>
        </w:rPr>
        <w:t xml:space="preserve"> By contrast the year-1 regional elasticities in row 3 of Tables </w:t>
      </w:r>
      <w:r w:rsidR="00F269BA">
        <w:rPr>
          <w:rFonts w:ascii="Times New Roman" w:hAnsi="Times New Roman" w:cs="Times New Roman"/>
          <w:sz w:val="24"/>
          <w:szCs w:val="24"/>
        </w:rPr>
        <w:t>6.4</w:t>
      </w:r>
      <w:r w:rsidR="00D11E5D">
        <w:rPr>
          <w:rFonts w:ascii="Times New Roman" w:hAnsi="Times New Roman" w:cs="Times New Roman"/>
          <w:sz w:val="24"/>
          <w:szCs w:val="24"/>
        </w:rPr>
        <w:t xml:space="preserve"> and </w:t>
      </w:r>
      <w:r w:rsidR="00F269BA">
        <w:rPr>
          <w:rFonts w:ascii="Times New Roman" w:hAnsi="Times New Roman" w:cs="Times New Roman"/>
          <w:sz w:val="24"/>
          <w:szCs w:val="24"/>
        </w:rPr>
        <w:t>6.5</w:t>
      </w:r>
      <w:r w:rsidR="00D11E5D">
        <w:rPr>
          <w:rFonts w:ascii="Times New Roman" w:hAnsi="Times New Roman" w:cs="Times New Roman"/>
          <w:sz w:val="24"/>
          <w:szCs w:val="24"/>
        </w:rPr>
        <w:t xml:space="preserve"> are smaller in absolute size than the corresponding elasticities in Tables </w:t>
      </w:r>
      <w:r w:rsidR="00F269BA">
        <w:rPr>
          <w:rFonts w:ascii="Times New Roman" w:hAnsi="Times New Roman" w:cs="Times New Roman"/>
          <w:sz w:val="24"/>
          <w:szCs w:val="24"/>
        </w:rPr>
        <w:t>6.2</w:t>
      </w:r>
      <w:r w:rsidR="00D11E5D">
        <w:rPr>
          <w:rFonts w:ascii="Times New Roman" w:hAnsi="Times New Roman" w:cs="Times New Roman"/>
          <w:sz w:val="24"/>
          <w:szCs w:val="24"/>
        </w:rPr>
        <w:t xml:space="preserve"> and </w:t>
      </w:r>
      <w:r w:rsidR="00F269BA">
        <w:rPr>
          <w:rFonts w:ascii="Times New Roman" w:hAnsi="Times New Roman" w:cs="Times New Roman"/>
          <w:sz w:val="24"/>
          <w:szCs w:val="24"/>
        </w:rPr>
        <w:t>6.3</w:t>
      </w:r>
      <w:r w:rsidR="00D11E5D">
        <w:rPr>
          <w:rFonts w:ascii="Times New Roman" w:hAnsi="Times New Roman" w:cs="Times New Roman"/>
          <w:sz w:val="24"/>
          <w:szCs w:val="24"/>
        </w:rPr>
        <w:t>.  This is because public expenditure activity in CA34’s city is less important to the economy of CA34 than is the case for public expenditure activity in FL24’s city in the economy of FL24.</w:t>
      </w:r>
      <w:r w:rsidR="00C115BB">
        <w:rPr>
          <w:rFonts w:ascii="Times New Roman" w:hAnsi="Times New Roman" w:cs="Times New Roman"/>
          <w:sz w:val="24"/>
          <w:szCs w:val="24"/>
        </w:rPr>
        <w:t xml:space="preserve"> As a final example, consider row 7.  Foreign </w:t>
      </w:r>
      <w:r w:rsidR="00F269BA">
        <w:rPr>
          <w:rFonts w:ascii="Times New Roman" w:hAnsi="Times New Roman" w:cs="Times New Roman"/>
          <w:sz w:val="24"/>
          <w:szCs w:val="24"/>
        </w:rPr>
        <w:t>visitors</w:t>
      </w:r>
      <w:r w:rsidR="00C115BB">
        <w:rPr>
          <w:rFonts w:ascii="Times New Roman" w:hAnsi="Times New Roman" w:cs="Times New Roman"/>
          <w:sz w:val="24"/>
          <w:szCs w:val="24"/>
        </w:rPr>
        <w:t xml:space="preserve"> spend </w:t>
      </w:r>
      <w:r w:rsidR="00F269BA">
        <w:rPr>
          <w:rFonts w:ascii="Times New Roman" w:hAnsi="Times New Roman" w:cs="Times New Roman"/>
          <w:sz w:val="24"/>
          <w:szCs w:val="24"/>
        </w:rPr>
        <w:t xml:space="preserve">approximately </w:t>
      </w:r>
      <w:r w:rsidR="00C115BB">
        <w:rPr>
          <w:rFonts w:ascii="Times New Roman" w:hAnsi="Times New Roman" w:cs="Times New Roman"/>
          <w:sz w:val="24"/>
          <w:szCs w:val="24"/>
        </w:rPr>
        <w:t xml:space="preserve">the same amount of money in CA34’s city as in FL24’s city.  Consequently the year-1 national elasticities and welfare elasticities are similar in row 7 of Tables </w:t>
      </w:r>
      <w:r w:rsidR="00F269BA">
        <w:rPr>
          <w:rFonts w:ascii="Times New Roman" w:hAnsi="Times New Roman" w:cs="Times New Roman"/>
          <w:sz w:val="24"/>
          <w:szCs w:val="24"/>
        </w:rPr>
        <w:t>6.4</w:t>
      </w:r>
      <w:r w:rsidR="00C115BB">
        <w:rPr>
          <w:rFonts w:ascii="Times New Roman" w:hAnsi="Times New Roman" w:cs="Times New Roman"/>
          <w:sz w:val="24"/>
          <w:szCs w:val="24"/>
        </w:rPr>
        <w:t xml:space="preserve"> and </w:t>
      </w:r>
      <w:r w:rsidR="00F269BA">
        <w:rPr>
          <w:rFonts w:ascii="Times New Roman" w:hAnsi="Times New Roman" w:cs="Times New Roman"/>
          <w:sz w:val="24"/>
          <w:szCs w:val="24"/>
        </w:rPr>
        <w:t>6.5</w:t>
      </w:r>
      <w:r w:rsidR="00C115BB">
        <w:rPr>
          <w:rFonts w:ascii="Times New Roman" w:hAnsi="Times New Roman" w:cs="Times New Roman"/>
          <w:sz w:val="24"/>
          <w:szCs w:val="24"/>
        </w:rPr>
        <w:t xml:space="preserve"> to those in row 7 of Tables </w:t>
      </w:r>
      <w:r w:rsidR="00F269BA">
        <w:rPr>
          <w:rFonts w:ascii="Times New Roman" w:hAnsi="Times New Roman" w:cs="Times New Roman"/>
          <w:sz w:val="24"/>
          <w:szCs w:val="24"/>
        </w:rPr>
        <w:t>6.2</w:t>
      </w:r>
      <w:r w:rsidR="00C115BB">
        <w:rPr>
          <w:rFonts w:ascii="Times New Roman" w:hAnsi="Times New Roman" w:cs="Times New Roman"/>
          <w:sz w:val="24"/>
          <w:szCs w:val="24"/>
        </w:rPr>
        <w:t xml:space="preserve"> and </w:t>
      </w:r>
      <w:r w:rsidR="00F269BA">
        <w:rPr>
          <w:rFonts w:ascii="Times New Roman" w:hAnsi="Times New Roman" w:cs="Times New Roman"/>
          <w:sz w:val="24"/>
          <w:szCs w:val="24"/>
        </w:rPr>
        <w:t>6.3</w:t>
      </w:r>
      <w:r w:rsidR="00C115BB">
        <w:rPr>
          <w:rFonts w:ascii="Times New Roman" w:hAnsi="Times New Roman" w:cs="Times New Roman"/>
          <w:sz w:val="24"/>
          <w:szCs w:val="24"/>
        </w:rPr>
        <w:t xml:space="preserve">.  On the other hand, the year-1 regional elasticities are much smaller in absolute size in row 7 of Tables </w:t>
      </w:r>
      <w:r w:rsidR="00F269BA">
        <w:rPr>
          <w:rFonts w:ascii="Times New Roman" w:hAnsi="Times New Roman" w:cs="Times New Roman"/>
          <w:sz w:val="24"/>
          <w:szCs w:val="24"/>
        </w:rPr>
        <w:t xml:space="preserve">6.4 and 6.5 </w:t>
      </w:r>
      <w:r w:rsidR="00CD21A0">
        <w:rPr>
          <w:rFonts w:ascii="Times New Roman" w:hAnsi="Times New Roman" w:cs="Times New Roman"/>
          <w:sz w:val="24"/>
          <w:szCs w:val="24"/>
        </w:rPr>
        <w:t xml:space="preserve">than the corresponding elasticities in row 7 of Tables </w:t>
      </w:r>
      <w:r w:rsidR="00F269BA">
        <w:rPr>
          <w:rFonts w:ascii="Times New Roman" w:hAnsi="Times New Roman" w:cs="Times New Roman"/>
          <w:sz w:val="24"/>
          <w:szCs w:val="24"/>
        </w:rPr>
        <w:t>6.2 and 6.3</w:t>
      </w:r>
      <w:r w:rsidR="00CD21A0">
        <w:rPr>
          <w:rFonts w:ascii="Times New Roman" w:hAnsi="Times New Roman" w:cs="Times New Roman"/>
          <w:sz w:val="24"/>
          <w:szCs w:val="24"/>
        </w:rPr>
        <w:t xml:space="preserve">.  This is because foreign </w:t>
      </w:r>
      <w:r w:rsidR="00F269BA">
        <w:rPr>
          <w:rFonts w:ascii="Times New Roman" w:hAnsi="Times New Roman" w:cs="Times New Roman"/>
          <w:sz w:val="24"/>
          <w:szCs w:val="24"/>
        </w:rPr>
        <w:t xml:space="preserve">visitor expenditure </w:t>
      </w:r>
      <w:r w:rsidR="00CD21A0">
        <w:rPr>
          <w:rFonts w:ascii="Times New Roman" w:hAnsi="Times New Roman" w:cs="Times New Roman"/>
          <w:sz w:val="24"/>
          <w:szCs w:val="24"/>
        </w:rPr>
        <w:t xml:space="preserve">in CA34’s city is not important </w:t>
      </w:r>
      <w:r w:rsidR="00F269BA">
        <w:rPr>
          <w:rFonts w:ascii="Times New Roman" w:hAnsi="Times New Roman" w:cs="Times New Roman"/>
          <w:sz w:val="24"/>
          <w:szCs w:val="24"/>
        </w:rPr>
        <w:t xml:space="preserve">to </w:t>
      </w:r>
      <w:r w:rsidR="00CD21A0">
        <w:rPr>
          <w:rFonts w:ascii="Times New Roman" w:hAnsi="Times New Roman" w:cs="Times New Roman"/>
          <w:sz w:val="24"/>
          <w:szCs w:val="24"/>
        </w:rPr>
        <w:t xml:space="preserve">CA34 whereas </w:t>
      </w:r>
      <w:r w:rsidR="00F269BA">
        <w:rPr>
          <w:rFonts w:ascii="Times New Roman" w:hAnsi="Times New Roman" w:cs="Times New Roman"/>
          <w:sz w:val="24"/>
          <w:szCs w:val="24"/>
        </w:rPr>
        <w:t xml:space="preserve">foreign visitor expenditure </w:t>
      </w:r>
      <w:r w:rsidR="00CD21A0">
        <w:rPr>
          <w:rFonts w:ascii="Times New Roman" w:hAnsi="Times New Roman" w:cs="Times New Roman"/>
          <w:sz w:val="24"/>
          <w:szCs w:val="24"/>
        </w:rPr>
        <w:t xml:space="preserve">in FL24’s city is a major driver of activity in FL24.  </w:t>
      </w:r>
      <w:r w:rsidR="00F269BA">
        <w:rPr>
          <w:rFonts w:ascii="Times New Roman" w:hAnsi="Times New Roman" w:cs="Times New Roman"/>
          <w:sz w:val="24"/>
          <w:szCs w:val="24"/>
        </w:rPr>
        <w:t xml:space="preserve"> </w:t>
      </w:r>
    </w:p>
    <w:p w:rsidR="00B126D4" w:rsidRDefault="00B126D4" w:rsidP="00D11E5D">
      <w:pPr>
        <w:rPr>
          <w:rFonts w:ascii="Times New Roman" w:hAnsi="Times New Roman" w:cs="Times New Roman"/>
          <w:b/>
          <w:sz w:val="24"/>
          <w:szCs w:val="24"/>
        </w:rPr>
      </w:pPr>
      <w:r>
        <w:rPr>
          <w:rFonts w:ascii="Times New Roman" w:hAnsi="Times New Roman" w:cs="Times New Roman"/>
          <w:b/>
          <w:sz w:val="24"/>
          <w:szCs w:val="24"/>
        </w:rPr>
        <w:t>7.  Computing the economic implications of three illustrative scenarios</w:t>
      </w:r>
    </w:p>
    <w:p w:rsidR="00C374BE" w:rsidRDefault="00C374BE" w:rsidP="00591671">
      <w:pPr>
        <w:pStyle w:val="ListParagraph"/>
        <w:ind w:left="0"/>
        <w:contextualSpacing w:val="0"/>
        <w:rPr>
          <w:rFonts w:ascii="Times New Roman" w:hAnsi="Times New Roman" w:cs="Times New Roman"/>
          <w:sz w:val="24"/>
          <w:szCs w:val="24"/>
        </w:rPr>
      </w:pPr>
      <w:r w:rsidRPr="00C374BE">
        <w:rPr>
          <w:rFonts w:ascii="Times New Roman" w:hAnsi="Times New Roman" w:cs="Times New Roman"/>
          <w:sz w:val="24"/>
          <w:szCs w:val="24"/>
        </w:rPr>
        <w:t>This sec</w:t>
      </w:r>
      <w:r>
        <w:rPr>
          <w:rFonts w:ascii="Times New Roman" w:hAnsi="Times New Roman" w:cs="Times New Roman"/>
          <w:sz w:val="24"/>
          <w:szCs w:val="24"/>
        </w:rPr>
        <w:t xml:space="preserve">tion illustrates how GRAD-ECAT converts shocks (s) into outcomes (v).  Table 7.1 sets out shocks for 3 scenarios.  Initially we will assume that the target region is FL24.  </w:t>
      </w:r>
      <w:r w:rsidR="00CE71C2">
        <w:rPr>
          <w:rFonts w:ascii="Times New Roman" w:hAnsi="Times New Roman" w:cs="Times New Roman"/>
          <w:sz w:val="24"/>
          <w:szCs w:val="24"/>
        </w:rPr>
        <w:t xml:space="preserve">Then </w:t>
      </w:r>
      <w:r>
        <w:rPr>
          <w:rFonts w:ascii="Times New Roman" w:hAnsi="Times New Roman" w:cs="Times New Roman"/>
          <w:sz w:val="24"/>
          <w:szCs w:val="24"/>
        </w:rPr>
        <w:t>we will look</w:t>
      </w:r>
      <w:r w:rsidR="0065310C">
        <w:rPr>
          <w:rFonts w:ascii="Times New Roman" w:hAnsi="Times New Roman" w:cs="Times New Roman"/>
          <w:sz w:val="24"/>
          <w:szCs w:val="24"/>
        </w:rPr>
        <w:t xml:space="preserve"> briefly</w:t>
      </w:r>
      <w:r>
        <w:rPr>
          <w:rFonts w:ascii="Times New Roman" w:hAnsi="Times New Roman" w:cs="Times New Roman"/>
          <w:sz w:val="24"/>
          <w:szCs w:val="24"/>
        </w:rPr>
        <w:t xml:space="preserve"> at </w:t>
      </w:r>
      <w:r w:rsidR="0065310C">
        <w:rPr>
          <w:rFonts w:ascii="Times New Roman" w:hAnsi="Times New Roman" w:cs="Times New Roman"/>
          <w:sz w:val="24"/>
          <w:szCs w:val="24"/>
        </w:rPr>
        <w:t>some</w:t>
      </w:r>
      <w:r>
        <w:rPr>
          <w:rFonts w:ascii="Times New Roman" w:hAnsi="Times New Roman" w:cs="Times New Roman"/>
          <w:sz w:val="24"/>
          <w:szCs w:val="24"/>
        </w:rPr>
        <w:t xml:space="preserve"> results </w:t>
      </w:r>
      <w:r w:rsidR="0065310C">
        <w:rPr>
          <w:rFonts w:ascii="Times New Roman" w:hAnsi="Times New Roman" w:cs="Times New Roman"/>
          <w:sz w:val="24"/>
          <w:szCs w:val="24"/>
        </w:rPr>
        <w:t>with</w:t>
      </w:r>
      <w:r>
        <w:rPr>
          <w:rFonts w:ascii="Times New Roman" w:hAnsi="Times New Roman" w:cs="Times New Roman"/>
          <w:sz w:val="24"/>
          <w:szCs w:val="24"/>
        </w:rPr>
        <w:t xml:space="preserve"> the target region </w:t>
      </w:r>
      <w:r w:rsidR="0065310C">
        <w:rPr>
          <w:rFonts w:ascii="Times New Roman" w:hAnsi="Times New Roman" w:cs="Times New Roman"/>
          <w:sz w:val="24"/>
          <w:szCs w:val="24"/>
        </w:rPr>
        <w:t>being</w:t>
      </w:r>
      <w:r>
        <w:rPr>
          <w:rFonts w:ascii="Times New Roman" w:hAnsi="Times New Roman" w:cs="Times New Roman"/>
          <w:sz w:val="24"/>
          <w:szCs w:val="24"/>
        </w:rPr>
        <w:t xml:space="preserve"> CA34</w:t>
      </w:r>
      <w:r w:rsidR="0065310C">
        <w:rPr>
          <w:rFonts w:ascii="Times New Roman" w:hAnsi="Times New Roman" w:cs="Times New Roman"/>
          <w:sz w:val="24"/>
          <w:szCs w:val="24"/>
        </w:rPr>
        <w:t xml:space="preserve"> rather than FL24</w:t>
      </w:r>
      <w:r>
        <w:rPr>
          <w:rFonts w:ascii="Times New Roman" w:hAnsi="Times New Roman" w:cs="Times New Roman"/>
          <w:sz w:val="24"/>
          <w:szCs w:val="24"/>
        </w:rPr>
        <w:t xml:space="preserve">.  </w:t>
      </w:r>
    </w:p>
    <w:p w:rsidR="00A53143" w:rsidRDefault="00183565" w:rsidP="00591671">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The three scenarios are hypothetical and have no significance other than illustrating the workings of GRAD-ECAT.  However, it is useful to give them labels.  We refer to the first scenario as S1:</w:t>
      </w:r>
      <w:r w:rsidR="00040C30">
        <w:rPr>
          <w:rFonts w:ascii="Times New Roman" w:hAnsi="Times New Roman" w:cs="Times New Roman"/>
          <w:sz w:val="24"/>
          <w:szCs w:val="24"/>
        </w:rPr>
        <w:t xml:space="preserve"> </w:t>
      </w:r>
      <w:r>
        <w:rPr>
          <w:rFonts w:ascii="Times New Roman" w:hAnsi="Times New Roman" w:cs="Times New Roman"/>
          <w:sz w:val="24"/>
          <w:szCs w:val="24"/>
        </w:rPr>
        <w:t>Epidemic.  This scenario has a large number of deaths (38,181), considerable public health expenditures ($3,068.06m), and large losses in foreign-visitor expenditure ($8,836.55m and $46,098.6</w:t>
      </w:r>
      <w:r w:rsidR="007C3A8D">
        <w:rPr>
          <w:rFonts w:ascii="Times New Roman" w:hAnsi="Times New Roman" w:cs="Times New Roman"/>
          <w:sz w:val="24"/>
          <w:szCs w:val="24"/>
        </w:rPr>
        <w:t>2</w:t>
      </w:r>
      <w:r>
        <w:rPr>
          <w:rFonts w:ascii="Times New Roman" w:hAnsi="Times New Roman" w:cs="Times New Roman"/>
          <w:sz w:val="24"/>
          <w:szCs w:val="24"/>
        </w:rPr>
        <w:t xml:space="preserve">m).  In the second scenario the standout item is an enormous clean-up bill ($62,691.14m).   This is combined with a significant death toll (1,645).  </w:t>
      </w:r>
      <w:r w:rsidR="00040C30">
        <w:rPr>
          <w:rFonts w:ascii="Times New Roman" w:hAnsi="Times New Roman" w:cs="Times New Roman"/>
          <w:sz w:val="24"/>
          <w:szCs w:val="24"/>
        </w:rPr>
        <w:t xml:space="preserve">We refer to the second scenario as S2: Dirty bomb.  The third scenario involves losses in agriculture/food production in the target state.  There is no loss outside the target state.  We refer to this scenario as S3: Food contamination.  </w:t>
      </w:r>
    </w:p>
    <w:p w:rsidR="0021748C" w:rsidRDefault="00CC31B6" w:rsidP="00591671">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 xml:space="preserve">Before we can apply GRAD-ECAT the shocks must be converted into percentages.  </w:t>
      </w:r>
      <w:r w:rsidR="007048EA">
        <w:rPr>
          <w:rFonts w:ascii="Times New Roman" w:hAnsi="Times New Roman" w:cs="Times New Roman"/>
          <w:sz w:val="24"/>
          <w:szCs w:val="24"/>
        </w:rPr>
        <w:t>Assuming that the target region is FL24, t</w:t>
      </w:r>
      <w:r>
        <w:rPr>
          <w:rFonts w:ascii="Times New Roman" w:hAnsi="Times New Roman" w:cs="Times New Roman"/>
          <w:sz w:val="24"/>
          <w:szCs w:val="24"/>
        </w:rPr>
        <w:t xml:space="preserve">his requires 2014 data available in USAGE-TERM for: the value of capital in FL24; the value of public expenditures in FL24’s city (FL24, FL23 &amp; FL27, see Table </w:t>
      </w:r>
      <w:r w:rsidR="0091054F">
        <w:rPr>
          <w:rFonts w:ascii="Times New Roman" w:hAnsi="Times New Roman" w:cs="Times New Roman"/>
          <w:sz w:val="24"/>
          <w:szCs w:val="24"/>
        </w:rPr>
        <w:t>6.1)</w:t>
      </w:r>
      <w:r>
        <w:rPr>
          <w:rFonts w:ascii="Times New Roman" w:hAnsi="Times New Roman" w:cs="Times New Roman"/>
          <w:sz w:val="24"/>
          <w:szCs w:val="24"/>
        </w:rPr>
        <w:t xml:space="preserve">; </w:t>
      </w:r>
      <w:r w:rsidR="0091054F">
        <w:rPr>
          <w:rFonts w:ascii="Times New Roman" w:hAnsi="Times New Roman" w:cs="Times New Roman"/>
          <w:sz w:val="24"/>
          <w:szCs w:val="24"/>
        </w:rPr>
        <w:t>the value of public health expenditure</w:t>
      </w:r>
      <w:r>
        <w:rPr>
          <w:rFonts w:ascii="Times New Roman" w:hAnsi="Times New Roman" w:cs="Times New Roman"/>
          <w:sz w:val="24"/>
          <w:szCs w:val="24"/>
        </w:rPr>
        <w:t xml:space="preserve"> </w:t>
      </w:r>
      <w:r w:rsidR="00825141">
        <w:rPr>
          <w:rFonts w:ascii="Times New Roman" w:hAnsi="Times New Roman" w:cs="Times New Roman"/>
          <w:sz w:val="24"/>
          <w:szCs w:val="24"/>
        </w:rPr>
        <w:t xml:space="preserve">in FL24’s city; the values of accommodation expenses in FL24’s city and outside the city; the values of foreign and domestic visitor expenditure in FL24’s city and outside the city; </w:t>
      </w:r>
      <w:r w:rsidR="007048EA">
        <w:rPr>
          <w:rFonts w:ascii="Times New Roman" w:hAnsi="Times New Roman" w:cs="Times New Roman"/>
          <w:sz w:val="24"/>
          <w:szCs w:val="24"/>
        </w:rPr>
        <w:t xml:space="preserve">the values of agriculture and food production in FL24’s state (city </w:t>
      </w:r>
      <w:r w:rsidR="007048EA" w:rsidRPr="007048EA">
        <w:rPr>
          <w:rFonts w:ascii="Times New Roman" w:hAnsi="Times New Roman" w:cs="Times New Roman"/>
          <w:i/>
          <w:sz w:val="24"/>
          <w:szCs w:val="24"/>
        </w:rPr>
        <w:t>plus</w:t>
      </w:r>
      <w:r w:rsidR="007048EA">
        <w:rPr>
          <w:rFonts w:ascii="Times New Roman" w:hAnsi="Times New Roman" w:cs="Times New Roman"/>
          <w:sz w:val="24"/>
          <w:szCs w:val="24"/>
        </w:rPr>
        <w:t xml:space="preserve"> FL07-09, FL14-22, FL25-26) and in the U.S.; and </w:t>
      </w:r>
      <w:r w:rsidR="0021748C">
        <w:rPr>
          <w:rFonts w:ascii="Times New Roman" w:hAnsi="Times New Roman" w:cs="Times New Roman"/>
          <w:sz w:val="24"/>
          <w:szCs w:val="24"/>
        </w:rPr>
        <w:t>the U.S. population.  The three scenarios from Table 7.1 converted to percentage change form with the target region being FL24 are in Table 7.2.  Table 7.3 shows the three scenarios in percentage change form with the target region as CA34.  All of the differences between</w:t>
      </w:r>
    </w:p>
    <w:p w:rsidR="0021748C" w:rsidRDefault="0021748C">
      <w:pPr>
        <w:spacing w:before="0" w:after="200" w:line="276" w:lineRule="auto"/>
        <w:rPr>
          <w:rFonts w:ascii="Times New Roman" w:hAnsi="Times New Roman" w:cs="Times New Roman"/>
          <w:sz w:val="24"/>
          <w:szCs w:val="24"/>
        </w:rPr>
      </w:pPr>
      <w:r>
        <w:rPr>
          <w:rFonts w:ascii="Times New Roman" w:hAnsi="Times New Roman" w:cs="Times New Roman"/>
          <w:sz w:val="24"/>
          <w:szCs w:val="24"/>
        </w:rPr>
        <w:br w:type="page"/>
      </w:r>
    </w:p>
    <w:p w:rsidR="00900B10" w:rsidRDefault="00900B10" w:rsidP="00591671">
      <w:pPr>
        <w:pStyle w:val="ListParagraph"/>
        <w:ind w:left="0"/>
        <w:contextualSpacing w:val="0"/>
        <w:rPr>
          <w:rFonts w:ascii="Times New Roman" w:hAnsi="Times New Roman" w:cs="Times New Roman"/>
          <w:sz w:val="24"/>
          <w:szCs w:val="24"/>
        </w:rPr>
        <w:sectPr w:rsidR="00900B10">
          <w:pgSz w:w="11906" w:h="16838"/>
          <w:pgMar w:top="1440" w:right="1440" w:bottom="1440" w:left="1440" w:header="708" w:footer="708" w:gutter="0"/>
          <w:cols w:space="708"/>
          <w:docGrid w:linePitch="360"/>
        </w:sectPr>
      </w:pPr>
    </w:p>
    <w:p w:rsidR="00900B10" w:rsidRPr="00F37ED5" w:rsidRDefault="00900B10" w:rsidP="00900B10">
      <w:pPr>
        <w:jc w:val="center"/>
        <w:rPr>
          <w:rFonts w:ascii="Times New Roman" w:hAnsi="Times New Roman" w:cs="Times New Roman"/>
          <w:b/>
          <w:i/>
          <w:sz w:val="24"/>
          <w:szCs w:val="24"/>
        </w:rPr>
      </w:pPr>
      <w:r>
        <w:rPr>
          <w:rFonts w:ascii="Times New Roman" w:hAnsi="Times New Roman" w:cs="Times New Roman"/>
          <w:b/>
          <w:i/>
          <w:sz w:val="24"/>
          <w:szCs w:val="24"/>
        </w:rPr>
        <w:lastRenderedPageBreak/>
        <w:t>Table 7.1.  Three example scenarios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2290"/>
        <w:gridCol w:w="2290"/>
        <w:gridCol w:w="2290"/>
      </w:tblGrid>
      <w:tr w:rsidR="00900B10" w:rsidTr="00900B10">
        <w:tc>
          <w:tcPr>
            <w:tcW w:w="6771" w:type="dxa"/>
            <w:tcBorders>
              <w:top w:val="single" w:sz="18" w:space="0" w:color="7F7F7F" w:themeColor="text1" w:themeTint="80"/>
              <w:bottom w:val="single" w:sz="18" w:space="0" w:color="7F7F7F" w:themeColor="text1" w:themeTint="80"/>
              <w:right w:val="single" w:sz="18" w:space="0" w:color="7F7F7F" w:themeColor="text1" w:themeTint="80"/>
            </w:tcBorders>
          </w:tcPr>
          <w:p w:rsidR="00900B10" w:rsidRPr="00936095" w:rsidRDefault="00900B10" w:rsidP="00900B10">
            <w:pPr>
              <w:rPr>
                <w:rFonts w:ascii="Times New Roman" w:hAnsi="Times New Roman" w:cs="Times New Roman"/>
                <w:b/>
              </w:rPr>
            </w:pPr>
            <w:r w:rsidRPr="00936095">
              <w:rPr>
                <w:rFonts w:ascii="Times New Roman" w:hAnsi="Times New Roman" w:cs="Times New Roman"/>
                <w:b/>
              </w:rPr>
              <w:t>Driving factors</w:t>
            </w:r>
          </w:p>
        </w:tc>
        <w:tc>
          <w:tcPr>
            <w:tcW w:w="2290" w:type="dxa"/>
            <w:tcBorders>
              <w:top w:val="single" w:sz="18" w:space="0" w:color="7F7F7F" w:themeColor="text1" w:themeTint="80"/>
              <w:left w:val="single" w:sz="18" w:space="0" w:color="7F7F7F" w:themeColor="text1" w:themeTint="80"/>
              <w:bottom w:val="single" w:sz="18" w:space="0" w:color="7F7F7F" w:themeColor="text1" w:themeTint="80"/>
              <w:right w:val="single" w:sz="18" w:space="0" w:color="7F7F7F" w:themeColor="text1" w:themeTint="80"/>
            </w:tcBorders>
          </w:tcPr>
          <w:p w:rsidR="00900B10" w:rsidRPr="00936095" w:rsidRDefault="00900B10" w:rsidP="00900B10">
            <w:pPr>
              <w:jc w:val="center"/>
              <w:rPr>
                <w:rFonts w:ascii="Times New Roman" w:hAnsi="Times New Roman" w:cs="Times New Roman"/>
                <w:b/>
              </w:rPr>
            </w:pPr>
            <w:r w:rsidRPr="00936095">
              <w:rPr>
                <w:rFonts w:ascii="Times New Roman" w:hAnsi="Times New Roman" w:cs="Times New Roman"/>
                <w:b/>
              </w:rPr>
              <w:t>S1: Epidemic</w:t>
            </w:r>
          </w:p>
          <w:p w:rsidR="00900B10" w:rsidRPr="00936095" w:rsidRDefault="00900B10" w:rsidP="00900B10">
            <w:pPr>
              <w:jc w:val="center"/>
              <w:rPr>
                <w:rFonts w:ascii="Times New Roman" w:hAnsi="Times New Roman" w:cs="Times New Roman"/>
                <w:b/>
              </w:rPr>
            </w:pPr>
            <w:r w:rsidRPr="00936095">
              <w:rPr>
                <w:rFonts w:ascii="Times New Roman" w:hAnsi="Times New Roman" w:cs="Times New Roman"/>
                <w:b/>
              </w:rPr>
              <w:t>(</w:t>
            </w:r>
            <w:r w:rsidRPr="00936095">
              <w:rPr>
                <w:rFonts w:ascii="Times New Roman" w:hAnsi="Times New Roman" w:cs="Times New Roman"/>
                <w:b/>
                <w:i/>
              </w:rPr>
              <w:t>death, health &amp; tourism scare</w:t>
            </w:r>
            <w:r w:rsidRPr="00936095">
              <w:rPr>
                <w:rFonts w:ascii="Times New Roman" w:hAnsi="Times New Roman" w:cs="Times New Roman"/>
                <w:b/>
              </w:rPr>
              <w:t>)</w:t>
            </w:r>
          </w:p>
          <w:p w:rsidR="00900B10" w:rsidRPr="00936095" w:rsidRDefault="00900B10" w:rsidP="00900B10">
            <w:pPr>
              <w:jc w:val="center"/>
              <w:rPr>
                <w:rFonts w:ascii="Times New Roman" w:hAnsi="Times New Roman" w:cs="Times New Roman"/>
                <w:b/>
              </w:rPr>
            </w:pPr>
          </w:p>
        </w:tc>
        <w:tc>
          <w:tcPr>
            <w:tcW w:w="2290" w:type="dxa"/>
            <w:tcBorders>
              <w:top w:val="single" w:sz="18" w:space="0" w:color="7F7F7F" w:themeColor="text1" w:themeTint="80"/>
              <w:left w:val="single" w:sz="18" w:space="0" w:color="7F7F7F" w:themeColor="text1" w:themeTint="80"/>
              <w:bottom w:val="single" w:sz="18" w:space="0" w:color="7F7F7F" w:themeColor="text1" w:themeTint="80"/>
              <w:right w:val="single" w:sz="18" w:space="0" w:color="7F7F7F" w:themeColor="text1" w:themeTint="80"/>
            </w:tcBorders>
          </w:tcPr>
          <w:p w:rsidR="00900B10" w:rsidRDefault="00900B10" w:rsidP="00900B10">
            <w:pPr>
              <w:jc w:val="center"/>
              <w:rPr>
                <w:rFonts w:ascii="Times New Roman" w:hAnsi="Times New Roman" w:cs="Times New Roman"/>
                <w:b/>
                <w:sz w:val="24"/>
                <w:szCs w:val="24"/>
              </w:rPr>
            </w:pPr>
            <w:r w:rsidRPr="003F32A9">
              <w:rPr>
                <w:rFonts w:ascii="Times New Roman" w:hAnsi="Times New Roman" w:cs="Times New Roman"/>
                <w:b/>
                <w:sz w:val="24"/>
                <w:szCs w:val="24"/>
              </w:rPr>
              <w:t>S</w:t>
            </w:r>
            <w:r>
              <w:rPr>
                <w:rFonts w:ascii="Times New Roman" w:hAnsi="Times New Roman" w:cs="Times New Roman"/>
                <w:b/>
                <w:sz w:val="24"/>
                <w:szCs w:val="24"/>
              </w:rPr>
              <w:t>2</w:t>
            </w:r>
            <w:r w:rsidRPr="003F32A9">
              <w:rPr>
                <w:rFonts w:ascii="Times New Roman" w:hAnsi="Times New Roman" w:cs="Times New Roman"/>
                <w:b/>
                <w:sz w:val="24"/>
                <w:szCs w:val="24"/>
              </w:rPr>
              <w:t>:</w:t>
            </w:r>
            <w:r>
              <w:rPr>
                <w:rFonts w:ascii="Times New Roman" w:hAnsi="Times New Roman" w:cs="Times New Roman"/>
                <w:b/>
                <w:sz w:val="24"/>
                <w:szCs w:val="24"/>
              </w:rPr>
              <w:t xml:space="preserve">  Dirty bomb</w:t>
            </w:r>
          </w:p>
          <w:p w:rsidR="00900B10" w:rsidRPr="003F32A9" w:rsidRDefault="00900B10" w:rsidP="00900B10">
            <w:pPr>
              <w:jc w:val="center"/>
              <w:rPr>
                <w:rFonts w:ascii="Times New Roman" w:hAnsi="Times New Roman" w:cs="Times New Roman"/>
                <w:b/>
                <w:sz w:val="24"/>
                <w:szCs w:val="24"/>
              </w:rPr>
            </w:pPr>
            <w:r>
              <w:rPr>
                <w:rFonts w:ascii="Times New Roman" w:hAnsi="Times New Roman" w:cs="Times New Roman"/>
                <w:b/>
                <w:sz w:val="24"/>
                <w:szCs w:val="24"/>
              </w:rPr>
              <w:t>(</w:t>
            </w:r>
            <w:r w:rsidRPr="003F32A9">
              <w:rPr>
                <w:rFonts w:ascii="Times New Roman" w:hAnsi="Times New Roman" w:cs="Times New Roman"/>
                <w:b/>
                <w:i/>
                <w:sz w:val="20"/>
                <w:szCs w:val="20"/>
              </w:rPr>
              <w:t>decontamination  &amp; aversion</w:t>
            </w:r>
            <w:r>
              <w:rPr>
                <w:rFonts w:ascii="Times New Roman" w:hAnsi="Times New Roman" w:cs="Times New Roman"/>
                <w:b/>
                <w:sz w:val="24"/>
                <w:szCs w:val="24"/>
              </w:rPr>
              <w:t>)</w:t>
            </w:r>
          </w:p>
        </w:tc>
        <w:tc>
          <w:tcPr>
            <w:tcW w:w="2290" w:type="dxa"/>
            <w:tcBorders>
              <w:top w:val="single" w:sz="18" w:space="0" w:color="7F7F7F" w:themeColor="text1" w:themeTint="80"/>
              <w:left w:val="single" w:sz="18" w:space="0" w:color="7F7F7F" w:themeColor="text1" w:themeTint="80"/>
              <w:bottom w:val="single" w:sz="18" w:space="0" w:color="7F7F7F" w:themeColor="text1" w:themeTint="80"/>
            </w:tcBorders>
          </w:tcPr>
          <w:p w:rsidR="00900B10" w:rsidRPr="003F32A9" w:rsidRDefault="00900B10" w:rsidP="00900B10">
            <w:pPr>
              <w:jc w:val="center"/>
              <w:rPr>
                <w:rFonts w:ascii="Times New Roman" w:hAnsi="Times New Roman" w:cs="Times New Roman"/>
                <w:b/>
              </w:rPr>
            </w:pPr>
            <w:r>
              <w:rPr>
                <w:rFonts w:ascii="Times New Roman" w:hAnsi="Times New Roman" w:cs="Times New Roman"/>
                <w:b/>
              </w:rPr>
              <w:t>S3: Food contamination</w:t>
            </w:r>
          </w:p>
        </w:tc>
      </w:tr>
      <w:tr w:rsidR="00900B10" w:rsidTr="00900B10">
        <w:tc>
          <w:tcPr>
            <w:tcW w:w="6771" w:type="dxa"/>
            <w:tcBorders>
              <w:top w:val="single" w:sz="18" w:space="0" w:color="7F7F7F" w:themeColor="text1" w:themeTint="80"/>
              <w:right w:val="single" w:sz="18" w:space="0" w:color="7F7F7F" w:themeColor="text1" w:themeTint="80"/>
            </w:tcBorders>
          </w:tcPr>
          <w:p w:rsidR="00900B10" w:rsidRPr="00F37ED5" w:rsidRDefault="00900B10" w:rsidP="00900B10">
            <w:pPr>
              <w:tabs>
                <w:tab w:val="left" w:pos="146"/>
                <w:tab w:val="left" w:pos="438"/>
              </w:tabs>
              <w:rPr>
                <w:rFonts w:ascii="Times New Roman" w:hAnsi="Times New Roman" w:cs="Times New Roman"/>
              </w:rPr>
            </w:pPr>
            <w:r w:rsidRPr="00F37ED5">
              <w:rPr>
                <w:rFonts w:ascii="Times New Roman" w:hAnsi="Times New Roman" w:cs="Times New Roman"/>
              </w:rPr>
              <w:t xml:space="preserve">1.  Value of capital taken out of use </w:t>
            </w:r>
            <w:r>
              <w:rPr>
                <w:rFonts w:ascii="Times New Roman" w:hAnsi="Times New Roman" w:cs="Times New Roman"/>
              </w:rPr>
              <w:t xml:space="preserve">in target region </w:t>
            </w:r>
            <w:r w:rsidRPr="00F37ED5">
              <w:rPr>
                <w:rFonts w:ascii="Times New Roman" w:hAnsi="Times New Roman" w:cs="Times New Roman"/>
              </w:rPr>
              <w:t>($m)</w:t>
            </w:r>
          </w:p>
        </w:tc>
        <w:tc>
          <w:tcPr>
            <w:tcW w:w="2290" w:type="dxa"/>
            <w:tcBorders>
              <w:top w:val="single" w:sz="18" w:space="0" w:color="7F7F7F" w:themeColor="text1" w:themeTint="80"/>
              <w:left w:val="single" w:sz="18" w:space="0" w:color="7F7F7F" w:themeColor="text1" w:themeTint="80"/>
              <w:righ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0.00</w:t>
            </w:r>
          </w:p>
        </w:tc>
        <w:tc>
          <w:tcPr>
            <w:tcW w:w="2290" w:type="dxa"/>
            <w:tcBorders>
              <w:top w:val="single" w:sz="18" w:space="0" w:color="7F7F7F" w:themeColor="text1" w:themeTint="80"/>
              <w:left w:val="single" w:sz="18" w:space="0" w:color="7F7F7F" w:themeColor="text1" w:themeTint="80"/>
              <w:righ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2621.59</w:t>
            </w:r>
          </w:p>
        </w:tc>
        <w:tc>
          <w:tcPr>
            <w:tcW w:w="2290" w:type="dxa"/>
            <w:tcBorders>
              <w:top w:val="single" w:sz="18" w:space="0" w:color="7F7F7F" w:themeColor="text1" w:themeTint="80"/>
              <w:lef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0.00</w:t>
            </w:r>
          </w:p>
        </w:tc>
      </w:tr>
      <w:tr w:rsidR="00900B10" w:rsidTr="00900B10">
        <w:tc>
          <w:tcPr>
            <w:tcW w:w="6771" w:type="dxa"/>
            <w:tcBorders>
              <w:right w:val="single" w:sz="18" w:space="0" w:color="7F7F7F" w:themeColor="text1" w:themeTint="80"/>
            </w:tcBorders>
          </w:tcPr>
          <w:p w:rsidR="00900B10" w:rsidRPr="00F37ED5" w:rsidRDefault="00900B10" w:rsidP="00900B10">
            <w:pPr>
              <w:tabs>
                <w:tab w:val="left" w:pos="146"/>
                <w:tab w:val="left" w:pos="438"/>
              </w:tabs>
              <w:rPr>
                <w:rFonts w:ascii="Times New Roman" w:hAnsi="Times New Roman" w:cs="Times New Roman"/>
              </w:rPr>
            </w:pPr>
            <w:r w:rsidRPr="00F37ED5">
              <w:rPr>
                <w:rFonts w:ascii="Times New Roman" w:hAnsi="Times New Roman" w:cs="Times New Roman"/>
              </w:rPr>
              <w:t>2.  Value of capital returned to use after 1yr</w:t>
            </w:r>
            <w:r>
              <w:rPr>
                <w:rFonts w:ascii="Times New Roman" w:hAnsi="Times New Roman" w:cs="Times New Roman"/>
              </w:rPr>
              <w:t xml:space="preserve"> in target region</w:t>
            </w:r>
            <w:r w:rsidRPr="00F37ED5">
              <w:rPr>
                <w:rFonts w:ascii="Times New Roman" w:hAnsi="Times New Roman" w:cs="Times New Roman"/>
              </w:rPr>
              <w:t xml:space="preserve"> ($m)</w:t>
            </w:r>
          </w:p>
        </w:tc>
        <w:tc>
          <w:tcPr>
            <w:tcW w:w="2290" w:type="dxa"/>
            <w:tcBorders>
              <w:left w:val="single" w:sz="18" w:space="0" w:color="7F7F7F" w:themeColor="text1" w:themeTint="80"/>
              <w:righ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0.00</w:t>
            </w:r>
          </w:p>
        </w:tc>
        <w:tc>
          <w:tcPr>
            <w:tcW w:w="2290" w:type="dxa"/>
            <w:tcBorders>
              <w:left w:val="single" w:sz="18" w:space="0" w:color="7F7F7F" w:themeColor="text1" w:themeTint="80"/>
              <w:righ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2621.59</w:t>
            </w:r>
          </w:p>
        </w:tc>
        <w:tc>
          <w:tcPr>
            <w:tcW w:w="2290" w:type="dxa"/>
            <w:tcBorders>
              <w:lef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0.00</w:t>
            </w:r>
          </w:p>
        </w:tc>
      </w:tr>
      <w:tr w:rsidR="00900B10" w:rsidTr="00900B10">
        <w:tc>
          <w:tcPr>
            <w:tcW w:w="6771" w:type="dxa"/>
            <w:tcBorders>
              <w:right w:val="single" w:sz="18" w:space="0" w:color="7F7F7F" w:themeColor="text1" w:themeTint="80"/>
            </w:tcBorders>
          </w:tcPr>
          <w:p w:rsidR="00900B10" w:rsidRPr="00F37ED5" w:rsidRDefault="00900B10" w:rsidP="00900B10">
            <w:pPr>
              <w:tabs>
                <w:tab w:val="left" w:pos="146"/>
                <w:tab w:val="left" w:pos="438"/>
              </w:tabs>
              <w:rPr>
                <w:rFonts w:ascii="Times New Roman" w:hAnsi="Times New Roman" w:cs="Times New Roman"/>
              </w:rPr>
            </w:pPr>
            <w:r w:rsidRPr="00F37ED5">
              <w:rPr>
                <w:rFonts w:ascii="Times New Roman" w:hAnsi="Times New Roman" w:cs="Times New Roman"/>
              </w:rPr>
              <w:t xml:space="preserve">3.  Public </w:t>
            </w:r>
            <w:r>
              <w:rPr>
                <w:rFonts w:ascii="Times New Roman" w:hAnsi="Times New Roman" w:cs="Times New Roman"/>
              </w:rPr>
              <w:t xml:space="preserve">expenditure in target city, </w:t>
            </w:r>
            <w:r w:rsidR="00B6529C">
              <w:rPr>
                <w:rFonts w:ascii="Times New Roman" w:hAnsi="Times New Roman" w:cs="Times New Roman"/>
              </w:rPr>
              <w:t>clean-up</w:t>
            </w:r>
            <w:r w:rsidRPr="00F37ED5">
              <w:rPr>
                <w:rFonts w:ascii="Times New Roman" w:hAnsi="Times New Roman" w:cs="Times New Roman"/>
              </w:rPr>
              <w:t xml:space="preserve"> ($m) </w:t>
            </w:r>
          </w:p>
        </w:tc>
        <w:tc>
          <w:tcPr>
            <w:tcW w:w="2290" w:type="dxa"/>
            <w:tcBorders>
              <w:left w:val="single" w:sz="18" w:space="0" w:color="7F7F7F" w:themeColor="text1" w:themeTint="80"/>
              <w:righ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393.30</w:t>
            </w:r>
          </w:p>
        </w:tc>
        <w:tc>
          <w:tcPr>
            <w:tcW w:w="2290" w:type="dxa"/>
            <w:tcBorders>
              <w:left w:val="single" w:sz="18" w:space="0" w:color="7F7F7F" w:themeColor="text1" w:themeTint="80"/>
              <w:righ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62691.14</w:t>
            </w:r>
          </w:p>
        </w:tc>
        <w:tc>
          <w:tcPr>
            <w:tcW w:w="2290" w:type="dxa"/>
            <w:tcBorders>
              <w:lef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48.61</w:t>
            </w:r>
          </w:p>
        </w:tc>
      </w:tr>
      <w:tr w:rsidR="00900B10" w:rsidTr="00900B10">
        <w:tc>
          <w:tcPr>
            <w:tcW w:w="6771" w:type="dxa"/>
            <w:tcBorders>
              <w:right w:val="single" w:sz="18" w:space="0" w:color="7F7F7F" w:themeColor="text1" w:themeTint="80"/>
            </w:tcBorders>
          </w:tcPr>
          <w:p w:rsidR="00900B10" w:rsidRPr="00F37ED5" w:rsidRDefault="00900B10" w:rsidP="00900B10">
            <w:pPr>
              <w:tabs>
                <w:tab w:val="left" w:pos="146"/>
                <w:tab w:val="left" w:pos="438"/>
              </w:tabs>
              <w:rPr>
                <w:rFonts w:ascii="Times New Roman" w:hAnsi="Times New Roman" w:cs="Times New Roman"/>
              </w:rPr>
            </w:pPr>
            <w:r w:rsidRPr="00F37ED5">
              <w:rPr>
                <w:rFonts w:ascii="Times New Roman" w:hAnsi="Times New Roman" w:cs="Times New Roman"/>
              </w:rPr>
              <w:t>4.  Public sector health expenditures ($m)</w:t>
            </w:r>
          </w:p>
        </w:tc>
        <w:tc>
          <w:tcPr>
            <w:tcW w:w="2290" w:type="dxa"/>
            <w:tcBorders>
              <w:left w:val="single" w:sz="18" w:space="0" w:color="7F7F7F" w:themeColor="text1" w:themeTint="80"/>
              <w:righ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3068.06</w:t>
            </w:r>
          </w:p>
        </w:tc>
        <w:tc>
          <w:tcPr>
            <w:tcW w:w="2290" w:type="dxa"/>
            <w:tcBorders>
              <w:left w:val="single" w:sz="18" w:space="0" w:color="7F7F7F" w:themeColor="text1" w:themeTint="80"/>
              <w:righ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128.43</w:t>
            </w:r>
          </w:p>
        </w:tc>
        <w:tc>
          <w:tcPr>
            <w:tcW w:w="2290" w:type="dxa"/>
            <w:tcBorders>
              <w:lef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65.30</w:t>
            </w:r>
          </w:p>
        </w:tc>
      </w:tr>
      <w:tr w:rsidR="00900B10" w:rsidTr="00900B10">
        <w:tc>
          <w:tcPr>
            <w:tcW w:w="6771" w:type="dxa"/>
            <w:tcBorders>
              <w:right w:val="single" w:sz="18" w:space="0" w:color="7F7F7F" w:themeColor="text1" w:themeTint="80"/>
            </w:tcBorders>
          </w:tcPr>
          <w:p w:rsidR="00900B10" w:rsidRPr="00F37ED5" w:rsidRDefault="00900B10" w:rsidP="00900B10">
            <w:pPr>
              <w:tabs>
                <w:tab w:val="left" w:pos="146"/>
                <w:tab w:val="left" w:pos="438"/>
              </w:tabs>
              <w:rPr>
                <w:rFonts w:ascii="Times New Roman" w:hAnsi="Times New Roman" w:cs="Times New Roman"/>
              </w:rPr>
            </w:pPr>
            <w:r w:rsidRPr="00F37ED5">
              <w:rPr>
                <w:rFonts w:ascii="Times New Roman" w:hAnsi="Times New Roman" w:cs="Times New Roman"/>
              </w:rPr>
              <w:t>5.  Accommodation expenses in target city ($m)</w:t>
            </w:r>
          </w:p>
        </w:tc>
        <w:tc>
          <w:tcPr>
            <w:tcW w:w="2290" w:type="dxa"/>
            <w:tcBorders>
              <w:left w:val="single" w:sz="18" w:space="0" w:color="7F7F7F" w:themeColor="text1" w:themeTint="80"/>
              <w:righ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0.00</w:t>
            </w:r>
          </w:p>
        </w:tc>
        <w:tc>
          <w:tcPr>
            <w:tcW w:w="2290" w:type="dxa"/>
            <w:tcBorders>
              <w:left w:val="single" w:sz="18" w:space="0" w:color="7F7F7F" w:themeColor="text1" w:themeTint="80"/>
              <w:righ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215.27</w:t>
            </w:r>
          </w:p>
        </w:tc>
        <w:tc>
          <w:tcPr>
            <w:tcW w:w="2290" w:type="dxa"/>
            <w:tcBorders>
              <w:lef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0.00</w:t>
            </w:r>
          </w:p>
        </w:tc>
      </w:tr>
      <w:tr w:rsidR="00900B10" w:rsidTr="00900B10">
        <w:tc>
          <w:tcPr>
            <w:tcW w:w="6771" w:type="dxa"/>
            <w:tcBorders>
              <w:right w:val="single" w:sz="18" w:space="0" w:color="7F7F7F" w:themeColor="text1" w:themeTint="80"/>
            </w:tcBorders>
          </w:tcPr>
          <w:p w:rsidR="00900B10" w:rsidRPr="00F37ED5" w:rsidRDefault="00900B10" w:rsidP="00900B10">
            <w:pPr>
              <w:tabs>
                <w:tab w:val="left" w:pos="146"/>
                <w:tab w:val="left" w:pos="438"/>
              </w:tabs>
              <w:rPr>
                <w:rFonts w:ascii="Times New Roman" w:hAnsi="Times New Roman" w:cs="Times New Roman"/>
              </w:rPr>
            </w:pPr>
            <w:r w:rsidRPr="00F37ED5">
              <w:rPr>
                <w:rFonts w:ascii="Times New Roman" w:hAnsi="Times New Roman" w:cs="Times New Roman"/>
              </w:rPr>
              <w:t>6.  Accommodation expenses outside target city ($m)</w:t>
            </w:r>
          </w:p>
        </w:tc>
        <w:tc>
          <w:tcPr>
            <w:tcW w:w="2290" w:type="dxa"/>
            <w:tcBorders>
              <w:left w:val="single" w:sz="18" w:space="0" w:color="7F7F7F" w:themeColor="text1" w:themeTint="80"/>
              <w:righ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0.00</w:t>
            </w:r>
          </w:p>
        </w:tc>
        <w:tc>
          <w:tcPr>
            <w:tcW w:w="2290" w:type="dxa"/>
            <w:tcBorders>
              <w:left w:val="single" w:sz="18" w:space="0" w:color="7F7F7F" w:themeColor="text1" w:themeTint="80"/>
              <w:righ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215.27</w:t>
            </w:r>
          </w:p>
        </w:tc>
        <w:tc>
          <w:tcPr>
            <w:tcW w:w="2290" w:type="dxa"/>
            <w:tcBorders>
              <w:lef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0.00</w:t>
            </w:r>
          </w:p>
        </w:tc>
      </w:tr>
      <w:tr w:rsidR="00900B10" w:rsidTr="00900B10">
        <w:tc>
          <w:tcPr>
            <w:tcW w:w="6771" w:type="dxa"/>
            <w:tcBorders>
              <w:right w:val="single" w:sz="18" w:space="0" w:color="7F7F7F" w:themeColor="text1" w:themeTint="80"/>
            </w:tcBorders>
          </w:tcPr>
          <w:p w:rsidR="00900B10" w:rsidRPr="00F37ED5" w:rsidRDefault="00900B10" w:rsidP="00900B10">
            <w:pPr>
              <w:tabs>
                <w:tab w:val="left" w:pos="146"/>
                <w:tab w:val="left" w:pos="438"/>
              </w:tabs>
              <w:rPr>
                <w:rFonts w:ascii="Times New Roman" w:hAnsi="Times New Roman" w:cs="Times New Roman"/>
              </w:rPr>
            </w:pPr>
            <w:r w:rsidRPr="00F37ED5">
              <w:rPr>
                <w:rFonts w:ascii="Times New Roman" w:hAnsi="Times New Roman" w:cs="Times New Roman"/>
              </w:rPr>
              <w:t>7.  Loss of foreign visitor expenditure in target city ($m)</w:t>
            </w:r>
          </w:p>
        </w:tc>
        <w:tc>
          <w:tcPr>
            <w:tcW w:w="2290" w:type="dxa"/>
            <w:tcBorders>
              <w:left w:val="single" w:sz="18" w:space="0" w:color="7F7F7F" w:themeColor="text1" w:themeTint="80"/>
              <w:right w:val="single" w:sz="18" w:space="0" w:color="7F7F7F" w:themeColor="text1" w:themeTint="80"/>
            </w:tcBorders>
            <w:vAlign w:val="center"/>
          </w:tcPr>
          <w:p w:rsidR="00900B10" w:rsidRPr="006D5122" w:rsidRDefault="00900B10" w:rsidP="00900B10">
            <w:pPr>
              <w:tabs>
                <w:tab w:val="decimal" w:pos="1095"/>
              </w:tabs>
              <w:rPr>
                <w:rFonts w:ascii="Times New Roman" w:hAnsi="Times New Roman" w:cs="Times New Roman"/>
                <w:color w:val="000000"/>
                <w:sz w:val="20"/>
                <w:szCs w:val="20"/>
              </w:rPr>
            </w:pPr>
            <w:r w:rsidRPr="006C6741">
              <w:rPr>
                <w:rFonts w:ascii="Times New Roman" w:hAnsi="Times New Roman" w:cs="Times New Roman"/>
                <w:color w:val="000000"/>
                <w:sz w:val="20"/>
                <w:szCs w:val="20"/>
              </w:rPr>
              <w:t>8836.55</w:t>
            </w:r>
          </w:p>
        </w:tc>
        <w:tc>
          <w:tcPr>
            <w:tcW w:w="2290" w:type="dxa"/>
            <w:tcBorders>
              <w:left w:val="single" w:sz="18" w:space="0" w:color="7F7F7F" w:themeColor="text1" w:themeTint="80"/>
              <w:righ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5847.72</w:t>
            </w:r>
          </w:p>
        </w:tc>
        <w:tc>
          <w:tcPr>
            <w:tcW w:w="2290" w:type="dxa"/>
            <w:tcBorders>
              <w:lef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3</w:t>
            </w:r>
            <w:r>
              <w:rPr>
                <w:rFonts w:ascii="Times New Roman" w:hAnsi="Times New Roman" w:cs="Times New Roman"/>
                <w:color w:val="000000"/>
                <w:sz w:val="20"/>
                <w:szCs w:val="20"/>
              </w:rPr>
              <w:t>569</w:t>
            </w:r>
            <w:r w:rsidRPr="006D5122">
              <w:rPr>
                <w:rFonts w:ascii="Times New Roman" w:hAnsi="Times New Roman" w:cs="Times New Roman"/>
                <w:color w:val="000000"/>
                <w:sz w:val="20"/>
                <w:szCs w:val="20"/>
              </w:rPr>
              <w:t>.</w:t>
            </w:r>
            <w:r>
              <w:rPr>
                <w:rFonts w:ascii="Times New Roman" w:hAnsi="Times New Roman" w:cs="Times New Roman"/>
                <w:color w:val="000000"/>
                <w:sz w:val="20"/>
                <w:szCs w:val="20"/>
              </w:rPr>
              <w:t>97</w:t>
            </w:r>
          </w:p>
        </w:tc>
      </w:tr>
      <w:tr w:rsidR="00900B10" w:rsidTr="00900B10">
        <w:tc>
          <w:tcPr>
            <w:tcW w:w="6771" w:type="dxa"/>
            <w:tcBorders>
              <w:right w:val="single" w:sz="18" w:space="0" w:color="7F7F7F" w:themeColor="text1" w:themeTint="80"/>
            </w:tcBorders>
          </w:tcPr>
          <w:p w:rsidR="00900B10" w:rsidRPr="00F37ED5" w:rsidRDefault="00900B10" w:rsidP="00900B10">
            <w:pPr>
              <w:tabs>
                <w:tab w:val="left" w:pos="146"/>
                <w:tab w:val="left" w:pos="438"/>
              </w:tabs>
              <w:rPr>
                <w:rFonts w:ascii="Times New Roman" w:hAnsi="Times New Roman" w:cs="Times New Roman"/>
              </w:rPr>
            </w:pPr>
            <w:r w:rsidRPr="00F37ED5">
              <w:rPr>
                <w:rFonts w:ascii="Times New Roman" w:hAnsi="Times New Roman" w:cs="Times New Roman"/>
              </w:rPr>
              <w:t>8.  Loss of foreign visitor expenditure outside target city ($m)</w:t>
            </w:r>
          </w:p>
        </w:tc>
        <w:tc>
          <w:tcPr>
            <w:tcW w:w="2290" w:type="dxa"/>
            <w:tcBorders>
              <w:left w:val="single" w:sz="18" w:space="0" w:color="7F7F7F" w:themeColor="text1" w:themeTint="80"/>
              <w:righ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46098.62</w:t>
            </w:r>
          </w:p>
        </w:tc>
        <w:tc>
          <w:tcPr>
            <w:tcW w:w="2290" w:type="dxa"/>
            <w:tcBorders>
              <w:left w:val="single" w:sz="18" w:space="0" w:color="7F7F7F" w:themeColor="text1" w:themeTint="80"/>
              <w:righ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22180.09</w:t>
            </w:r>
          </w:p>
        </w:tc>
        <w:tc>
          <w:tcPr>
            <w:tcW w:w="2290" w:type="dxa"/>
            <w:tcBorders>
              <w:lef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18623.84</w:t>
            </w:r>
          </w:p>
        </w:tc>
      </w:tr>
      <w:tr w:rsidR="00900B10" w:rsidTr="00900B10">
        <w:tc>
          <w:tcPr>
            <w:tcW w:w="6771" w:type="dxa"/>
            <w:tcBorders>
              <w:right w:val="single" w:sz="18" w:space="0" w:color="7F7F7F" w:themeColor="text1" w:themeTint="80"/>
            </w:tcBorders>
          </w:tcPr>
          <w:p w:rsidR="00900B10" w:rsidRPr="00F37ED5" w:rsidRDefault="00900B10" w:rsidP="00900B10">
            <w:pPr>
              <w:tabs>
                <w:tab w:val="left" w:pos="146"/>
                <w:tab w:val="left" w:pos="438"/>
              </w:tabs>
              <w:rPr>
                <w:rFonts w:ascii="Times New Roman" w:hAnsi="Times New Roman" w:cs="Times New Roman"/>
              </w:rPr>
            </w:pPr>
            <w:r w:rsidRPr="00F37ED5">
              <w:rPr>
                <w:rFonts w:ascii="Times New Roman" w:hAnsi="Times New Roman" w:cs="Times New Roman"/>
              </w:rPr>
              <w:t>9.  Loss of domestic traveler expenditure in target city ($m)</w:t>
            </w:r>
          </w:p>
        </w:tc>
        <w:tc>
          <w:tcPr>
            <w:tcW w:w="2290" w:type="dxa"/>
            <w:tcBorders>
              <w:left w:val="single" w:sz="18" w:space="0" w:color="7F7F7F" w:themeColor="text1" w:themeTint="80"/>
              <w:righ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14.57</w:t>
            </w:r>
          </w:p>
        </w:tc>
        <w:tc>
          <w:tcPr>
            <w:tcW w:w="2290" w:type="dxa"/>
            <w:tcBorders>
              <w:left w:val="single" w:sz="18" w:space="0" w:color="7F7F7F" w:themeColor="text1" w:themeTint="80"/>
              <w:righ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1652.55</w:t>
            </w:r>
          </w:p>
        </w:tc>
        <w:tc>
          <w:tcPr>
            <w:tcW w:w="2290" w:type="dxa"/>
            <w:tcBorders>
              <w:lef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6.38</w:t>
            </w:r>
          </w:p>
        </w:tc>
      </w:tr>
      <w:tr w:rsidR="00900B10" w:rsidTr="00900B10">
        <w:tc>
          <w:tcPr>
            <w:tcW w:w="6771" w:type="dxa"/>
            <w:tcBorders>
              <w:right w:val="single" w:sz="18" w:space="0" w:color="7F7F7F" w:themeColor="text1" w:themeTint="80"/>
            </w:tcBorders>
          </w:tcPr>
          <w:p w:rsidR="00900B10" w:rsidRPr="00F37ED5" w:rsidRDefault="00900B10" w:rsidP="00900B10">
            <w:pPr>
              <w:rPr>
                <w:rFonts w:ascii="Times New Roman" w:hAnsi="Times New Roman" w:cs="Times New Roman"/>
              </w:rPr>
            </w:pPr>
            <w:r w:rsidRPr="00F37ED5">
              <w:rPr>
                <w:rFonts w:ascii="Times New Roman" w:hAnsi="Times New Roman" w:cs="Times New Roman"/>
              </w:rPr>
              <w:t>10. Loss of domestic traveler expenditure outside target city ($m)</w:t>
            </w:r>
          </w:p>
        </w:tc>
        <w:tc>
          <w:tcPr>
            <w:tcW w:w="2290" w:type="dxa"/>
            <w:tcBorders>
              <w:left w:val="single" w:sz="18" w:space="0" w:color="7F7F7F" w:themeColor="text1" w:themeTint="80"/>
              <w:righ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0.00</w:t>
            </w:r>
          </w:p>
        </w:tc>
        <w:tc>
          <w:tcPr>
            <w:tcW w:w="2290" w:type="dxa"/>
            <w:tcBorders>
              <w:left w:val="single" w:sz="18" w:space="0" w:color="7F7F7F" w:themeColor="text1" w:themeTint="80"/>
              <w:righ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0.00</w:t>
            </w:r>
          </w:p>
        </w:tc>
        <w:tc>
          <w:tcPr>
            <w:tcW w:w="2290" w:type="dxa"/>
            <w:tcBorders>
              <w:lef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0.00</w:t>
            </w:r>
          </w:p>
        </w:tc>
      </w:tr>
      <w:tr w:rsidR="00900B10" w:rsidTr="00900B10">
        <w:tc>
          <w:tcPr>
            <w:tcW w:w="6771" w:type="dxa"/>
            <w:tcBorders>
              <w:right w:val="single" w:sz="18" w:space="0" w:color="7F7F7F" w:themeColor="text1" w:themeTint="80"/>
            </w:tcBorders>
          </w:tcPr>
          <w:p w:rsidR="00900B10" w:rsidRPr="00F37ED5" w:rsidRDefault="00900B10" w:rsidP="00900B10">
            <w:pPr>
              <w:rPr>
                <w:rFonts w:ascii="Times New Roman" w:hAnsi="Times New Roman" w:cs="Times New Roman"/>
              </w:rPr>
            </w:pPr>
            <w:r w:rsidRPr="00F37ED5">
              <w:rPr>
                <w:rFonts w:ascii="Times New Roman" w:hAnsi="Times New Roman" w:cs="Times New Roman"/>
              </w:rPr>
              <w:t>11. Loss of food production in target state ($m)</w:t>
            </w:r>
          </w:p>
        </w:tc>
        <w:tc>
          <w:tcPr>
            <w:tcW w:w="2290" w:type="dxa"/>
            <w:tcBorders>
              <w:left w:val="single" w:sz="18" w:space="0" w:color="7F7F7F" w:themeColor="text1" w:themeTint="80"/>
              <w:righ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0.00</w:t>
            </w:r>
          </w:p>
        </w:tc>
        <w:tc>
          <w:tcPr>
            <w:tcW w:w="2290" w:type="dxa"/>
            <w:tcBorders>
              <w:left w:val="single" w:sz="18" w:space="0" w:color="7F7F7F" w:themeColor="text1" w:themeTint="80"/>
              <w:righ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0.00</w:t>
            </w:r>
          </w:p>
        </w:tc>
        <w:tc>
          <w:tcPr>
            <w:tcW w:w="2290" w:type="dxa"/>
            <w:tcBorders>
              <w:lef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210.00</w:t>
            </w:r>
          </w:p>
        </w:tc>
      </w:tr>
      <w:tr w:rsidR="00900B10" w:rsidTr="00900B10">
        <w:tc>
          <w:tcPr>
            <w:tcW w:w="6771" w:type="dxa"/>
            <w:tcBorders>
              <w:right w:val="single" w:sz="18" w:space="0" w:color="7F7F7F" w:themeColor="text1" w:themeTint="80"/>
            </w:tcBorders>
          </w:tcPr>
          <w:p w:rsidR="00900B10" w:rsidRPr="00F37ED5" w:rsidRDefault="00900B10" w:rsidP="00900B10">
            <w:pPr>
              <w:rPr>
                <w:rFonts w:ascii="Times New Roman" w:hAnsi="Times New Roman" w:cs="Times New Roman"/>
              </w:rPr>
            </w:pPr>
            <w:r w:rsidRPr="00F37ED5">
              <w:rPr>
                <w:rFonts w:ascii="Times New Roman" w:hAnsi="Times New Roman" w:cs="Times New Roman"/>
              </w:rPr>
              <w:t>12. Total loss of food production in U.S. including target state ($m)</w:t>
            </w:r>
          </w:p>
        </w:tc>
        <w:tc>
          <w:tcPr>
            <w:tcW w:w="2290" w:type="dxa"/>
            <w:tcBorders>
              <w:left w:val="single" w:sz="18" w:space="0" w:color="7F7F7F" w:themeColor="text1" w:themeTint="80"/>
              <w:righ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0.00</w:t>
            </w:r>
          </w:p>
        </w:tc>
        <w:tc>
          <w:tcPr>
            <w:tcW w:w="2290" w:type="dxa"/>
            <w:tcBorders>
              <w:left w:val="single" w:sz="18" w:space="0" w:color="7F7F7F" w:themeColor="text1" w:themeTint="80"/>
              <w:righ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0.00</w:t>
            </w:r>
          </w:p>
        </w:tc>
        <w:tc>
          <w:tcPr>
            <w:tcW w:w="2290" w:type="dxa"/>
            <w:tcBorders>
              <w:lef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210.00</w:t>
            </w:r>
          </w:p>
        </w:tc>
      </w:tr>
      <w:tr w:rsidR="00900B10" w:rsidTr="00900B10">
        <w:tc>
          <w:tcPr>
            <w:tcW w:w="6771" w:type="dxa"/>
            <w:tcBorders>
              <w:right w:val="single" w:sz="18" w:space="0" w:color="7F7F7F" w:themeColor="text1" w:themeTint="80"/>
            </w:tcBorders>
          </w:tcPr>
          <w:p w:rsidR="00900B10" w:rsidRPr="00F37ED5" w:rsidRDefault="00900B10" w:rsidP="00900B10">
            <w:pPr>
              <w:rPr>
                <w:rFonts w:ascii="Times New Roman" w:hAnsi="Times New Roman" w:cs="Times New Roman"/>
              </w:rPr>
            </w:pPr>
            <w:r w:rsidRPr="00F37ED5">
              <w:rPr>
                <w:rFonts w:ascii="Times New Roman" w:hAnsi="Times New Roman" w:cs="Times New Roman"/>
              </w:rPr>
              <w:t>13. Deaths &amp; serious injuries, permanent removal from work (people)</w:t>
            </w:r>
          </w:p>
        </w:tc>
        <w:tc>
          <w:tcPr>
            <w:tcW w:w="2290" w:type="dxa"/>
            <w:tcBorders>
              <w:left w:val="single" w:sz="18" w:space="0" w:color="7F7F7F" w:themeColor="text1" w:themeTint="80"/>
              <w:righ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38,181</w:t>
            </w:r>
          </w:p>
        </w:tc>
        <w:tc>
          <w:tcPr>
            <w:tcW w:w="2290" w:type="dxa"/>
            <w:tcBorders>
              <w:left w:val="single" w:sz="18" w:space="0" w:color="7F7F7F" w:themeColor="text1" w:themeTint="80"/>
              <w:righ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1,645</w:t>
            </w:r>
          </w:p>
        </w:tc>
        <w:tc>
          <w:tcPr>
            <w:tcW w:w="2290" w:type="dxa"/>
            <w:tcBorders>
              <w:lef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sidRPr="006D5122">
              <w:rPr>
                <w:rFonts w:ascii="Times New Roman" w:hAnsi="Times New Roman" w:cs="Times New Roman"/>
                <w:color w:val="000000"/>
                <w:sz w:val="20"/>
                <w:szCs w:val="20"/>
              </w:rPr>
              <w:t>493</w:t>
            </w:r>
          </w:p>
        </w:tc>
      </w:tr>
      <w:tr w:rsidR="00900B10" w:rsidTr="00900B10">
        <w:tc>
          <w:tcPr>
            <w:tcW w:w="6771" w:type="dxa"/>
            <w:tcBorders>
              <w:bottom w:val="single" w:sz="18" w:space="0" w:color="7F7F7F" w:themeColor="text1" w:themeTint="80"/>
              <w:right w:val="single" w:sz="18" w:space="0" w:color="7F7F7F" w:themeColor="text1" w:themeTint="80"/>
            </w:tcBorders>
          </w:tcPr>
          <w:p w:rsidR="00900B10" w:rsidRPr="00660959" w:rsidRDefault="00900B10" w:rsidP="00900B10">
            <w:pPr>
              <w:rPr>
                <w:rFonts w:ascii="Times New Roman" w:hAnsi="Times New Roman" w:cs="Times New Roman"/>
              </w:rPr>
            </w:pPr>
            <w:r w:rsidRPr="00660959">
              <w:rPr>
                <w:rFonts w:ascii="Times New Roman" w:hAnsi="Times New Roman" w:cs="Times New Roman"/>
              </w:rPr>
              <w:t>14. Aversion, per cent reduction in labor supply to target region</w:t>
            </w:r>
          </w:p>
        </w:tc>
        <w:tc>
          <w:tcPr>
            <w:tcW w:w="2290" w:type="dxa"/>
            <w:tcBorders>
              <w:left w:val="single" w:sz="18" w:space="0" w:color="7F7F7F" w:themeColor="text1" w:themeTint="80"/>
              <w:bottom w:val="single" w:sz="18" w:space="0" w:color="7F7F7F" w:themeColor="text1" w:themeTint="80"/>
              <w:right w:val="single" w:sz="18" w:space="0" w:color="7F7F7F" w:themeColor="text1" w:themeTint="80"/>
            </w:tcBorders>
            <w:vAlign w:val="bottom"/>
          </w:tcPr>
          <w:p w:rsidR="00900B10" w:rsidRPr="006D5122" w:rsidRDefault="00900B10" w:rsidP="00900B10">
            <w:pPr>
              <w:tabs>
                <w:tab w:val="decimal" w:pos="1033"/>
              </w:tabs>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2290" w:type="dxa"/>
            <w:tcBorders>
              <w:left w:val="single" w:sz="18" w:space="0" w:color="7F7F7F" w:themeColor="text1" w:themeTint="80"/>
              <w:bottom w:val="single" w:sz="18" w:space="0" w:color="7F7F7F" w:themeColor="text1" w:themeTint="80"/>
              <w:right w:val="single" w:sz="18" w:space="0" w:color="7F7F7F" w:themeColor="text1" w:themeTint="80"/>
            </w:tcBorders>
            <w:vAlign w:val="center"/>
          </w:tcPr>
          <w:p w:rsidR="00900B10" w:rsidRPr="006D5122" w:rsidRDefault="00900B10" w:rsidP="00900B10">
            <w:pPr>
              <w:tabs>
                <w:tab w:val="decimal" w:pos="1033"/>
              </w:tabs>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2290" w:type="dxa"/>
            <w:tcBorders>
              <w:left w:val="single" w:sz="18" w:space="0" w:color="7F7F7F" w:themeColor="text1" w:themeTint="80"/>
              <w:bottom w:val="single" w:sz="18" w:space="0" w:color="7F7F7F" w:themeColor="text1" w:themeTint="80"/>
            </w:tcBorders>
            <w:vAlign w:val="bottom"/>
          </w:tcPr>
          <w:p w:rsidR="00900B10" w:rsidRPr="006D5122" w:rsidRDefault="00900B10" w:rsidP="00900B10">
            <w:pPr>
              <w:tabs>
                <w:tab w:val="decimal" w:pos="1033"/>
              </w:tabs>
              <w:rPr>
                <w:rFonts w:ascii="Times New Roman" w:hAnsi="Times New Roman" w:cs="Times New Roman"/>
                <w:color w:val="000000"/>
                <w:sz w:val="20"/>
                <w:szCs w:val="20"/>
              </w:rPr>
            </w:pPr>
            <w:r>
              <w:rPr>
                <w:rFonts w:ascii="Times New Roman" w:hAnsi="Times New Roman" w:cs="Times New Roman"/>
                <w:color w:val="000000"/>
                <w:sz w:val="20"/>
                <w:szCs w:val="20"/>
              </w:rPr>
              <w:t>0</w:t>
            </w:r>
          </w:p>
        </w:tc>
      </w:tr>
    </w:tbl>
    <w:p w:rsidR="00900B10" w:rsidRDefault="00900B10" w:rsidP="00900B10">
      <w:pPr>
        <w:jc w:val="center"/>
        <w:rPr>
          <w:rFonts w:ascii="Times New Roman" w:hAnsi="Times New Roman" w:cs="Times New Roman"/>
          <w:b/>
          <w:i/>
          <w:sz w:val="24"/>
          <w:szCs w:val="24"/>
        </w:rPr>
      </w:pPr>
    </w:p>
    <w:p w:rsidR="00900B10" w:rsidRDefault="00900B10" w:rsidP="00900B10">
      <w:pPr>
        <w:rPr>
          <w:rFonts w:ascii="Times New Roman" w:hAnsi="Times New Roman" w:cs="Times New Roman"/>
          <w:b/>
          <w:i/>
          <w:sz w:val="24"/>
          <w:szCs w:val="24"/>
        </w:rPr>
      </w:pPr>
    </w:p>
    <w:p w:rsidR="00900B10" w:rsidRDefault="00900B10" w:rsidP="00591671">
      <w:pPr>
        <w:pStyle w:val="ListParagraph"/>
        <w:ind w:left="0"/>
        <w:contextualSpacing w:val="0"/>
        <w:rPr>
          <w:rFonts w:ascii="Times New Roman" w:hAnsi="Times New Roman" w:cs="Times New Roman"/>
          <w:sz w:val="24"/>
          <w:szCs w:val="24"/>
        </w:rPr>
      </w:pPr>
    </w:p>
    <w:p w:rsidR="00900B10" w:rsidRDefault="00900B10" w:rsidP="00591671">
      <w:pPr>
        <w:pStyle w:val="ListParagraph"/>
        <w:ind w:left="0"/>
        <w:contextualSpacing w:val="0"/>
        <w:rPr>
          <w:rFonts w:ascii="Times New Roman" w:hAnsi="Times New Roman" w:cs="Times New Roman"/>
          <w:sz w:val="24"/>
          <w:szCs w:val="24"/>
        </w:rPr>
        <w:sectPr w:rsidR="00900B10" w:rsidSect="00900B10">
          <w:pgSz w:w="16838" w:h="11906" w:orient="landscape"/>
          <w:pgMar w:top="1440" w:right="1440" w:bottom="1440" w:left="1440" w:header="708" w:footer="708" w:gutter="0"/>
          <w:cols w:space="708"/>
          <w:docGrid w:linePitch="360"/>
        </w:sectPr>
      </w:pPr>
    </w:p>
    <w:p w:rsidR="00EF67C1" w:rsidRDefault="00CA013B" w:rsidP="00591671">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lastRenderedPageBreak/>
        <w:t xml:space="preserve">Tables 7.2 and 7.3 are due to differences in the 2014 data for FL24 and CA34.   For example, </w:t>
      </w:r>
      <w:r w:rsidR="00EF67C1">
        <w:rPr>
          <w:rFonts w:ascii="Times New Roman" w:hAnsi="Times New Roman" w:cs="Times New Roman"/>
          <w:sz w:val="24"/>
          <w:szCs w:val="24"/>
        </w:rPr>
        <w:t xml:space="preserve">Cleanup in each of the three scenarios has a percentage shock that is 4.0346 times larger in Table 7.2 than in Table 7.3.  This is because public expenditure in FL24’s city is1/4.0346 times that in CA34’s city.  </w:t>
      </w:r>
    </w:p>
    <w:p w:rsidR="00775F8D" w:rsidRDefault="00CF7C8E" w:rsidP="00591671">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Table</w:t>
      </w:r>
      <w:r w:rsidR="005F5CAB">
        <w:rPr>
          <w:rFonts w:ascii="Times New Roman" w:hAnsi="Times New Roman" w:cs="Times New Roman"/>
          <w:sz w:val="24"/>
          <w:szCs w:val="24"/>
        </w:rPr>
        <w:t>s</w:t>
      </w:r>
      <w:r>
        <w:rPr>
          <w:rFonts w:ascii="Times New Roman" w:hAnsi="Times New Roman" w:cs="Times New Roman"/>
          <w:sz w:val="24"/>
          <w:szCs w:val="24"/>
        </w:rPr>
        <w:t xml:space="preserve"> 7.4</w:t>
      </w:r>
      <w:r w:rsidR="005F5CAB">
        <w:rPr>
          <w:rFonts w:ascii="Times New Roman" w:hAnsi="Times New Roman" w:cs="Times New Roman"/>
          <w:sz w:val="24"/>
          <w:szCs w:val="24"/>
        </w:rPr>
        <w:t xml:space="preserve"> and 7.5</w:t>
      </w:r>
      <w:r>
        <w:rPr>
          <w:rFonts w:ascii="Times New Roman" w:hAnsi="Times New Roman" w:cs="Times New Roman"/>
          <w:sz w:val="24"/>
          <w:szCs w:val="24"/>
        </w:rPr>
        <w:t xml:space="preserve"> set out the GRAD-ECAT calculation</w:t>
      </w:r>
      <w:r w:rsidR="005F5CAB">
        <w:rPr>
          <w:rFonts w:ascii="Times New Roman" w:hAnsi="Times New Roman" w:cs="Times New Roman"/>
          <w:sz w:val="24"/>
          <w:szCs w:val="24"/>
        </w:rPr>
        <w:t>s</w:t>
      </w:r>
      <w:r>
        <w:rPr>
          <w:rFonts w:ascii="Times New Roman" w:hAnsi="Times New Roman" w:cs="Times New Roman"/>
          <w:sz w:val="24"/>
          <w:szCs w:val="24"/>
        </w:rPr>
        <w:t xml:space="preserve"> </w:t>
      </w:r>
      <w:r w:rsidR="00355A16">
        <w:rPr>
          <w:rFonts w:ascii="Times New Roman" w:hAnsi="Times New Roman" w:cs="Times New Roman"/>
          <w:sz w:val="24"/>
          <w:szCs w:val="24"/>
        </w:rPr>
        <w:t>of</w:t>
      </w:r>
      <w:r>
        <w:rPr>
          <w:rFonts w:ascii="Times New Roman" w:hAnsi="Times New Roman" w:cs="Times New Roman"/>
          <w:sz w:val="24"/>
          <w:szCs w:val="24"/>
        </w:rPr>
        <w:t xml:space="preserve"> the </w:t>
      </w:r>
      <w:r w:rsidR="00355A16">
        <w:rPr>
          <w:rFonts w:ascii="Times New Roman" w:hAnsi="Times New Roman" w:cs="Times New Roman"/>
          <w:sz w:val="24"/>
          <w:szCs w:val="24"/>
        </w:rPr>
        <w:t xml:space="preserve">effects of the </w:t>
      </w:r>
      <w:r>
        <w:rPr>
          <w:rFonts w:ascii="Times New Roman" w:hAnsi="Times New Roman" w:cs="Times New Roman"/>
          <w:sz w:val="24"/>
          <w:szCs w:val="24"/>
        </w:rPr>
        <w:t xml:space="preserve">Epidemic scenario occurring in FL24 under </w:t>
      </w:r>
      <w:r w:rsidR="00355A16">
        <w:rPr>
          <w:rFonts w:ascii="Times New Roman" w:hAnsi="Times New Roman" w:cs="Times New Roman"/>
          <w:sz w:val="24"/>
          <w:szCs w:val="24"/>
        </w:rPr>
        <w:t>Keynesian</w:t>
      </w:r>
      <w:r>
        <w:rPr>
          <w:rFonts w:ascii="Times New Roman" w:hAnsi="Times New Roman" w:cs="Times New Roman"/>
          <w:sz w:val="24"/>
          <w:szCs w:val="24"/>
        </w:rPr>
        <w:t xml:space="preserve"> </w:t>
      </w:r>
      <w:r w:rsidR="005F5CAB">
        <w:rPr>
          <w:rFonts w:ascii="Times New Roman" w:hAnsi="Times New Roman" w:cs="Times New Roman"/>
          <w:sz w:val="24"/>
          <w:szCs w:val="24"/>
        </w:rPr>
        <w:t xml:space="preserve">and Neoclassical </w:t>
      </w:r>
      <w:r>
        <w:rPr>
          <w:rFonts w:ascii="Times New Roman" w:hAnsi="Times New Roman" w:cs="Times New Roman"/>
          <w:sz w:val="24"/>
          <w:szCs w:val="24"/>
        </w:rPr>
        <w:t xml:space="preserve">assumptions.  The top panel </w:t>
      </w:r>
      <w:r w:rsidR="005F5CAB">
        <w:rPr>
          <w:rFonts w:ascii="Times New Roman" w:hAnsi="Times New Roman" w:cs="Times New Roman"/>
          <w:sz w:val="24"/>
          <w:szCs w:val="24"/>
        </w:rPr>
        <w:t xml:space="preserve">in Table 7.4 </w:t>
      </w:r>
      <w:r>
        <w:rPr>
          <w:rFonts w:ascii="Times New Roman" w:hAnsi="Times New Roman" w:cs="Times New Roman"/>
          <w:sz w:val="24"/>
          <w:szCs w:val="24"/>
        </w:rPr>
        <w:t xml:space="preserve">is the </w:t>
      </w:r>
      <w:r w:rsidR="00355A16">
        <w:rPr>
          <w:rFonts w:ascii="Times New Roman" w:hAnsi="Times New Roman" w:cs="Times New Roman"/>
          <w:sz w:val="24"/>
          <w:szCs w:val="24"/>
        </w:rPr>
        <w:t>Keynesian</w:t>
      </w:r>
      <w:r>
        <w:rPr>
          <w:rFonts w:ascii="Times New Roman" w:hAnsi="Times New Roman" w:cs="Times New Roman"/>
          <w:sz w:val="24"/>
          <w:szCs w:val="24"/>
        </w:rPr>
        <w:t xml:space="preserve"> FL24 elasticity matrix</w:t>
      </w:r>
      <w:r w:rsidR="005F5CAB">
        <w:rPr>
          <w:rFonts w:ascii="Times New Roman" w:hAnsi="Times New Roman" w:cs="Times New Roman"/>
          <w:sz w:val="24"/>
          <w:szCs w:val="24"/>
        </w:rPr>
        <w:t>,</w:t>
      </w:r>
      <w:r>
        <w:rPr>
          <w:rFonts w:ascii="Times New Roman" w:hAnsi="Times New Roman" w:cs="Times New Roman"/>
          <w:sz w:val="24"/>
          <w:szCs w:val="24"/>
        </w:rPr>
        <w:t xml:space="preserve"> reproduced from Table 6.</w:t>
      </w:r>
      <w:r w:rsidR="00355A16">
        <w:rPr>
          <w:rFonts w:ascii="Times New Roman" w:hAnsi="Times New Roman" w:cs="Times New Roman"/>
          <w:sz w:val="24"/>
          <w:szCs w:val="24"/>
        </w:rPr>
        <w:t>2</w:t>
      </w:r>
      <w:r>
        <w:rPr>
          <w:rFonts w:ascii="Times New Roman" w:hAnsi="Times New Roman" w:cs="Times New Roman"/>
          <w:sz w:val="24"/>
          <w:szCs w:val="24"/>
        </w:rPr>
        <w:t xml:space="preserve">.  The shaded column </w:t>
      </w:r>
      <w:r w:rsidR="005F5CAB">
        <w:rPr>
          <w:rFonts w:ascii="Times New Roman" w:hAnsi="Times New Roman" w:cs="Times New Roman"/>
          <w:sz w:val="24"/>
          <w:szCs w:val="24"/>
        </w:rPr>
        <w:t xml:space="preserve">at the top right </w:t>
      </w:r>
      <w:r>
        <w:rPr>
          <w:rFonts w:ascii="Times New Roman" w:hAnsi="Times New Roman" w:cs="Times New Roman"/>
          <w:sz w:val="24"/>
          <w:szCs w:val="24"/>
        </w:rPr>
        <w:t xml:space="preserve">of Table 7.4 </w:t>
      </w:r>
      <w:r w:rsidR="00355A16">
        <w:rPr>
          <w:rFonts w:ascii="Times New Roman" w:hAnsi="Times New Roman" w:cs="Times New Roman"/>
          <w:sz w:val="24"/>
          <w:szCs w:val="24"/>
        </w:rPr>
        <w:t>shows</w:t>
      </w:r>
      <w:r>
        <w:rPr>
          <w:rFonts w:ascii="Times New Roman" w:hAnsi="Times New Roman" w:cs="Times New Roman"/>
          <w:sz w:val="24"/>
          <w:szCs w:val="24"/>
        </w:rPr>
        <w:t xml:space="preserve"> the percentage shocks for the Epidemic scenario</w:t>
      </w:r>
      <w:r w:rsidR="005F5CAB">
        <w:rPr>
          <w:rFonts w:ascii="Times New Roman" w:hAnsi="Times New Roman" w:cs="Times New Roman"/>
          <w:sz w:val="24"/>
          <w:szCs w:val="24"/>
        </w:rPr>
        <w:t>,</w:t>
      </w:r>
      <w:r>
        <w:rPr>
          <w:rFonts w:ascii="Times New Roman" w:hAnsi="Times New Roman" w:cs="Times New Roman"/>
          <w:sz w:val="24"/>
          <w:szCs w:val="24"/>
        </w:rPr>
        <w:t xml:space="preserve"> </w:t>
      </w:r>
      <w:r w:rsidR="00355A16">
        <w:rPr>
          <w:rFonts w:ascii="Times New Roman" w:hAnsi="Times New Roman" w:cs="Times New Roman"/>
          <w:sz w:val="24"/>
          <w:szCs w:val="24"/>
        </w:rPr>
        <w:t xml:space="preserve">reproduced from </w:t>
      </w:r>
      <w:r>
        <w:rPr>
          <w:rFonts w:ascii="Times New Roman" w:hAnsi="Times New Roman" w:cs="Times New Roman"/>
          <w:sz w:val="24"/>
          <w:szCs w:val="24"/>
        </w:rPr>
        <w:t xml:space="preserve">Table 7.2.  The lower panel is calculated by multiplying the elasticities by the shocks.  Each component of the lower panel shows the contribution of the shock identified in the row to the outcome for the implication variable identified in the column.  For example </w:t>
      </w:r>
      <w:r w:rsidR="007B4CAE">
        <w:rPr>
          <w:rFonts w:ascii="Times New Roman" w:hAnsi="Times New Roman" w:cs="Times New Roman"/>
          <w:sz w:val="24"/>
          <w:szCs w:val="24"/>
        </w:rPr>
        <w:t xml:space="preserve">the contribution to national GDP in year 1 of the 2.4951 per cent increase in </w:t>
      </w:r>
      <w:r w:rsidR="005F5CAB">
        <w:rPr>
          <w:rFonts w:ascii="Times New Roman" w:hAnsi="Times New Roman" w:cs="Times New Roman"/>
          <w:sz w:val="24"/>
          <w:szCs w:val="24"/>
        </w:rPr>
        <w:t>public</w:t>
      </w:r>
      <w:r w:rsidR="007B4CAE">
        <w:rPr>
          <w:rFonts w:ascii="Times New Roman" w:hAnsi="Times New Roman" w:cs="Times New Roman"/>
          <w:sz w:val="24"/>
          <w:szCs w:val="24"/>
        </w:rPr>
        <w:t xml:space="preserve"> expenditures </w:t>
      </w:r>
      <w:r w:rsidR="00F9703F">
        <w:rPr>
          <w:rFonts w:ascii="Times New Roman" w:hAnsi="Times New Roman" w:cs="Times New Roman"/>
          <w:sz w:val="24"/>
          <w:szCs w:val="24"/>
        </w:rPr>
        <w:t xml:space="preserve">in FL24’s city </w:t>
      </w:r>
      <w:r w:rsidR="007B4CAE">
        <w:rPr>
          <w:rFonts w:ascii="Times New Roman" w:hAnsi="Times New Roman" w:cs="Times New Roman"/>
          <w:sz w:val="24"/>
          <w:szCs w:val="24"/>
        </w:rPr>
        <w:t>(</w:t>
      </w:r>
      <w:r w:rsidR="005F5CAB">
        <w:rPr>
          <w:rFonts w:ascii="Times New Roman" w:hAnsi="Times New Roman" w:cs="Times New Roman"/>
          <w:sz w:val="24"/>
          <w:szCs w:val="24"/>
        </w:rPr>
        <w:t xml:space="preserve">row </w:t>
      </w:r>
      <w:r w:rsidR="007B4CAE">
        <w:rPr>
          <w:rFonts w:ascii="Times New Roman" w:hAnsi="Times New Roman" w:cs="Times New Roman"/>
          <w:sz w:val="24"/>
          <w:szCs w:val="24"/>
        </w:rPr>
        <w:t>3</w:t>
      </w:r>
      <w:r w:rsidR="005F5CAB">
        <w:rPr>
          <w:rFonts w:ascii="Times New Roman" w:hAnsi="Times New Roman" w:cs="Times New Roman"/>
          <w:sz w:val="24"/>
          <w:szCs w:val="24"/>
        </w:rPr>
        <w:t>C</w:t>
      </w:r>
      <w:r w:rsidR="007B4CAE">
        <w:rPr>
          <w:rFonts w:ascii="Times New Roman" w:hAnsi="Times New Roman" w:cs="Times New Roman"/>
          <w:sz w:val="24"/>
          <w:szCs w:val="24"/>
        </w:rPr>
        <w:t>lean</w:t>
      </w:r>
      <w:r w:rsidR="005F5CAB">
        <w:rPr>
          <w:rFonts w:ascii="Times New Roman" w:hAnsi="Times New Roman" w:cs="Times New Roman"/>
          <w:sz w:val="24"/>
          <w:szCs w:val="24"/>
        </w:rPr>
        <w:t>U</w:t>
      </w:r>
      <w:r w:rsidR="007B4CAE">
        <w:rPr>
          <w:rFonts w:ascii="Times New Roman" w:hAnsi="Times New Roman" w:cs="Times New Roman"/>
          <w:sz w:val="24"/>
          <w:szCs w:val="24"/>
        </w:rPr>
        <w:t xml:space="preserve">p) under </w:t>
      </w:r>
      <w:r w:rsidR="005F5CAB">
        <w:rPr>
          <w:rFonts w:ascii="Times New Roman" w:hAnsi="Times New Roman" w:cs="Times New Roman"/>
          <w:sz w:val="24"/>
          <w:szCs w:val="24"/>
        </w:rPr>
        <w:t xml:space="preserve">Keynesian </w:t>
      </w:r>
      <w:r w:rsidR="007B4CAE">
        <w:rPr>
          <w:rFonts w:ascii="Times New Roman" w:hAnsi="Times New Roman" w:cs="Times New Roman"/>
          <w:sz w:val="24"/>
          <w:szCs w:val="24"/>
        </w:rPr>
        <w:t>assumptions is 0.00</w:t>
      </w:r>
      <w:r w:rsidR="005F5CAB">
        <w:rPr>
          <w:rFonts w:ascii="Times New Roman" w:hAnsi="Times New Roman" w:cs="Times New Roman"/>
          <w:sz w:val="24"/>
          <w:szCs w:val="24"/>
        </w:rPr>
        <w:t>429</w:t>
      </w:r>
      <w:r w:rsidR="007B4CAE">
        <w:rPr>
          <w:rFonts w:ascii="Times New Roman" w:hAnsi="Times New Roman" w:cs="Times New Roman"/>
          <w:sz w:val="24"/>
          <w:szCs w:val="24"/>
        </w:rPr>
        <w:t xml:space="preserve"> per cent (= 2.4951*0.00</w:t>
      </w:r>
      <w:r w:rsidR="005F5CAB">
        <w:rPr>
          <w:rFonts w:ascii="Times New Roman" w:hAnsi="Times New Roman" w:cs="Times New Roman"/>
          <w:sz w:val="24"/>
          <w:szCs w:val="24"/>
        </w:rPr>
        <w:t>1</w:t>
      </w:r>
      <w:r w:rsidR="007B4CAE">
        <w:rPr>
          <w:rFonts w:ascii="Times New Roman" w:hAnsi="Times New Roman" w:cs="Times New Roman"/>
          <w:sz w:val="24"/>
          <w:szCs w:val="24"/>
        </w:rPr>
        <w:t xml:space="preserve">7).  </w:t>
      </w:r>
      <w:r w:rsidR="00F9703F">
        <w:rPr>
          <w:rFonts w:ascii="Times New Roman" w:hAnsi="Times New Roman" w:cs="Times New Roman"/>
          <w:sz w:val="24"/>
          <w:szCs w:val="24"/>
        </w:rPr>
        <w:t>The total percentage effect of all the shocks on implication variables is the column sum of the contributions</w:t>
      </w:r>
      <w:r w:rsidR="00775F8D">
        <w:rPr>
          <w:rFonts w:ascii="Times New Roman" w:hAnsi="Times New Roman" w:cs="Times New Roman"/>
          <w:sz w:val="24"/>
          <w:szCs w:val="24"/>
        </w:rPr>
        <w:t>, shown in the last row</w:t>
      </w:r>
      <w:r w:rsidR="00F9703F">
        <w:rPr>
          <w:rFonts w:ascii="Times New Roman" w:hAnsi="Times New Roman" w:cs="Times New Roman"/>
          <w:sz w:val="24"/>
          <w:szCs w:val="24"/>
        </w:rPr>
        <w:t xml:space="preserve">.  </w:t>
      </w:r>
      <w:r w:rsidR="005F5CAB">
        <w:rPr>
          <w:rFonts w:ascii="Times New Roman" w:hAnsi="Times New Roman" w:cs="Times New Roman"/>
          <w:sz w:val="24"/>
          <w:szCs w:val="24"/>
        </w:rPr>
        <w:t xml:space="preserve">Table 7.5 sets out the calculations using Neoclassical elasticities from Table 6.3.  </w:t>
      </w:r>
    </w:p>
    <w:p w:rsidR="00775F8D" w:rsidRDefault="00775F8D" w:rsidP="00591671">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 xml:space="preserve">Comparing Tables 7.4 and 7.5, we see that the year-1 total effects </w:t>
      </w:r>
      <w:r w:rsidR="00064572">
        <w:rPr>
          <w:rFonts w:ascii="Times New Roman" w:hAnsi="Times New Roman" w:cs="Times New Roman"/>
          <w:sz w:val="24"/>
          <w:szCs w:val="24"/>
        </w:rPr>
        <w:t xml:space="preserve">for national variables </w:t>
      </w:r>
      <w:r>
        <w:rPr>
          <w:rFonts w:ascii="Times New Roman" w:hAnsi="Times New Roman" w:cs="Times New Roman"/>
          <w:sz w:val="24"/>
          <w:szCs w:val="24"/>
        </w:rPr>
        <w:t xml:space="preserve">are more negative under Keynesian assumptions than under Neoclassical assumptions.  </w:t>
      </w:r>
      <w:r w:rsidR="00D82448">
        <w:rPr>
          <w:rFonts w:ascii="Times New Roman" w:hAnsi="Times New Roman" w:cs="Times New Roman"/>
          <w:sz w:val="24"/>
          <w:szCs w:val="24"/>
        </w:rPr>
        <w:t xml:space="preserve">GDP and </w:t>
      </w:r>
      <w:r w:rsidR="00064572">
        <w:rPr>
          <w:rFonts w:ascii="Times New Roman" w:hAnsi="Times New Roman" w:cs="Times New Roman"/>
          <w:sz w:val="24"/>
          <w:szCs w:val="24"/>
        </w:rPr>
        <w:t xml:space="preserve">national </w:t>
      </w:r>
      <w:r w:rsidR="00D82448">
        <w:rPr>
          <w:rFonts w:ascii="Times New Roman" w:hAnsi="Times New Roman" w:cs="Times New Roman"/>
          <w:sz w:val="24"/>
          <w:szCs w:val="24"/>
        </w:rPr>
        <w:t xml:space="preserve">employment decline by 0.35435 and 0.28808 per cent under Keynesian assumptions (last row, first two columns of Table 7.4) whereas under Neoclassical assumptions they decline by only 0.05340 and 0.07339 per cent (Table 7.5).  </w:t>
      </w:r>
      <w:r w:rsidR="007C6C6B">
        <w:rPr>
          <w:rFonts w:ascii="Times New Roman" w:hAnsi="Times New Roman" w:cs="Times New Roman"/>
          <w:sz w:val="24"/>
          <w:szCs w:val="24"/>
        </w:rPr>
        <w:t xml:space="preserve">This can be explained by looking at the contribution matrices.  Under Keynesian assumptions the </w:t>
      </w:r>
      <w:r w:rsidR="0058703B">
        <w:rPr>
          <w:rFonts w:ascii="Times New Roman" w:hAnsi="Times New Roman" w:cs="Times New Roman"/>
          <w:sz w:val="24"/>
          <w:szCs w:val="24"/>
        </w:rPr>
        <w:t xml:space="preserve">declines in visitor expenditures caused by the Epidemic make much larger negative contributions than under Neoclassical assumptions.  For example, in row 8 column 1 of the contribution matrices we see a negative contribution to year-1 GDP from lost </w:t>
      </w:r>
      <w:r w:rsidR="003E73F3">
        <w:rPr>
          <w:rFonts w:ascii="Times New Roman" w:hAnsi="Times New Roman" w:cs="Times New Roman"/>
          <w:sz w:val="24"/>
          <w:szCs w:val="24"/>
        </w:rPr>
        <w:t xml:space="preserve">foreign-visitor expenditure of 0.32036 under Keynesian assumptions whereas the corresponding Neoclassical contribution is a negative of only 0.05143.  This illustrates the point that losing visitor expenditures in an under-employed economy where new jobs are hard to obtain is much more economically damaging than </w:t>
      </w:r>
      <w:r w:rsidR="007C3A8D">
        <w:rPr>
          <w:rFonts w:ascii="Times New Roman" w:hAnsi="Times New Roman" w:cs="Times New Roman"/>
          <w:sz w:val="24"/>
          <w:szCs w:val="24"/>
        </w:rPr>
        <w:t xml:space="preserve">in a </w:t>
      </w:r>
      <w:r w:rsidR="003E73F3">
        <w:rPr>
          <w:rFonts w:ascii="Times New Roman" w:hAnsi="Times New Roman" w:cs="Times New Roman"/>
          <w:sz w:val="24"/>
          <w:szCs w:val="24"/>
        </w:rPr>
        <w:t>normal</w:t>
      </w:r>
      <w:r w:rsidR="007C3A8D">
        <w:rPr>
          <w:rFonts w:ascii="Times New Roman" w:hAnsi="Times New Roman" w:cs="Times New Roman"/>
          <w:sz w:val="24"/>
          <w:szCs w:val="24"/>
        </w:rPr>
        <w:t>ly-</w:t>
      </w:r>
      <w:r w:rsidR="003E73F3">
        <w:rPr>
          <w:rFonts w:ascii="Times New Roman" w:hAnsi="Times New Roman" w:cs="Times New Roman"/>
          <w:sz w:val="24"/>
          <w:szCs w:val="24"/>
        </w:rPr>
        <w:t xml:space="preserve">employment </w:t>
      </w:r>
      <w:r w:rsidR="007C3A8D">
        <w:rPr>
          <w:rFonts w:ascii="Times New Roman" w:hAnsi="Times New Roman" w:cs="Times New Roman"/>
          <w:sz w:val="24"/>
          <w:szCs w:val="24"/>
        </w:rPr>
        <w:t>economy</w:t>
      </w:r>
      <w:r w:rsidR="003E73F3">
        <w:rPr>
          <w:rFonts w:ascii="Times New Roman" w:hAnsi="Times New Roman" w:cs="Times New Roman"/>
          <w:sz w:val="24"/>
          <w:szCs w:val="24"/>
        </w:rPr>
        <w:t>.  P</w:t>
      </w:r>
      <w:r w:rsidR="007C6C6B">
        <w:rPr>
          <w:rFonts w:ascii="Times New Roman" w:hAnsi="Times New Roman" w:cs="Times New Roman"/>
          <w:sz w:val="24"/>
          <w:szCs w:val="24"/>
        </w:rPr>
        <w:t xml:space="preserve">ositive public expenditure shocks make larger </w:t>
      </w:r>
      <w:r w:rsidR="003E73F3">
        <w:rPr>
          <w:rFonts w:ascii="Times New Roman" w:hAnsi="Times New Roman" w:cs="Times New Roman"/>
          <w:sz w:val="24"/>
          <w:szCs w:val="24"/>
        </w:rPr>
        <w:t xml:space="preserve">positive </w:t>
      </w:r>
      <w:r w:rsidR="007C6C6B">
        <w:rPr>
          <w:rFonts w:ascii="Times New Roman" w:hAnsi="Times New Roman" w:cs="Times New Roman"/>
          <w:sz w:val="24"/>
          <w:szCs w:val="24"/>
        </w:rPr>
        <w:t>year-1 contributions</w:t>
      </w:r>
      <w:r w:rsidR="003E73F3">
        <w:rPr>
          <w:rFonts w:ascii="Times New Roman" w:hAnsi="Times New Roman" w:cs="Times New Roman"/>
          <w:sz w:val="24"/>
          <w:szCs w:val="24"/>
        </w:rPr>
        <w:t xml:space="preserve"> under Keynesian assumptions than </w:t>
      </w:r>
      <w:r w:rsidR="007C2C34">
        <w:rPr>
          <w:rFonts w:ascii="Times New Roman" w:hAnsi="Times New Roman" w:cs="Times New Roman"/>
          <w:sz w:val="24"/>
          <w:szCs w:val="24"/>
        </w:rPr>
        <w:t>u</w:t>
      </w:r>
      <w:r w:rsidR="007C6C6B">
        <w:rPr>
          <w:rFonts w:ascii="Times New Roman" w:hAnsi="Times New Roman" w:cs="Times New Roman"/>
          <w:sz w:val="24"/>
          <w:szCs w:val="24"/>
        </w:rPr>
        <w:t xml:space="preserve">nder Neoclassical assumptions.  For example, the Clean-up contribution to year-1 GDP under Keynesian assumptions </w:t>
      </w:r>
      <w:r w:rsidR="003E73F3">
        <w:rPr>
          <w:rFonts w:ascii="Times New Roman" w:hAnsi="Times New Roman" w:cs="Times New Roman"/>
          <w:sz w:val="24"/>
          <w:szCs w:val="24"/>
        </w:rPr>
        <w:t xml:space="preserve">is </w:t>
      </w:r>
      <w:r w:rsidR="007C6C6B">
        <w:rPr>
          <w:rFonts w:ascii="Times New Roman" w:hAnsi="Times New Roman" w:cs="Times New Roman"/>
          <w:sz w:val="24"/>
          <w:szCs w:val="24"/>
        </w:rPr>
        <w:t xml:space="preserve">0.00429, </w:t>
      </w:r>
      <w:r w:rsidR="003E73F3">
        <w:rPr>
          <w:rFonts w:ascii="Times New Roman" w:hAnsi="Times New Roman" w:cs="Times New Roman"/>
          <w:sz w:val="24"/>
          <w:szCs w:val="24"/>
        </w:rPr>
        <w:t>whereas</w:t>
      </w:r>
      <w:r w:rsidR="007C6C6B">
        <w:rPr>
          <w:rFonts w:ascii="Times New Roman" w:hAnsi="Times New Roman" w:cs="Times New Roman"/>
          <w:sz w:val="24"/>
          <w:szCs w:val="24"/>
        </w:rPr>
        <w:t xml:space="preserve"> under Neoclassical assumptions </w:t>
      </w:r>
      <w:r w:rsidR="007C2C34">
        <w:rPr>
          <w:rFonts w:ascii="Times New Roman" w:hAnsi="Times New Roman" w:cs="Times New Roman"/>
          <w:sz w:val="24"/>
          <w:szCs w:val="24"/>
        </w:rPr>
        <w:t xml:space="preserve">it is </w:t>
      </w:r>
      <w:r w:rsidR="007C6C6B">
        <w:rPr>
          <w:rFonts w:ascii="Times New Roman" w:hAnsi="Times New Roman" w:cs="Times New Roman"/>
          <w:sz w:val="24"/>
          <w:szCs w:val="24"/>
        </w:rPr>
        <w:t xml:space="preserve">0.00165.  </w:t>
      </w:r>
      <w:r w:rsidR="007C2C34">
        <w:rPr>
          <w:rFonts w:ascii="Times New Roman" w:hAnsi="Times New Roman" w:cs="Times New Roman"/>
          <w:sz w:val="24"/>
          <w:szCs w:val="24"/>
        </w:rPr>
        <w:t xml:space="preserve">However, in the Epidemic scenario the stimulatory effects of extra public expenditures are only a minor offset to the depressing effects of lost foreign-visitor expenditures under </w:t>
      </w:r>
      <w:r w:rsidR="00AF31A9">
        <w:rPr>
          <w:rFonts w:ascii="Times New Roman" w:hAnsi="Times New Roman" w:cs="Times New Roman"/>
          <w:sz w:val="24"/>
          <w:szCs w:val="24"/>
        </w:rPr>
        <w:t>e</w:t>
      </w:r>
      <w:r w:rsidR="007C2C34">
        <w:rPr>
          <w:rFonts w:ascii="Times New Roman" w:hAnsi="Times New Roman" w:cs="Times New Roman"/>
          <w:sz w:val="24"/>
          <w:szCs w:val="24"/>
        </w:rPr>
        <w:t xml:space="preserve">ither assumption.  </w:t>
      </w:r>
    </w:p>
    <w:p w:rsidR="0021748C" w:rsidRDefault="00AF31A9" w:rsidP="00591671">
      <w:pPr>
        <w:pStyle w:val="ListParagraph"/>
        <w:ind w:left="0"/>
        <w:contextualSpacing w:val="0"/>
        <w:rPr>
          <w:rFonts w:ascii="Times New Roman" w:hAnsi="Times New Roman" w:cs="Times New Roman"/>
          <w:sz w:val="24"/>
          <w:szCs w:val="24"/>
        </w:rPr>
        <w:sectPr w:rsidR="0021748C">
          <w:pgSz w:w="11906" w:h="16838"/>
          <w:pgMar w:top="1440" w:right="1440" w:bottom="1440" w:left="1440" w:header="708" w:footer="708" w:gutter="0"/>
          <w:cols w:space="708"/>
          <w:docGrid w:linePitch="360"/>
        </w:sectPr>
      </w:pPr>
      <w:r>
        <w:rPr>
          <w:rFonts w:ascii="Times New Roman" w:hAnsi="Times New Roman" w:cs="Times New Roman"/>
          <w:sz w:val="24"/>
          <w:szCs w:val="24"/>
        </w:rPr>
        <w:t xml:space="preserve">Detailed study of the contribution matrices allows us to unravel seemingly mysterious results.  For example, why does the Epidemic simulation show a negative year-1 employment result for </w:t>
      </w:r>
      <w:r w:rsidR="001A0DD9">
        <w:rPr>
          <w:rFonts w:ascii="Times New Roman" w:hAnsi="Times New Roman" w:cs="Times New Roman"/>
          <w:sz w:val="24"/>
          <w:szCs w:val="24"/>
        </w:rPr>
        <w:t xml:space="preserve">the target region, </w:t>
      </w:r>
      <w:r>
        <w:rPr>
          <w:rFonts w:ascii="Times New Roman" w:hAnsi="Times New Roman" w:cs="Times New Roman"/>
          <w:sz w:val="24"/>
          <w:szCs w:val="24"/>
        </w:rPr>
        <w:t>FL24</w:t>
      </w:r>
      <w:r w:rsidR="001A0DD9">
        <w:rPr>
          <w:rFonts w:ascii="Times New Roman" w:hAnsi="Times New Roman" w:cs="Times New Roman"/>
          <w:sz w:val="24"/>
          <w:szCs w:val="24"/>
        </w:rPr>
        <w:t>,</w:t>
      </w:r>
      <w:r>
        <w:rPr>
          <w:rFonts w:ascii="Times New Roman" w:hAnsi="Times New Roman" w:cs="Times New Roman"/>
          <w:sz w:val="24"/>
          <w:szCs w:val="24"/>
        </w:rPr>
        <w:t xml:space="preserve"> under Keynesian assumptions </w:t>
      </w:r>
      <w:r w:rsidR="001A0DD9">
        <w:rPr>
          <w:rFonts w:ascii="Times New Roman" w:hAnsi="Times New Roman" w:cs="Times New Roman"/>
          <w:sz w:val="24"/>
          <w:szCs w:val="24"/>
        </w:rPr>
        <w:t xml:space="preserve">(-0.57989) </w:t>
      </w:r>
      <w:r>
        <w:rPr>
          <w:rFonts w:ascii="Times New Roman" w:hAnsi="Times New Roman" w:cs="Times New Roman"/>
          <w:sz w:val="24"/>
          <w:szCs w:val="24"/>
        </w:rPr>
        <w:t>but a positive result</w:t>
      </w:r>
      <w:r w:rsidR="001A0DD9">
        <w:rPr>
          <w:rFonts w:ascii="Times New Roman" w:hAnsi="Times New Roman" w:cs="Times New Roman"/>
          <w:sz w:val="24"/>
          <w:szCs w:val="24"/>
        </w:rPr>
        <w:t xml:space="preserve"> under Neoclassical assumptions</w:t>
      </w:r>
      <w:r>
        <w:rPr>
          <w:rFonts w:ascii="Times New Roman" w:hAnsi="Times New Roman" w:cs="Times New Roman"/>
          <w:sz w:val="24"/>
          <w:szCs w:val="24"/>
        </w:rPr>
        <w:t xml:space="preserve"> </w:t>
      </w:r>
      <w:r w:rsidR="001A0DD9">
        <w:rPr>
          <w:rFonts w:ascii="Times New Roman" w:hAnsi="Times New Roman" w:cs="Times New Roman"/>
          <w:sz w:val="24"/>
          <w:szCs w:val="24"/>
        </w:rPr>
        <w:t>(</w:t>
      </w:r>
      <w:r>
        <w:rPr>
          <w:rFonts w:ascii="Times New Roman" w:hAnsi="Times New Roman" w:cs="Times New Roman"/>
          <w:sz w:val="24"/>
          <w:szCs w:val="24"/>
        </w:rPr>
        <w:t>0.11128)?  Under both sets of assumptions the increases in public expenditure rows 3 and 4 are stimulatory for FL24’s employment while the cu</w:t>
      </w:r>
      <w:r w:rsidR="00C664A7">
        <w:rPr>
          <w:rFonts w:ascii="Times New Roman" w:hAnsi="Times New Roman" w:cs="Times New Roman"/>
          <w:sz w:val="24"/>
          <w:szCs w:val="24"/>
        </w:rPr>
        <w:t>t</w:t>
      </w:r>
      <w:r>
        <w:rPr>
          <w:rFonts w:ascii="Times New Roman" w:hAnsi="Times New Roman" w:cs="Times New Roman"/>
          <w:sz w:val="24"/>
          <w:szCs w:val="24"/>
        </w:rPr>
        <w:t>s in foreign visitor expenditures in rows 7 and 8 are contractionary.  Keynesian assumptions magnify both stimulatory and contractionary effects</w:t>
      </w:r>
      <w:r w:rsidR="00C664A7">
        <w:rPr>
          <w:rFonts w:ascii="Times New Roman" w:hAnsi="Times New Roman" w:cs="Times New Roman"/>
          <w:sz w:val="24"/>
          <w:szCs w:val="24"/>
        </w:rPr>
        <w:t xml:space="preserve"> relative to Neoclassical assumptions. However, the magnification effect is weaker for labor intensive activities, such as public </w:t>
      </w:r>
      <w:r w:rsidR="0021748C">
        <w:rPr>
          <w:rFonts w:ascii="Times New Roman" w:hAnsi="Times New Roman" w:cs="Times New Roman"/>
          <w:sz w:val="24"/>
          <w:szCs w:val="24"/>
        </w:rPr>
        <w:t>expenditures on clean-up and health, than for more capital intensive activities, such as providing hotel accommodation for foreign visitors. This can be seen by looking at the Public health and Lost foreign visitor contributions in rows 3 and 7 to year-1 regional employment.  In Table 7.5 the Public health contribution is 1.08661 compared with 2.15220 in Table 7.4, a</w:t>
      </w:r>
      <w:r w:rsidR="0021748C">
        <w:rPr>
          <w:rFonts w:ascii="Times New Roman" w:hAnsi="Times New Roman" w:cs="Times New Roman"/>
          <w:sz w:val="24"/>
          <w:szCs w:val="24"/>
        </w:rPr>
        <w:br/>
      </w:r>
    </w:p>
    <w:p w:rsidR="00900B10" w:rsidRPr="00CA013B" w:rsidRDefault="00900B10" w:rsidP="00900B10">
      <w:pPr>
        <w:jc w:val="center"/>
        <w:rPr>
          <w:rFonts w:ascii="Times New Roman" w:hAnsi="Times New Roman" w:cs="Times New Roman"/>
          <w:b/>
          <w:i/>
          <w:color w:val="FF0000"/>
          <w:sz w:val="24"/>
          <w:szCs w:val="24"/>
        </w:rPr>
      </w:pPr>
      <w:r>
        <w:rPr>
          <w:rFonts w:ascii="Times New Roman" w:hAnsi="Times New Roman" w:cs="Times New Roman"/>
          <w:b/>
          <w:i/>
          <w:sz w:val="24"/>
          <w:szCs w:val="24"/>
        </w:rPr>
        <w:lastRenderedPageBreak/>
        <w:t xml:space="preserve">Table 7.2.  Three example scenarios in percentage change form for target region </w:t>
      </w:r>
      <w:r>
        <w:rPr>
          <w:rFonts w:ascii="Times New Roman" w:hAnsi="Times New Roman" w:cs="Times New Roman"/>
          <w:b/>
          <w:i/>
          <w:color w:val="FF0000"/>
          <w:sz w:val="24"/>
          <w:szCs w:val="24"/>
        </w:rPr>
        <w:t>FL24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2290"/>
        <w:gridCol w:w="2290"/>
        <w:gridCol w:w="2290"/>
      </w:tblGrid>
      <w:tr w:rsidR="00900B10" w:rsidTr="00900B10">
        <w:tc>
          <w:tcPr>
            <w:tcW w:w="6771" w:type="dxa"/>
            <w:tcBorders>
              <w:top w:val="single" w:sz="18" w:space="0" w:color="auto"/>
              <w:bottom w:val="single" w:sz="18" w:space="0" w:color="auto"/>
              <w:right w:val="single" w:sz="18" w:space="0" w:color="7F7F7F" w:themeColor="text1" w:themeTint="80"/>
            </w:tcBorders>
          </w:tcPr>
          <w:p w:rsidR="00900B10" w:rsidRPr="00936095" w:rsidRDefault="00900B10" w:rsidP="00900B10">
            <w:pPr>
              <w:rPr>
                <w:rFonts w:ascii="Times New Roman" w:hAnsi="Times New Roman" w:cs="Times New Roman"/>
                <w:b/>
              </w:rPr>
            </w:pPr>
            <w:r w:rsidRPr="00936095">
              <w:rPr>
                <w:rFonts w:ascii="Times New Roman" w:hAnsi="Times New Roman" w:cs="Times New Roman"/>
                <w:b/>
              </w:rPr>
              <w:t>Driving factors</w:t>
            </w:r>
          </w:p>
        </w:tc>
        <w:tc>
          <w:tcPr>
            <w:tcW w:w="2290" w:type="dxa"/>
            <w:tcBorders>
              <w:top w:val="single" w:sz="18" w:space="0" w:color="auto"/>
              <w:left w:val="single" w:sz="18" w:space="0" w:color="7F7F7F" w:themeColor="text1" w:themeTint="80"/>
              <w:bottom w:val="single" w:sz="18" w:space="0" w:color="auto"/>
              <w:right w:val="single" w:sz="18" w:space="0" w:color="7F7F7F" w:themeColor="text1" w:themeTint="80"/>
            </w:tcBorders>
          </w:tcPr>
          <w:p w:rsidR="00900B10" w:rsidRPr="00936095" w:rsidRDefault="00900B10" w:rsidP="00900B10">
            <w:pPr>
              <w:jc w:val="center"/>
              <w:rPr>
                <w:rFonts w:ascii="Times New Roman" w:hAnsi="Times New Roman" w:cs="Times New Roman"/>
                <w:b/>
              </w:rPr>
            </w:pPr>
            <w:r w:rsidRPr="00936095">
              <w:rPr>
                <w:rFonts w:ascii="Times New Roman" w:hAnsi="Times New Roman" w:cs="Times New Roman"/>
                <w:b/>
              </w:rPr>
              <w:t>S1: Epidemic</w:t>
            </w:r>
          </w:p>
          <w:p w:rsidR="00900B10" w:rsidRPr="00936095" w:rsidRDefault="00900B10" w:rsidP="00900B10">
            <w:pPr>
              <w:jc w:val="center"/>
              <w:rPr>
                <w:rFonts w:ascii="Times New Roman" w:hAnsi="Times New Roman" w:cs="Times New Roman"/>
                <w:b/>
              </w:rPr>
            </w:pPr>
            <w:r w:rsidRPr="00936095">
              <w:rPr>
                <w:rFonts w:ascii="Times New Roman" w:hAnsi="Times New Roman" w:cs="Times New Roman"/>
                <w:b/>
              </w:rPr>
              <w:t>(</w:t>
            </w:r>
            <w:r w:rsidRPr="00936095">
              <w:rPr>
                <w:rFonts w:ascii="Times New Roman" w:hAnsi="Times New Roman" w:cs="Times New Roman"/>
                <w:b/>
                <w:i/>
              </w:rPr>
              <w:t>death, health &amp; tourism scare</w:t>
            </w:r>
            <w:r w:rsidRPr="00936095">
              <w:rPr>
                <w:rFonts w:ascii="Times New Roman" w:hAnsi="Times New Roman" w:cs="Times New Roman"/>
                <w:b/>
              </w:rPr>
              <w:t>)</w:t>
            </w:r>
          </w:p>
          <w:p w:rsidR="00900B10" w:rsidRPr="00936095" w:rsidRDefault="00900B10" w:rsidP="00900B10">
            <w:pPr>
              <w:jc w:val="center"/>
              <w:rPr>
                <w:rFonts w:ascii="Times New Roman" w:hAnsi="Times New Roman" w:cs="Times New Roman"/>
                <w:b/>
              </w:rPr>
            </w:pPr>
          </w:p>
        </w:tc>
        <w:tc>
          <w:tcPr>
            <w:tcW w:w="2290" w:type="dxa"/>
            <w:tcBorders>
              <w:top w:val="single" w:sz="18" w:space="0" w:color="auto"/>
              <w:left w:val="single" w:sz="18" w:space="0" w:color="7F7F7F" w:themeColor="text1" w:themeTint="80"/>
              <w:bottom w:val="single" w:sz="18" w:space="0" w:color="auto"/>
              <w:right w:val="single" w:sz="18" w:space="0" w:color="7F7F7F" w:themeColor="text1" w:themeTint="80"/>
            </w:tcBorders>
          </w:tcPr>
          <w:p w:rsidR="00900B10" w:rsidRDefault="00900B10" w:rsidP="00900B10">
            <w:pPr>
              <w:jc w:val="center"/>
              <w:rPr>
                <w:rFonts w:ascii="Times New Roman" w:hAnsi="Times New Roman" w:cs="Times New Roman"/>
                <w:b/>
                <w:sz w:val="24"/>
                <w:szCs w:val="24"/>
              </w:rPr>
            </w:pPr>
            <w:r w:rsidRPr="003F32A9">
              <w:rPr>
                <w:rFonts w:ascii="Times New Roman" w:hAnsi="Times New Roman" w:cs="Times New Roman"/>
                <w:b/>
                <w:sz w:val="24"/>
                <w:szCs w:val="24"/>
              </w:rPr>
              <w:t>S</w:t>
            </w:r>
            <w:r>
              <w:rPr>
                <w:rFonts w:ascii="Times New Roman" w:hAnsi="Times New Roman" w:cs="Times New Roman"/>
                <w:b/>
                <w:sz w:val="24"/>
                <w:szCs w:val="24"/>
              </w:rPr>
              <w:t>2</w:t>
            </w:r>
            <w:r w:rsidRPr="003F32A9">
              <w:rPr>
                <w:rFonts w:ascii="Times New Roman" w:hAnsi="Times New Roman" w:cs="Times New Roman"/>
                <w:b/>
                <w:sz w:val="24"/>
                <w:szCs w:val="24"/>
              </w:rPr>
              <w:t>:</w:t>
            </w:r>
            <w:r>
              <w:rPr>
                <w:rFonts w:ascii="Times New Roman" w:hAnsi="Times New Roman" w:cs="Times New Roman"/>
                <w:b/>
                <w:sz w:val="24"/>
                <w:szCs w:val="24"/>
              </w:rPr>
              <w:t xml:space="preserve">  Dirty bomb</w:t>
            </w:r>
          </w:p>
          <w:p w:rsidR="00900B10" w:rsidRPr="003F32A9" w:rsidRDefault="00900B10" w:rsidP="00900B10">
            <w:pPr>
              <w:jc w:val="center"/>
              <w:rPr>
                <w:rFonts w:ascii="Times New Roman" w:hAnsi="Times New Roman" w:cs="Times New Roman"/>
                <w:b/>
                <w:sz w:val="24"/>
                <w:szCs w:val="24"/>
              </w:rPr>
            </w:pPr>
            <w:r>
              <w:rPr>
                <w:rFonts w:ascii="Times New Roman" w:hAnsi="Times New Roman" w:cs="Times New Roman"/>
                <w:b/>
                <w:sz w:val="24"/>
                <w:szCs w:val="24"/>
              </w:rPr>
              <w:t>(</w:t>
            </w:r>
            <w:r w:rsidRPr="003F32A9">
              <w:rPr>
                <w:rFonts w:ascii="Times New Roman" w:hAnsi="Times New Roman" w:cs="Times New Roman"/>
                <w:b/>
                <w:i/>
                <w:sz w:val="20"/>
                <w:szCs w:val="20"/>
              </w:rPr>
              <w:t>decontamination  &amp; aversion</w:t>
            </w:r>
            <w:r>
              <w:rPr>
                <w:rFonts w:ascii="Times New Roman" w:hAnsi="Times New Roman" w:cs="Times New Roman"/>
                <w:b/>
                <w:sz w:val="24"/>
                <w:szCs w:val="24"/>
              </w:rPr>
              <w:t>)</w:t>
            </w:r>
          </w:p>
        </w:tc>
        <w:tc>
          <w:tcPr>
            <w:tcW w:w="2290" w:type="dxa"/>
            <w:tcBorders>
              <w:top w:val="single" w:sz="18" w:space="0" w:color="auto"/>
              <w:left w:val="single" w:sz="18" w:space="0" w:color="7F7F7F" w:themeColor="text1" w:themeTint="80"/>
              <w:bottom w:val="single" w:sz="18" w:space="0" w:color="auto"/>
            </w:tcBorders>
          </w:tcPr>
          <w:p w:rsidR="00900B10" w:rsidRPr="003F32A9" w:rsidRDefault="00900B10" w:rsidP="00900B10">
            <w:pPr>
              <w:jc w:val="center"/>
              <w:rPr>
                <w:rFonts w:ascii="Times New Roman" w:hAnsi="Times New Roman" w:cs="Times New Roman"/>
                <w:b/>
              </w:rPr>
            </w:pPr>
            <w:r>
              <w:rPr>
                <w:rFonts w:ascii="Times New Roman" w:hAnsi="Times New Roman" w:cs="Times New Roman"/>
                <w:b/>
              </w:rPr>
              <w:t>S3: Food contamination</w:t>
            </w:r>
          </w:p>
        </w:tc>
      </w:tr>
      <w:tr w:rsidR="00900B10" w:rsidTr="00900B10">
        <w:tc>
          <w:tcPr>
            <w:tcW w:w="6771" w:type="dxa"/>
            <w:tcBorders>
              <w:top w:val="single" w:sz="18" w:space="0" w:color="auto"/>
              <w:right w:val="single" w:sz="18" w:space="0" w:color="7F7F7F" w:themeColor="text1" w:themeTint="80"/>
            </w:tcBorders>
          </w:tcPr>
          <w:p w:rsidR="00900B10" w:rsidRPr="00F37ED5" w:rsidRDefault="00900B10" w:rsidP="00900B10">
            <w:pPr>
              <w:tabs>
                <w:tab w:val="left" w:pos="146"/>
                <w:tab w:val="left" w:pos="438"/>
              </w:tabs>
              <w:rPr>
                <w:rFonts w:ascii="Times New Roman" w:hAnsi="Times New Roman" w:cs="Times New Roman"/>
              </w:rPr>
            </w:pPr>
            <w:r w:rsidRPr="00F37ED5">
              <w:rPr>
                <w:rFonts w:ascii="Times New Roman" w:hAnsi="Times New Roman" w:cs="Times New Roman"/>
              </w:rPr>
              <w:t xml:space="preserve">1.  Value of capital taken out of use </w:t>
            </w:r>
            <w:r>
              <w:rPr>
                <w:rFonts w:ascii="Times New Roman" w:hAnsi="Times New Roman" w:cs="Times New Roman"/>
              </w:rPr>
              <w:t xml:space="preserve">in target region </w:t>
            </w:r>
          </w:p>
        </w:tc>
        <w:tc>
          <w:tcPr>
            <w:tcW w:w="2290" w:type="dxa"/>
            <w:tcBorders>
              <w:top w:val="single" w:sz="18" w:space="0" w:color="auto"/>
              <w:left w:val="single" w:sz="18" w:space="0" w:color="7F7F7F" w:themeColor="text1" w:themeTint="80"/>
              <w:righ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0.0000</w:t>
            </w:r>
          </w:p>
        </w:tc>
        <w:tc>
          <w:tcPr>
            <w:tcW w:w="2290" w:type="dxa"/>
            <w:tcBorders>
              <w:top w:val="single" w:sz="18" w:space="0" w:color="auto"/>
              <w:left w:val="single" w:sz="18" w:space="0" w:color="7F7F7F" w:themeColor="text1" w:themeTint="80"/>
              <w:righ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2.8338</w:t>
            </w:r>
          </w:p>
        </w:tc>
        <w:tc>
          <w:tcPr>
            <w:tcW w:w="2290" w:type="dxa"/>
            <w:tcBorders>
              <w:top w:val="single" w:sz="18" w:space="0" w:color="auto"/>
              <w:lef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0.0000</w:t>
            </w:r>
          </w:p>
        </w:tc>
      </w:tr>
      <w:tr w:rsidR="00900B10" w:rsidTr="00900B10">
        <w:tc>
          <w:tcPr>
            <w:tcW w:w="6771" w:type="dxa"/>
            <w:tcBorders>
              <w:right w:val="single" w:sz="18" w:space="0" w:color="7F7F7F" w:themeColor="text1" w:themeTint="80"/>
            </w:tcBorders>
          </w:tcPr>
          <w:p w:rsidR="00900B10" w:rsidRPr="00F37ED5" w:rsidRDefault="00900B10" w:rsidP="00900B10">
            <w:pPr>
              <w:tabs>
                <w:tab w:val="left" w:pos="146"/>
                <w:tab w:val="left" w:pos="438"/>
              </w:tabs>
              <w:rPr>
                <w:rFonts w:ascii="Times New Roman" w:hAnsi="Times New Roman" w:cs="Times New Roman"/>
              </w:rPr>
            </w:pPr>
            <w:r w:rsidRPr="00F37ED5">
              <w:rPr>
                <w:rFonts w:ascii="Times New Roman" w:hAnsi="Times New Roman" w:cs="Times New Roman"/>
              </w:rPr>
              <w:t>2.  Value of capital returned to use after 1yr</w:t>
            </w:r>
            <w:r>
              <w:rPr>
                <w:rFonts w:ascii="Times New Roman" w:hAnsi="Times New Roman" w:cs="Times New Roman"/>
              </w:rPr>
              <w:t xml:space="preserve"> in target region</w:t>
            </w:r>
            <w:r w:rsidRPr="00F37ED5">
              <w:rPr>
                <w:rFonts w:ascii="Times New Roman" w:hAnsi="Times New Roman" w:cs="Times New Roman"/>
              </w:rPr>
              <w:t xml:space="preserve"> </w:t>
            </w:r>
          </w:p>
        </w:tc>
        <w:tc>
          <w:tcPr>
            <w:tcW w:w="2290" w:type="dxa"/>
            <w:tcBorders>
              <w:left w:val="single" w:sz="18" w:space="0" w:color="7F7F7F" w:themeColor="text1" w:themeTint="80"/>
              <w:righ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0.0000</w:t>
            </w:r>
          </w:p>
        </w:tc>
        <w:tc>
          <w:tcPr>
            <w:tcW w:w="2290" w:type="dxa"/>
            <w:tcBorders>
              <w:left w:val="single" w:sz="18" w:space="0" w:color="7F7F7F" w:themeColor="text1" w:themeTint="80"/>
              <w:righ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2.8338</w:t>
            </w:r>
          </w:p>
        </w:tc>
        <w:tc>
          <w:tcPr>
            <w:tcW w:w="2290" w:type="dxa"/>
            <w:tcBorders>
              <w:lef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0.0000</w:t>
            </w:r>
          </w:p>
        </w:tc>
      </w:tr>
      <w:tr w:rsidR="00900B10" w:rsidTr="00900B10">
        <w:tc>
          <w:tcPr>
            <w:tcW w:w="6771" w:type="dxa"/>
            <w:tcBorders>
              <w:right w:val="single" w:sz="18" w:space="0" w:color="7F7F7F" w:themeColor="text1" w:themeTint="80"/>
            </w:tcBorders>
          </w:tcPr>
          <w:p w:rsidR="00900B10" w:rsidRPr="00F37ED5" w:rsidRDefault="00900B10" w:rsidP="00900B10">
            <w:pPr>
              <w:tabs>
                <w:tab w:val="left" w:pos="146"/>
                <w:tab w:val="left" w:pos="438"/>
              </w:tabs>
              <w:rPr>
                <w:rFonts w:ascii="Times New Roman" w:hAnsi="Times New Roman" w:cs="Times New Roman"/>
              </w:rPr>
            </w:pPr>
            <w:r w:rsidRPr="00F37ED5">
              <w:rPr>
                <w:rFonts w:ascii="Times New Roman" w:hAnsi="Times New Roman" w:cs="Times New Roman"/>
              </w:rPr>
              <w:t xml:space="preserve">3.  Public </w:t>
            </w:r>
            <w:r>
              <w:rPr>
                <w:rFonts w:ascii="Times New Roman" w:hAnsi="Times New Roman" w:cs="Times New Roman"/>
              </w:rPr>
              <w:t xml:space="preserve">expenditure in target city, </w:t>
            </w:r>
            <w:r w:rsidR="00B6529C">
              <w:rPr>
                <w:rFonts w:ascii="Times New Roman" w:hAnsi="Times New Roman" w:cs="Times New Roman"/>
              </w:rPr>
              <w:t>clean-up</w:t>
            </w:r>
            <w:r w:rsidRPr="00F37ED5">
              <w:rPr>
                <w:rFonts w:ascii="Times New Roman" w:hAnsi="Times New Roman" w:cs="Times New Roman"/>
              </w:rPr>
              <w:t xml:space="preserve"> </w:t>
            </w:r>
          </w:p>
        </w:tc>
        <w:tc>
          <w:tcPr>
            <w:tcW w:w="2290" w:type="dxa"/>
            <w:tcBorders>
              <w:left w:val="single" w:sz="18" w:space="0" w:color="7F7F7F" w:themeColor="text1" w:themeTint="80"/>
              <w:righ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2.4951</w:t>
            </w:r>
          </w:p>
        </w:tc>
        <w:tc>
          <w:tcPr>
            <w:tcW w:w="2290" w:type="dxa"/>
            <w:tcBorders>
              <w:left w:val="single" w:sz="18" w:space="0" w:color="7F7F7F" w:themeColor="text1" w:themeTint="80"/>
              <w:righ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397.7188</w:t>
            </w:r>
          </w:p>
        </w:tc>
        <w:tc>
          <w:tcPr>
            <w:tcW w:w="2290" w:type="dxa"/>
            <w:tcBorders>
              <w:lef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0.3084</w:t>
            </w:r>
          </w:p>
        </w:tc>
      </w:tr>
      <w:tr w:rsidR="00900B10" w:rsidTr="00900B10">
        <w:tc>
          <w:tcPr>
            <w:tcW w:w="6771" w:type="dxa"/>
            <w:tcBorders>
              <w:right w:val="single" w:sz="18" w:space="0" w:color="7F7F7F" w:themeColor="text1" w:themeTint="80"/>
            </w:tcBorders>
          </w:tcPr>
          <w:p w:rsidR="00900B10" w:rsidRPr="00F37ED5" w:rsidRDefault="00900B10" w:rsidP="00900B10">
            <w:pPr>
              <w:tabs>
                <w:tab w:val="left" w:pos="146"/>
                <w:tab w:val="left" w:pos="438"/>
              </w:tabs>
              <w:rPr>
                <w:rFonts w:ascii="Times New Roman" w:hAnsi="Times New Roman" w:cs="Times New Roman"/>
              </w:rPr>
            </w:pPr>
            <w:r w:rsidRPr="00F37ED5">
              <w:rPr>
                <w:rFonts w:ascii="Times New Roman" w:hAnsi="Times New Roman" w:cs="Times New Roman"/>
              </w:rPr>
              <w:t xml:space="preserve">4.  Public sector health expenditures </w:t>
            </w:r>
          </w:p>
        </w:tc>
        <w:tc>
          <w:tcPr>
            <w:tcW w:w="2290" w:type="dxa"/>
            <w:tcBorders>
              <w:left w:val="single" w:sz="18" w:space="0" w:color="7F7F7F" w:themeColor="text1" w:themeTint="80"/>
              <w:righ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244.4013</w:t>
            </w:r>
          </w:p>
        </w:tc>
        <w:tc>
          <w:tcPr>
            <w:tcW w:w="2290" w:type="dxa"/>
            <w:tcBorders>
              <w:left w:val="single" w:sz="18" w:space="0" w:color="7F7F7F" w:themeColor="text1" w:themeTint="80"/>
              <w:righ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10.2307</w:t>
            </w:r>
          </w:p>
        </w:tc>
        <w:tc>
          <w:tcPr>
            <w:tcW w:w="2290" w:type="dxa"/>
            <w:tcBorders>
              <w:lef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5.2018</w:t>
            </w:r>
          </w:p>
        </w:tc>
      </w:tr>
      <w:tr w:rsidR="00900B10" w:rsidTr="00900B10">
        <w:tc>
          <w:tcPr>
            <w:tcW w:w="6771" w:type="dxa"/>
            <w:tcBorders>
              <w:right w:val="single" w:sz="18" w:space="0" w:color="7F7F7F" w:themeColor="text1" w:themeTint="80"/>
            </w:tcBorders>
          </w:tcPr>
          <w:p w:rsidR="00900B10" w:rsidRPr="00F37ED5" w:rsidRDefault="00900B10" w:rsidP="00900B10">
            <w:pPr>
              <w:tabs>
                <w:tab w:val="left" w:pos="146"/>
                <w:tab w:val="left" w:pos="438"/>
              </w:tabs>
              <w:rPr>
                <w:rFonts w:ascii="Times New Roman" w:hAnsi="Times New Roman" w:cs="Times New Roman"/>
              </w:rPr>
            </w:pPr>
            <w:r w:rsidRPr="00F37ED5">
              <w:rPr>
                <w:rFonts w:ascii="Times New Roman" w:hAnsi="Times New Roman" w:cs="Times New Roman"/>
              </w:rPr>
              <w:t xml:space="preserve">5.  Accommodation expenses in target city </w:t>
            </w:r>
            <w:r>
              <w:rPr>
                <w:rFonts w:ascii="Times New Roman" w:hAnsi="Times New Roman" w:cs="Times New Roman"/>
              </w:rPr>
              <w:t>(% of h’hold expenditure on hotels &amp; restaurants in target city</w:t>
            </w:r>
            <w:r w:rsidRPr="00F37ED5">
              <w:rPr>
                <w:rFonts w:ascii="Times New Roman" w:hAnsi="Times New Roman" w:cs="Times New Roman"/>
              </w:rPr>
              <w:t>)</w:t>
            </w:r>
          </w:p>
        </w:tc>
        <w:tc>
          <w:tcPr>
            <w:tcW w:w="2290" w:type="dxa"/>
            <w:tcBorders>
              <w:left w:val="single" w:sz="18" w:space="0" w:color="7F7F7F" w:themeColor="text1" w:themeTint="80"/>
              <w:righ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0.0000</w:t>
            </w:r>
          </w:p>
        </w:tc>
        <w:tc>
          <w:tcPr>
            <w:tcW w:w="2290" w:type="dxa"/>
            <w:tcBorders>
              <w:left w:val="single" w:sz="18" w:space="0" w:color="7F7F7F" w:themeColor="text1" w:themeTint="80"/>
              <w:righ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7.8594</w:t>
            </w:r>
          </w:p>
        </w:tc>
        <w:tc>
          <w:tcPr>
            <w:tcW w:w="2290" w:type="dxa"/>
            <w:tcBorders>
              <w:lef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0.0000</w:t>
            </w:r>
          </w:p>
        </w:tc>
      </w:tr>
      <w:tr w:rsidR="00900B10" w:rsidTr="00900B10">
        <w:tc>
          <w:tcPr>
            <w:tcW w:w="6771" w:type="dxa"/>
            <w:tcBorders>
              <w:right w:val="single" w:sz="18" w:space="0" w:color="7F7F7F" w:themeColor="text1" w:themeTint="80"/>
            </w:tcBorders>
          </w:tcPr>
          <w:p w:rsidR="00900B10" w:rsidRPr="00F37ED5" w:rsidRDefault="00900B10" w:rsidP="00900B10">
            <w:pPr>
              <w:tabs>
                <w:tab w:val="left" w:pos="146"/>
                <w:tab w:val="left" w:pos="438"/>
              </w:tabs>
              <w:rPr>
                <w:rFonts w:ascii="Times New Roman" w:hAnsi="Times New Roman" w:cs="Times New Roman"/>
              </w:rPr>
            </w:pPr>
            <w:r w:rsidRPr="00F37ED5">
              <w:rPr>
                <w:rFonts w:ascii="Times New Roman" w:hAnsi="Times New Roman" w:cs="Times New Roman"/>
              </w:rPr>
              <w:t xml:space="preserve">6.  Accommodation expenses outside target city </w:t>
            </w:r>
            <w:r>
              <w:rPr>
                <w:rFonts w:ascii="Times New Roman" w:hAnsi="Times New Roman" w:cs="Times New Roman"/>
              </w:rPr>
              <w:t>(% of h’hold expenditure on hotels &amp; restaurants outside target city</w:t>
            </w:r>
            <w:r w:rsidRPr="00F37ED5">
              <w:rPr>
                <w:rFonts w:ascii="Times New Roman" w:hAnsi="Times New Roman" w:cs="Times New Roman"/>
              </w:rPr>
              <w:t>)</w:t>
            </w:r>
          </w:p>
        </w:tc>
        <w:tc>
          <w:tcPr>
            <w:tcW w:w="2290" w:type="dxa"/>
            <w:tcBorders>
              <w:left w:val="single" w:sz="18" w:space="0" w:color="7F7F7F" w:themeColor="text1" w:themeTint="80"/>
              <w:righ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0.0000</w:t>
            </w:r>
          </w:p>
        </w:tc>
        <w:tc>
          <w:tcPr>
            <w:tcW w:w="2290" w:type="dxa"/>
            <w:tcBorders>
              <w:left w:val="single" w:sz="18" w:space="0" w:color="7F7F7F" w:themeColor="text1" w:themeTint="80"/>
              <w:righ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0.0487</w:t>
            </w:r>
          </w:p>
        </w:tc>
        <w:tc>
          <w:tcPr>
            <w:tcW w:w="2290" w:type="dxa"/>
            <w:tcBorders>
              <w:lef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0.0000</w:t>
            </w:r>
          </w:p>
        </w:tc>
      </w:tr>
      <w:tr w:rsidR="00900B10" w:rsidTr="00900B10">
        <w:tc>
          <w:tcPr>
            <w:tcW w:w="6771" w:type="dxa"/>
            <w:tcBorders>
              <w:right w:val="single" w:sz="18" w:space="0" w:color="7F7F7F" w:themeColor="text1" w:themeTint="80"/>
            </w:tcBorders>
          </w:tcPr>
          <w:p w:rsidR="00900B10" w:rsidRPr="00F37ED5" w:rsidRDefault="00900B10" w:rsidP="00900B10">
            <w:pPr>
              <w:tabs>
                <w:tab w:val="left" w:pos="146"/>
                <w:tab w:val="left" w:pos="438"/>
              </w:tabs>
              <w:rPr>
                <w:rFonts w:ascii="Times New Roman" w:hAnsi="Times New Roman" w:cs="Times New Roman"/>
              </w:rPr>
            </w:pPr>
            <w:r w:rsidRPr="00F37ED5">
              <w:rPr>
                <w:rFonts w:ascii="Times New Roman" w:hAnsi="Times New Roman" w:cs="Times New Roman"/>
              </w:rPr>
              <w:t xml:space="preserve">7.  Loss of foreign visitor expenditure in target city </w:t>
            </w:r>
          </w:p>
        </w:tc>
        <w:tc>
          <w:tcPr>
            <w:tcW w:w="2290" w:type="dxa"/>
            <w:tcBorders>
              <w:left w:val="single" w:sz="18" w:space="0" w:color="7F7F7F" w:themeColor="text1" w:themeTint="80"/>
              <w:righ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50.7424</w:t>
            </w:r>
          </w:p>
        </w:tc>
        <w:tc>
          <w:tcPr>
            <w:tcW w:w="2290" w:type="dxa"/>
            <w:tcBorders>
              <w:left w:val="single" w:sz="18" w:space="0" w:color="7F7F7F" w:themeColor="text1" w:themeTint="80"/>
              <w:righ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33.5796</w:t>
            </w:r>
          </w:p>
        </w:tc>
        <w:tc>
          <w:tcPr>
            <w:tcW w:w="2290" w:type="dxa"/>
            <w:tcBorders>
              <w:lef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20.5000</w:t>
            </w:r>
          </w:p>
        </w:tc>
      </w:tr>
      <w:tr w:rsidR="00900B10" w:rsidTr="00900B10">
        <w:tc>
          <w:tcPr>
            <w:tcW w:w="6771" w:type="dxa"/>
            <w:tcBorders>
              <w:right w:val="single" w:sz="18" w:space="0" w:color="7F7F7F" w:themeColor="text1" w:themeTint="80"/>
            </w:tcBorders>
          </w:tcPr>
          <w:p w:rsidR="00900B10" w:rsidRPr="00F37ED5" w:rsidRDefault="00900B10" w:rsidP="00900B10">
            <w:pPr>
              <w:tabs>
                <w:tab w:val="left" w:pos="146"/>
                <w:tab w:val="left" w:pos="438"/>
              </w:tabs>
              <w:rPr>
                <w:rFonts w:ascii="Times New Roman" w:hAnsi="Times New Roman" w:cs="Times New Roman"/>
              </w:rPr>
            </w:pPr>
            <w:r w:rsidRPr="00F37ED5">
              <w:rPr>
                <w:rFonts w:ascii="Times New Roman" w:hAnsi="Times New Roman" w:cs="Times New Roman"/>
              </w:rPr>
              <w:t xml:space="preserve">8.  Loss of foreign visitor expenditure outside target city </w:t>
            </w:r>
          </w:p>
        </w:tc>
        <w:tc>
          <w:tcPr>
            <w:tcW w:w="2290" w:type="dxa"/>
            <w:tcBorders>
              <w:left w:val="single" w:sz="18" w:space="0" w:color="7F7F7F" w:themeColor="text1" w:themeTint="80"/>
              <w:righ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25.3712</w:t>
            </w:r>
          </w:p>
        </w:tc>
        <w:tc>
          <w:tcPr>
            <w:tcW w:w="2290" w:type="dxa"/>
            <w:tcBorders>
              <w:left w:val="single" w:sz="18" w:space="0" w:color="7F7F7F" w:themeColor="text1" w:themeTint="80"/>
              <w:righ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12.2072</w:t>
            </w:r>
          </w:p>
        </w:tc>
        <w:tc>
          <w:tcPr>
            <w:tcW w:w="2290" w:type="dxa"/>
            <w:tcBorders>
              <w:lef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10.2500</w:t>
            </w:r>
          </w:p>
        </w:tc>
      </w:tr>
      <w:tr w:rsidR="00900B10" w:rsidTr="00900B10">
        <w:tc>
          <w:tcPr>
            <w:tcW w:w="6771" w:type="dxa"/>
            <w:tcBorders>
              <w:right w:val="single" w:sz="18" w:space="0" w:color="7F7F7F" w:themeColor="text1" w:themeTint="80"/>
            </w:tcBorders>
          </w:tcPr>
          <w:p w:rsidR="00900B10" w:rsidRPr="00F37ED5" w:rsidRDefault="00900B10" w:rsidP="00900B10">
            <w:pPr>
              <w:tabs>
                <w:tab w:val="left" w:pos="146"/>
                <w:tab w:val="left" w:pos="438"/>
              </w:tabs>
              <w:rPr>
                <w:rFonts w:ascii="Times New Roman" w:hAnsi="Times New Roman" w:cs="Times New Roman"/>
              </w:rPr>
            </w:pPr>
            <w:r w:rsidRPr="00F37ED5">
              <w:rPr>
                <w:rFonts w:ascii="Times New Roman" w:hAnsi="Times New Roman" w:cs="Times New Roman"/>
              </w:rPr>
              <w:t xml:space="preserve">9.  Loss of domestic traveler expenditure in target city </w:t>
            </w:r>
          </w:p>
        </w:tc>
        <w:tc>
          <w:tcPr>
            <w:tcW w:w="2290" w:type="dxa"/>
            <w:tcBorders>
              <w:left w:val="single" w:sz="18" w:space="0" w:color="7F7F7F" w:themeColor="text1" w:themeTint="80"/>
              <w:righ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0.0773</w:t>
            </w:r>
          </w:p>
        </w:tc>
        <w:tc>
          <w:tcPr>
            <w:tcW w:w="2290" w:type="dxa"/>
            <w:tcBorders>
              <w:left w:val="single" w:sz="18" w:space="0" w:color="7F7F7F" w:themeColor="text1" w:themeTint="80"/>
              <w:righ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8.7624</w:t>
            </w:r>
          </w:p>
        </w:tc>
        <w:tc>
          <w:tcPr>
            <w:tcW w:w="2290" w:type="dxa"/>
            <w:tcBorders>
              <w:lef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0.0338</w:t>
            </w:r>
          </w:p>
        </w:tc>
      </w:tr>
      <w:tr w:rsidR="00900B10" w:rsidTr="00900B10">
        <w:tc>
          <w:tcPr>
            <w:tcW w:w="6771" w:type="dxa"/>
            <w:tcBorders>
              <w:right w:val="single" w:sz="18" w:space="0" w:color="7F7F7F" w:themeColor="text1" w:themeTint="80"/>
            </w:tcBorders>
          </w:tcPr>
          <w:p w:rsidR="00900B10" w:rsidRPr="00F37ED5" w:rsidRDefault="00900B10" w:rsidP="00900B10">
            <w:pPr>
              <w:rPr>
                <w:rFonts w:ascii="Times New Roman" w:hAnsi="Times New Roman" w:cs="Times New Roman"/>
              </w:rPr>
            </w:pPr>
            <w:r w:rsidRPr="00F37ED5">
              <w:rPr>
                <w:rFonts w:ascii="Times New Roman" w:hAnsi="Times New Roman" w:cs="Times New Roman"/>
              </w:rPr>
              <w:t xml:space="preserve">10. Loss of domestic traveler expenditure outside target city </w:t>
            </w:r>
          </w:p>
        </w:tc>
        <w:tc>
          <w:tcPr>
            <w:tcW w:w="2290" w:type="dxa"/>
            <w:tcBorders>
              <w:left w:val="single" w:sz="18" w:space="0" w:color="7F7F7F" w:themeColor="text1" w:themeTint="80"/>
              <w:righ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0.0000</w:t>
            </w:r>
          </w:p>
        </w:tc>
        <w:tc>
          <w:tcPr>
            <w:tcW w:w="2290" w:type="dxa"/>
            <w:tcBorders>
              <w:left w:val="single" w:sz="18" w:space="0" w:color="7F7F7F" w:themeColor="text1" w:themeTint="80"/>
              <w:righ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0.0000</w:t>
            </w:r>
          </w:p>
        </w:tc>
        <w:tc>
          <w:tcPr>
            <w:tcW w:w="2290" w:type="dxa"/>
            <w:tcBorders>
              <w:lef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0.0000</w:t>
            </w:r>
          </w:p>
        </w:tc>
      </w:tr>
      <w:tr w:rsidR="00900B10" w:rsidTr="00900B10">
        <w:tc>
          <w:tcPr>
            <w:tcW w:w="6771" w:type="dxa"/>
            <w:tcBorders>
              <w:right w:val="single" w:sz="18" w:space="0" w:color="7F7F7F" w:themeColor="text1" w:themeTint="80"/>
            </w:tcBorders>
          </w:tcPr>
          <w:p w:rsidR="00900B10" w:rsidRPr="00F37ED5" w:rsidRDefault="00900B10" w:rsidP="00900B10">
            <w:pPr>
              <w:rPr>
                <w:rFonts w:ascii="Times New Roman" w:hAnsi="Times New Roman" w:cs="Times New Roman"/>
              </w:rPr>
            </w:pPr>
            <w:r w:rsidRPr="00F37ED5">
              <w:rPr>
                <w:rFonts w:ascii="Times New Roman" w:hAnsi="Times New Roman" w:cs="Times New Roman"/>
              </w:rPr>
              <w:t xml:space="preserve">11. Loss of food production in target state </w:t>
            </w:r>
          </w:p>
        </w:tc>
        <w:tc>
          <w:tcPr>
            <w:tcW w:w="2290" w:type="dxa"/>
            <w:tcBorders>
              <w:left w:val="single" w:sz="18" w:space="0" w:color="7F7F7F" w:themeColor="text1" w:themeTint="80"/>
              <w:righ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0.0000</w:t>
            </w:r>
          </w:p>
        </w:tc>
        <w:tc>
          <w:tcPr>
            <w:tcW w:w="2290" w:type="dxa"/>
            <w:tcBorders>
              <w:left w:val="single" w:sz="18" w:space="0" w:color="7F7F7F" w:themeColor="text1" w:themeTint="80"/>
              <w:righ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0.0000</w:t>
            </w:r>
          </w:p>
        </w:tc>
        <w:tc>
          <w:tcPr>
            <w:tcW w:w="2290" w:type="dxa"/>
            <w:tcBorders>
              <w:lef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1.3976</w:t>
            </w:r>
          </w:p>
        </w:tc>
      </w:tr>
      <w:tr w:rsidR="00900B10" w:rsidTr="00900B10">
        <w:tc>
          <w:tcPr>
            <w:tcW w:w="6771" w:type="dxa"/>
            <w:tcBorders>
              <w:right w:val="single" w:sz="18" w:space="0" w:color="7F7F7F" w:themeColor="text1" w:themeTint="80"/>
            </w:tcBorders>
          </w:tcPr>
          <w:p w:rsidR="00900B10" w:rsidRPr="00F37ED5" w:rsidRDefault="00900B10" w:rsidP="00900B10">
            <w:pPr>
              <w:rPr>
                <w:rFonts w:ascii="Times New Roman" w:hAnsi="Times New Roman" w:cs="Times New Roman"/>
              </w:rPr>
            </w:pPr>
            <w:r w:rsidRPr="00F37ED5">
              <w:rPr>
                <w:rFonts w:ascii="Times New Roman" w:hAnsi="Times New Roman" w:cs="Times New Roman"/>
              </w:rPr>
              <w:t xml:space="preserve">12. Total loss of food production in U.S. including target state </w:t>
            </w:r>
          </w:p>
        </w:tc>
        <w:tc>
          <w:tcPr>
            <w:tcW w:w="2290" w:type="dxa"/>
            <w:tcBorders>
              <w:left w:val="single" w:sz="18" w:space="0" w:color="7F7F7F" w:themeColor="text1" w:themeTint="80"/>
              <w:righ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0.0000</w:t>
            </w:r>
          </w:p>
        </w:tc>
        <w:tc>
          <w:tcPr>
            <w:tcW w:w="2290" w:type="dxa"/>
            <w:tcBorders>
              <w:left w:val="single" w:sz="18" w:space="0" w:color="7F7F7F" w:themeColor="text1" w:themeTint="80"/>
              <w:righ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0.0000</w:t>
            </w:r>
          </w:p>
        </w:tc>
        <w:tc>
          <w:tcPr>
            <w:tcW w:w="2290" w:type="dxa"/>
            <w:tcBorders>
              <w:lef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0.0195</w:t>
            </w:r>
          </w:p>
        </w:tc>
      </w:tr>
      <w:tr w:rsidR="00900B10" w:rsidTr="00900B10">
        <w:tc>
          <w:tcPr>
            <w:tcW w:w="6771" w:type="dxa"/>
            <w:tcBorders>
              <w:right w:val="single" w:sz="18" w:space="0" w:color="7F7F7F" w:themeColor="text1" w:themeTint="80"/>
            </w:tcBorders>
          </w:tcPr>
          <w:p w:rsidR="00900B10" w:rsidRPr="00F37ED5" w:rsidRDefault="00900B10" w:rsidP="00900B10">
            <w:pPr>
              <w:rPr>
                <w:rFonts w:ascii="Times New Roman" w:hAnsi="Times New Roman" w:cs="Times New Roman"/>
              </w:rPr>
            </w:pPr>
            <w:r w:rsidRPr="00F37ED5">
              <w:rPr>
                <w:rFonts w:ascii="Times New Roman" w:hAnsi="Times New Roman" w:cs="Times New Roman"/>
              </w:rPr>
              <w:t>13. Deaths &amp; serious injuries, permanent removal from work (</w:t>
            </w:r>
            <w:r>
              <w:rPr>
                <w:rFonts w:ascii="Times New Roman" w:hAnsi="Times New Roman" w:cs="Times New Roman"/>
              </w:rPr>
              <w:t>% of US population</w:t>
            </w:r>
            <w:r w:rsidRPr="00F37ED5">
              <w:rPr>
                <w:rFonts w:ascii="Times New Roman" w:hAnsi="Times New Roman" w:cs="Times New Roman"/>
              </w:rPr>
              <w:t>)</w:t>
            </w:r>
          </w:p>
        </w:tc>
        <w:tc>
          <w:tcPr>
            <w:tcW w:w="2290" w:type="dxa"/>
            <w:tcBorders>
              <w:left w:val="single" w:sz="18" w:space="0" w:color="7F7F7F" w:themeColor="text1" w:themeTint="80"/>
              <w:righ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0.0119</w:t>
            </w:r>
          </w:p>
        </w:tc>
        <w:tc>
          <w:tcPr>
            <w:tcW w:w="2290" w:type="dxa"/>
            <w:tcBorders>
              <w:left w:val="single" w:sz="18" w:space="0" w:color="7F7F7F" w:themeColor="text1" w:themeTint="80"/>
              <w:righ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0.0005</w:t>
            </w:r>
          </w:p>
        </w:tc>
        <w:tc>
          <w:tcPr>
            <w:tcW w:w="2290" w:type="dxa"/>
            <w:tcBorders>
              <w:lef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0.0002</w:t>
            </w:r>
          </w:p>
        </w:tc>
      </w:tr>
      <w:tr w:rsidR="00900B10" w:rsidTr="00900B10">
        <w:tc>
          <w:tcPr>
            <w:tcW w:w="6771" w:type="dxa"/>
            <w:tcBorders>
              <w:right w:val="single" w:sz="18" w:space="0" w:color="7F7F7F" w:themeColor="text1" w:themeTint="80"/>
            </w:tcBorders>
          </w:tcPr>
          <w:p w:rsidR="00900B10" w:rsidRPr="007312B6" w:rsidRDefault="00900B10" w:rsidP="00900B10">
            <w:pPr>
              <w:rPr>
                <w:rFonts w:ascii="Times New Roman" w:hAnsi="Times New Roman" w:cs="Times New Roman"/>
              </w:rPr>
            </w:pPr>
            <w:r w:rsidRPr="007312B6">
              <w:rPr>
                <w:rFonts w:ascii="Times New Roman" w:hAnsi="Times New Roman" w:cs="Times New Roman"/>
              </w:rPr>
              <w:t>14. Aversion, per cent reduction in labor supply to target region</w:t>
            </w:r>
          </w:p>
        </w:tc>
        <w:tc>
          <w:tcPr>
            <w:tcW w:w="2290" w:type="dxa"/>
            <w:tcBorders>
              <w:left w:val="single" w:sz="18" w:space="0" w:color="7F7F7F" w:themeColor="text1" w:themeTint="80"/>
              <w:righ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0.0000</w:t>
            </w:r>
          </w:p>
        </w:tc>
        <w:tc>
          <w:tcPr>
            <w:tcW w:w="2290" w:type="dxa"/>
            <w:tcBorders>
              <w:left w:val="single" w:sz="18" w:space="0" w:color="7F7F7F" w:themeColor="text1" w:themeTint="80"/>
              <w:righ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10.0000</w:t>
            </w:r>
          </w:p>
        </w:tc>
        <w:tc>
          <w:tcPr>
            <w:tcW w:w="2290" w:type="dxa"/>
            <w:tcBorders>
              <w:left w:val="single" w:sz="18" w:space="0" w:color="7F7F7F" w:themeColor="text1" w:themeTint="80"/>
            </w:tcBorders>
            <w:vAlign w:val="bottom"/>
          </w:tcPr>
          <w:p w:rsidR="00900B10" w:rsidRDefault="00900B10" w:rsidP="00900B10">
            <w:pPr>
              <w:tabs>
                <w:tab w:val="decimal" w:pos="1018"/>
              </w:tabs>
              <w:rPr>
                <w:rFonts w:ascii="Calibri" w:hAnsi="Calibri"/>
                <w:color w:val="000000"/>
              </w:rPr>
            </w:pPr>
            <w:r>
              <w:rPr>
                <w:rFonts w:ascii="Calibri" w:hAnsi="Calibri"/>
                <w:color w:val="000000"/>
              </w:rPr>
              <w:t>0.0000</w:t>
            </w:r>
          </w:p>
        </w:tc>
      </w:tr>
      <w:tr w:rsidR="00900B10" w:rsidTr="00900B10">
        <w:tc>
          <w:tcPr>
            <w:tcW w:w="6771" w:type="dxa"/>
            <w:tcBorders>
              <w:bottom w:val="single" w:sz="18" w:space="0" w:color="7F7F7F" w:themeColor="text1" w:themeTint="80"/>
              <w:right w:val="single" w:sz="18" w:space="0" w:color="7F7F7F" w:themeColor="text1" w:themeTint="80"/>
            </w:tcBorders>
          </w:tcPr>
          <w:p w:rsidR="00900B10" w:rsidRDefault="00900B10" w:rsidP="00900B10">
            <w:pPr>
              <w:rPr>
                <w:rFonts w:ascii="Times New Roman" w:hAnsi="Times New Roman" w:cs="Times New Roman"/>
                <w:sz w:val="24"/>
                <w:szCs w:val="24"/>
              </w:rPr>
            </w:pPr>
          </w:p>
        </w:tc>
        <w:tc>
          <w:tcPr>
            <w:tcW w:w="2290" w:type="dxa"/>
            <w:tcBorders>
              <w:left w:val="single" w:sz="18" w:space="0" w:color="7F7F7F" w:themeColor="text1" w:themeTint="80"/>
              <w:bottom w:val="single" w:sz="18" w:space="0" w:color="7F7F7F" w:themeColor="text1" w:themeTint="80"/>
              <w:right w:val="single" w:sz="18" w:space="0" w:color="7F7F7F" w:themeColor="text1" w:themeTint="80"/>
            </w:tcBorders>
            <w:vAlign w:val="center"/>
          </w:tcPr>
          <w:p w:rsidR="00900B10" w:rsidRPr="006D5122" w:rsidRDefault="00900B10" w:rsidP="00900B10">
            <w:pPr>
              <w:jc w:val="center"/>
              <w:rPr>
                <w:rFonts w:ascii="Times New Roman" w:hAnsi="Times New Roman" w:cs="Times New Roman"/>
                <w:color w:val="000000"/>
                <w:sz w:val="20"/>
                <w:szCs w:val="20"/>
              </w:rPr>
            </w:pPr>
            <w:r w:rsidRPr="006D5122">
              <w:rPr>
                <w:rFonts w:ascii="Times New Roman" w:hAnsi="Times New Roman" w:cs="Times New Roman"/>
                <w:color w:val="000000"/>
                <w:sz w:val="20"/>
                <w:szCs w:val="20"/>
              </w:rPr>
              <w:t> </w:t>
            </w:r>
          </w:p>
        </w:tc>
        <w:tc>
          <w:tcPr>
            <w:tcW w:w="2290" w:type="dxa"/>
            <w:tcBorders>
              <w:left w:val="single" w:sz="18" w:space="0" w:color="7F7F7F" w:themeColor="text1" w:themeTint="80"/>
              <w:bottom w:val="single" w:sz="18" w:space="0" w:color="7F7F7F" w:themeColor="text1" w:themeTint="80"/>
              <w:right w:val="single" w:sz="18" w:space="0" w:color="7F7F7F" w:themeColor="text1" w:themeTint="80"/>
            </w:tcBorders>
            <w:vAlign w:val="center"/>
          </w:tcPr>
          <w:p w:rsidR="00900B10" w:rsidRPr="006D5122" w:rsidRDefault="00900B10" w:rsidP="00900B10">
            <w:pPr>
              <w:jc w:val="center"/>
              <w:rPr>
                <w:rFonts w:ascii="Times New Roman" w:hAnsi="Times New Roman" w:cs="Times New Roman"/>
                <w:color w:val="000000"/>
                <w:sz w:val="20"/>
                <w:szCs w:val="20"/>
              </w:rPr>
            </w:pPr>
            <w:r w:rsidRPr="006D5122">
              <w:rPr>
                <w:rFonts w:ascii="Times New Roman" w:hAnsi="Times New Roman" w:cs="Times New Roman"/>
                <w:color w:val="000000"/>
                <w:sz w:val="20"/>
                <w:szCs w:val="20"/>
              </w:rPr>
              <w:t> </w:t>
            </w:r>
          </w:p>
        </w:tc>
        <w:tc>
          <w:tcPr>
            <w:tcW w:w="2290" w:type="dxa"/>
            <w:tcBorders>
              <w:left w:val="single" w:sz="18" w:space="0" w:color="7F7F7F" w:themeColor="text1" w:themeTint="80"/>
              <w:bottom w:val="single" w:sz="18" w:space="0" w:color="7F7F7F" w:themeColor="text1" w:themeTint="80"/>
            </w:tcBorders>
            <w:vAlign w:val="center"/>
          </w:tcPr>
          <w:p w:rsidR="00900B10" w:rsidRPr="006D5122" w:rsidRDefault="00900B10" w:rsidP="00900B10">
            <w:pPr>
              <w:jc w:val="center"/>
              <w:rPr>
                <w:rFonts w:ascii="Times New Roman" w:hAnsi="Times New Roman" w:cs="Times New Roman"/>
                <w:color w:val="000000"/>
                <w:sz w:val="20"/>
                <w:szCs w:val="20"/>
              </w:rPr>
            </w:pPr>
            <w:r w:rsidRPr="006D5122">
              <w:rPr>
                <w:rFonts w:ascii="Times New Roman" w:hAnsi="Times New Roman" w:cs="Times New Roman"/>
                <w:color w:val="000000"/>
                <w:sz w:val="20"/>
                <w:szCs w:val="20"/>
              </w:rPr>
              <w:t> </w:t>
            </w:r>
          </w:p>
        </w:tc>
      </w:tr>
    </w:tbl>
    <w:p w:rsidR="00900B10" w:rsidRDefault="00900B10" w:rsidP="00900B10">
      <w:pPr>
        <w:rPr>
          <w:rFonts w:ascii="Times New Roman" w:hAnsi="Times New Roman" w:cs="Times New Roman"/>
          <w:b/>
          <w:i/>
          <w:sz w:val="24"/>
          <w:szCs w:val="24"/>
        </w:rPr>
      </w:pPr>
      <w:r>
        <w:rPr>
          <w:rFonts w:ascii="Times New Roman" w:hAnsi="Times New Roman" w:cs="Times New Roman"/>
          <w:b/>
          <w:i/>
          <w:sz w:val="24"/>
          <w:szCs w:val="24"/>
        </w:rPr>
        <w:br w:type="page"/>
      </w:r>
    </w:p>
    <w:p w:rsidR="00900B10" w:rsidRDefault="00900B10" w:rsidP="00900B10">
      <w:pPr>
        <w:jc w:val="center"/>
        <w:rPr>
          <w:rFonts w:ascii="Times New Roman" w:hAnsi="Times New Roman" w:cs="Times New Roman"/>
          <w:b/>
          <w:i/>
          <w:color w:val="FF0000"/>
          <w:sz w:val="24"/>
          <w:szCs w:val="24"/>
        </w:rPr>
      </w:pPr>
      <w:r>
        <w:rPr>
          <w:rFonts w:ascii="Times New Roman" w:hAnsi="Times New Roman" w:cs="Times New Roman"/>
          <w:b/>
          <w:i/>
          <w:sz w:val="24"/>
          <w:szCs w:val="24"/>
        </w:rPr>
        <w:lastRenderedPageBreak/>
        <w:t xml:space="preserve">Table 7.3.  Three example scenarios in percentage change form for target region </w:t>
      </w:r>
      <w:r>
        <w:rPr>
          <w:rFonts w:ascii="Times New Roman" w:hAnsi="Times New Roman" w:cs="Times New Roman"/>
          <w:b/>
          <w:i/>
          <w:color w:val="FF0000"/>
          <w:sz w:val="24"/>
          <w:szCs w:val="24"/>
        </w:rPr>
        <w:t>CA3</w:t>
      </w:r>
      <w:r w:rsidRPr="009253EE">
        <w:rPr>
          <w:rFonts w:ascii="Times New Roman" w:hAnsi="Times New Roman" w:cs="Times New Roman"/>
          <w:b/>
          <w:i/>
          <w:color w:val="FF0000"/>
          <w:sz w:val="24"/>
          <w:szCs w:val="24"/>
        </w:rPr>
        <w:t>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2268"/>
        <w:gridCol w:w="2325"/>
        <w:gridCol w:w="2352"/>
      </w:tblGrid>
      <w:tr w:rsidR="00900B10" w:rsidRPr="003F32A9" w:rsidTr="00900B10">
        <w:tc>
          <w:tcPr>
            <w:tcW w:w="6771" w:type="dxa"/>
            <w:tcBorders>
              <w:top w:val="single" w:sz="18" w:space="0" w:color="595959" w:themeColor="text1" w:themeTint="A6"/>
              <w:bottom w:val="single" w:sz="18" w:space="0" w:color="595959" w:themeColor="text1" w:themeTint="A6"/>
              <w:right w:val="single" w:sz="18" w:space="0" w:color="595959" w:themeColor="text1" w:themeTint="A6"/>
            </w:tcBorders>
          </w:tcPr>
          <w:p w:rsidR="00900B10" w:rsidRPr="00936095" w:rsidRDefault="00900B10" w:rsidP="00900B10">
            <w:pPr>
              <w:rPr>
                <w:rFonts w:ascii="Times New Roman" w:hAnsi="Times New Roman" w:cs="Times New Roman"/>
                <w:b/>
              </w:rPr>
            </w:pPr>
            <w:r w:rsidRPr="00936095">
              <w:rPr>
                <w:rFonts w:ascii="Times New Roman" w:hAnsi="Times New Roman" w:cs="Times New Roman"/>
                <w:b/>
              </w:rPr>
              <w:t>Driving factors</w:t>
            </w:r>
          </w:p>
        </w:tc>
        <w:tc>
          <w:tcPr>
            <w:tcW w:w="2268" w:type="dxa"/>
            <w:tc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cBorders>
          </w:tcPr>
          <w:p w:rsidR="00900B10" w:rsidRPr="00936095" w:rsidRDefault="00900B10" w:rsidP="00900B10">
            <w:pPr>
              <w:jc w:val="center"/>
              <w:rPr>
                <w:rFonts w:ascii="Times New Roman" w:hAnsi="Times New Roman" w:cs="Times New Roman"/>
                <w:b/>
              </w:rPr>
            </w:pPr>
            <w:r w:rsidRPr="00936095">
              <w:rPr>
                <w:rFonts w:ascii="Times New Roman" w:hAnsi="Times New Roman" w:cs="Times New Roman"/>
                <w:b/>
              </w:rPr>
              <w:t>S1: Epidemic</w:t>
            </w:r>
          </w:p>
          <w:p w:rsidR="00900B10" w:rsidRPr="00936095" w:rsidRDefault="00900B10" w:rsidP="00900B10">
            <w:pPr>
              <w:jc w:val="center"/>
              <w:rPr>
                <w:rFonts w:ascii="Times New Roman" w:hAnsi="Times New Roman" w:cs="Times New Roman"/>
                <w:b/>
              </w:rPr>
            </w:pPr>
            <w:r w:rsidRPr="00936095">
              <w:rPr>
                <w:rFonts w:ascii="Times New Roman" w:hAnsi="Times New Roman" w:cs="Times New Roman"/>
                <w:b/>
              </w:rPr>
              <w:t>(</w:t>
            </w:r>
            <w:r w:rsidRPr="00936095">
              <w:rPr>
                <w:rFonts w:ascii="Times New Roman" w:hAnsi="Times New Roman" w:cs="Times New Roman"/>
                <w:b/>
                <w:i/>
              </w:rPr>
              <w:t>death, health &amp; tourism scare</w:t>
            </w:r>
            <w:r w:rsidRPr="00936095">
              <w:rPr>
                <w:rFonts w:ascii="Times New Roman" w:hAnsi="Times New Roman" w:cs="Times New Roman"/>
                <w:b/>
              </w:rPr>
              <w:t>)</w:t>
            </w:r>
          </w:p>
          <w:p w:rsidR="00900B10" w:rsidRPr="00936095" w:rsidRDefault="00900B10" w:rsidP="00900B10">
            <w:pPr>
              <w:jc w:val="center"/>
              <w:rPr>
                <w:rFonts w:ascii="Times New Roman" w:hAnsi="Times New Roman" w:cs="Times New Roman"/>
                <w:b/>
              </w:rPr>
            </w:pPr>
          </w:p>
        </w:tc>
        <w:tc>
          <w:tcPr>
            <w:tcW w:w="2325" w:type="dxa"/>
            <w:tc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tcBorders>
          </w:tcPr>
          <w:p w:rsidR="00900B10" w:rsidRDefault="00900B10" w:rsidP="00900B10">
            <w:pPr>
              <w:jc w:val="center"/>
              <w:rPr>
                <w:rFonts w:ascii="Times New Roman" w:hAnsi="Times New Roman" w:cs="Times New Roman"/>
                <w:b/>
                <w:sz w:val="24"/>
                <w:szCs w:val="24"/>
              </w:rPr>
            </w:pPr>
            <w:r w:rsidRPr="003F32A9">
              <w:rPr>
                <w:rFonts w:ascii="Times New Roman" w:hAnsi="Times New Roman" w:cs="Times New Roman"/>
                <w:b/>
                <w:sz w:val="24"/>
                <w:szCs w:val="24"/>
              </w:rPr>
              <w:t>S</w:t>
            </w:r>
            <w:r>
              <w:rPr>
                <w:rFonts w:ascii="Times New Roman" w:hAnsi="Times New Roman" w:cs="Times New Roman"/>
                <w:b/>
                <w:sz w:val="24"/>
                <w:szCs w:val="24"/>
              </w:rPr>
              <w:t>2</w:t>
            </w:r>
            <w:r w:rsidRPr="003F32A9">
              <w:rPr>
                <w:rFonts w:ascii="Times New Roman" w:hAnsi="Times New Roman" w:cs="Times New Roman"/>
                <w:b/>
                <w:sz w:val="24"/>
                <w:szCs w:val="24"/>
              </w:rPr>
              <w:t>:</w:t>
            </w:r>
            <w:r>
              <w:rPr>
                <w:rFonts w:ascii="Times New Roman" w:hAnsi="Times New Roman" w:cs="Times New Roman"/>
                <w:b/>
                <w:sz w:val="24"/>
                <w:szCs w:val="24"/>
              </w:rPr>
              <w:t xml:space="preserve">  Dirty bomb</w:t>
            </w:r>
          </w:p>
          <w:p w:rsidR="00900B10" w:rsidRPr="003F32A9" w:rsidRDefault="00900B10" w:rsidP="00900B10">
            <w:pPr>
              <w:jc w:val="center"/>
              <w:rPr>
                <w:rFonts w:ascii="Times New Roman" w:hAnsi="Times New Roman" w:cs="Times New Roman"/>
                <w:b/>
                <w:sz w:val="24"/>
                <w:szCs w:val="24"/>
              </w:rPr>
            </w:pPr>
            <w:r>
              <w:rPr>
                <w:rFonts w:ascii="Times New Roman" w:hAnsi="Times New Roman" w:cs="Times New Roman"/>
                <w:b/>
                <w:sz w:val="24"/>
                <w:szCs w:val="24"/>
              </w:rPr>
              <w:t>(</w:t>
            </w:r>
            <w:r w:rsidRPr="003F32A9">
              <w:rPr>
                <w:rFonts w:ascii="Times New Roman" w:hAnsi="Times New Roman" w:cs="Times New Roman"/>
                <w:b/>
                <w:i/>
                <w:sz w:val="20"/>
                <w:szCs w:val="20"/>
              </w:rPr>
              <w:t>decontamination  &amp; aversion</w:t>
            </w:r>
            <w:r>
              <w:rPr>
                <w:rFonts w:ascii="Times New Roman" w:hAnsi="Times New Roman" w:cs="Times New Roman"/>
                <w:b/>
                <w:sz w:val="24"/>
                <w:szCs w:val="24"/>
              </w:rPr>
              <w:t>)</w:t>
            </w:r>
          </w:p>
        </w:tc>
        <w:tc>
          <w:tcPr>
            <w:tcW w:w="2352" w:type="dxa"/>
            <w:tcBorders>
              <w:top w:val="single" w:sz="18" w:space="0" w:color="595959" w:themeColor="text1" w:themeTint="A6"/>
              <w:left w:val="single" w:sz="18" w:space="0" w:color="595959" w:themeColor="text1" w:themeTint="A6"/>
              <w:bottom w:val="single" w:sz="18" w:space="0" w:color="595959" w:themeColor="text1" w:themeTint="A6"/>
            </w:tcBorders>
          </w:tcPr>
          <w:p w:rsidR="00900B10" w:rsidRPr="003F32A9" w:rsidRDefault="00900B10" w:rsidP="00900B10">
            <w:pPr>
              <w:jc w:val="center"/>
              <w:rPr>
                <w:rFonts w:ascii="Times New Roman" w:hAnsi="Times New Roman" w:cs="Times New Roman"/>
                <w:b/>
              </w:rPr>
            </w:pPr>
            <w:r>
              <w:rPr>
                <w:rFonts w:ascii="Times New Roman" w:hAnsi="Times New Roman" w:cs="Times New Roman"/>
                <w:b/>
              </w:rPr>
              <w:t>S2: Food contamination</w:t>
            </w:r>
          </w:p>
        </w:tc>
      </w:tr>
      <w:tr w:rsidR="00900B10" w:rsidTr="00900B10">
        <w:tc>
          <w:tcPr>
            <w:tcW w:w="6771" w:type="dxa"/>
            <w:tcBorders>
              <w:top w:val="single" w:sz="18" w:space="0" w:color="595959" w:themeColor="text1" w:themeTint="A6"/>
              <w:right w:val="single" w:sz="18" w:space="0" w:color="595959" w:themeColor="text1" w:themeTint="A6"/>
            </w:tcBorders>
          </w:tcPr>
          <w:p w:rsidR="00900B10" w:rsidRPr="00F37ED5" w:rsidRDefault="00900B10" w:rsidP="00900B10">
            <w:pPr>
              <w:tabs>
                <w:tab w:val="left" w:pos="146"/>
                <w:tab w:val="left" w:pos="438"/>
              </w:tabs>
              <w:rPr>
                <w:rFonts w:ascii="Times New Roman" w:hAnsi="Times New Roman" w:cs="Times New Roman"/>
              </w:rPr>
            </w:pPr>
            <w:r w:rsidRPr="00F37ED5">
              <w:rPr>
                <w:rFonts w:ascii="Times New Roman" w:hAnsi="Times New Roman" w:cs="Times New Roman"/>
              </w:rPr>
              <w:t xml:space="preserve">1.  Value of capital taken out of use </w:t>
            </w:r>
            <w:r>
              <w:rPr>
                <w:rFonts w:ascii="Times New Roman" w:hAnsi="Times New Roman" w:cs="Times New Roman"/>
              </w:rPr>
              <w:t xml:space="preserve">in target region </w:t>
            </w:r>
          </w:p>
        </w:tc>
        <w:tc>
          <w:tcPr>
            <w:tcW w:w="2268" w:type="dxa"/>
            <w:tcBorders>
              <w:top w:val="single" w:sz="18" w:space="0" w:color="595959" w:themeColor="text1" w:themeTint="A6"/>
              <w:left w:val="single" w:sz="18" w:space="0" w:color="595959" w:themeColor="text1" w:themeTint="A6"/>
              <w:righ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0.0000</w:t>
            </w:r>
          </w:p>
        </w:tc>
        <w:tc>
          <w:tcPr>
            <w:tcW w:w="2325" w:type="dxa"/>
            <w:tcBorders>
              <w:top w:val="single" w:sz="18" w:space="0" w:color="595959" w:themeColor="text1" w:themeTint="A6"/>
              <w:left w:val="single" w:sz="18" w:space="0" w:color="595959" w:themeColor="text1" w:themeTint="A6"/>
              <w:righ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2.1222</w:t>
            </w:r>
          </w:p>
        </w:tc>
        <w:tc>
          <w:tcPr>
            <w:tcW w:w="2352" w:type="dxa"/>
            <w:tcBorders>
              <w:top w:val="single" w:sz="18" w:space="0" w:color="595959" w:themeColor="text1" w:themeTint="A6"/>
              <w:lef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0.0000</w:t>
            </w:r>
          </w:p>
        </w:tc>
      </w:tr>
      <w:tr w:rsidR="00900B10" w:rsidTr="00900B10">
        <w:tc>
          <w:tcPr>
            <w:tcW w:w="6771" w:type="dxa"/>
            <w:tcBorders>
              <w:right w:val="single" w:sz="18" w:space="0" w:color="595959" w:themeColor="text1" w:themeTint="A6"/>
            </w:tcBorders>
          </w:tcPr>
          <w:p w:rsidR="00900B10" w:rsidRPr="00F37ED5" w:rsidRDefault="00900B10" w:rsidP="00900B10">
            <w:pPr>
              <w:tabs>
                <w:tab w:val="left" w:pos="146"/>
                <w:tab w:val="left" w:pos="438"/>
              </w:tabs>
              <w:rPr>
                <w:rFonts w:ascii="Times New Roman" w:hAnsi="Times New Roman" w:cs="Times New Roman"/>
              </w:rPr>
            </w:pPr>
            <w:r w:rsidRPr="00F37ED5">
              <w:rPr>
                <w:rFonts w:ascii="Times New Roman" w:hAnsi="Times New Roman" w:cs="Times New Roman"/>
              </w:rPr>
              <w:t>2.  Value of capital returned to use after 1yr</w:t>
            </w:r>
            <w:r>
              <w:rPr>
                <w:rFonts w:ascii="Times New Roman" w:hAnsi="Times New Roman" w:cs="Times New Roman"/>
              </w:rPr>
              <w:t xml:space="preserve"> in target region</w:t>
            </w:r>
            <w:r w:rsidRPr="00F37ED5">
              <w:rPr>
                <w:rFonts w:ascii="Times New Roman" w:hAnsi="Times New Roman" w:cs="Times New Roman"/>
              </w:rPr>
              <w:t xml:space="preserve"> </w:t>
            </w:r>
          </w:p>
        </w:tc>
        <w:tc>
          <w:tcPr>
            <w:tcW w:w="2268" w:type="dxa"/>
            <w:tcBorders>
              <w:left w:val="single" w:sz="18" w:space="0" w:color="595959" w:themeColor="text1" w:themeTint="A6"/>
              <w:righ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0.0000</w:t>
            </w:r>
          </w:p>
        </w:tc>
        <w:tc>
          <w:tcPr>
            <w:tcW w:w="2325" w:type="dxa"/>
            <w:tcBorders>
              <w:left w:val="single" w:sz="18" w:space="0" w:color="595959" w:themeColor="text1" w:themeTint="A6"/>
              <w:righ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2.1222</w:t>
            </w:r>
          </w:p>
        </w:tc>
        <w:tc>
          <w:tcPr>
            <w:tcW w:w="2352" w:type="dxa"/>
            <w:tcBorders>
              <w:lef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0.0000</w:t>
            </w:r>
          </w:p>
        </w:tc>
      </w:tr>
      <w:tr w:rsidR="00900B10" w:rsidTr="00900B10">
        <w:tc>
          <w:tcPr>
            <w:tcW w:w="6771" w:type="dxa"/>
            <w:tcBorders>
              <w:right w:val="single" w:sz="18" w:space="0" w:color="595959" w:themeColor="text1" w:themeTint="A6"/>
            </w:tcBorders>
          </w:tcPr>
          <w:p w:rsidR="00900B10" w:rsidRPr="00F37ED5" w:rsidRDefault="00900B10" w:rsidP="00900B10">
            <w:pPr>
              <w:tabs>
                <w:tab w:val="left" w:pos="146"/>
                <w:tab w:val="left" w:pos="438"/>
              </w:tabs>
              <w:rPr>
                <w:rFonts w:ascii="Times New Roman" w:hAnsi="Times New Roman" w:cs="Times New Roman"/>
              </w:rPr>
            </w:pPr>
            <w:r w:rsidRPr="00F37ED5">
              <w:rPr>
                <w:rFonts w:ascii="Times New Roman" w:hAnsi="Times New Roman" w:cs="Times New Roman"/>
              </w:rPr>
              <w:t xml:space="preserve">3.  Public </w:t>
            </w:r>
            <w:r>
              <w:rPr>
                <w:rFonts w:ascii="Times New Roman" w:hAnsi="Times New Roman" w:cs="Times New Roman"/>
              </w:rPr>
              <w:t xml:space="preserve">expenditure in target city, </w:t>
            </w:r>
            <w:r w:rsidR="00B6529C">
              <w:rPr>
                <w:rFonts w:ascii="Times New Roman" w:hAnsi="Times New Roman" w:cs="Times New Roman"/>
              </w:rPr>
              <w:t>clean-up</w:t>
            </w:r>
            <w:r w:rsidRPr="00F37ED5">
              <w:rPr>
                <w:rFonts w:ascii="Times New Roman" w:hAnsi="Times New Roman" w:cs="Times New Roman"/>
              </w:rPr>
              <w:t xml:space="preserve"> </w:t>
            </w:r>
          </w:p>
        </w:tc>
        <w:tc>
          <w:tcPr>
            <w:tcW w:w="2268" w:type="dxa"/>
            <w:tcBorders>
              <w:left w:val="single" w:sz="18" w:space="0" w:color="595959" w:themeColor="text1" w:themeTint="A6"/>
              <w:righ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0.6185</w:t>
            </w:r>
          </w:p>
        </w:tc>
        <w:tc>
          <w:tcPr>
            <w:tcW w:w="2325" w:type="dxa"/>
            <w:tcBorders>
              <w:left w:val="single" w:sz="18" w:space="0" w:color="595959" w:themeColor="text1" w:themeTint="A6"/>
              <w:righ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98.5943</w:t>
            </w:r>
          </w:p>
        </w:tc>
        <w:tc>
          <w:tcPr>
            <w:tcW w:w="2352" w:type="dxa"/>
            <w:tcBorders>
              <w:lef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0.0764</w:t>
            </w:r>
          </w:p>
        </w:tc>
      </w:tr>
      <w:tr w:rsidR="00900B10" w:rsidTr="00900B10">
        <w:tc>
          <w:tcPr>
            <w:tcW w:w="6771" w:type="dxa"/>
            <w:tcBorders>
              <w:right w:val="single" w:sz="18" w:space="0" w:color="595959" w:themeColor="text1" w:themeTint="A6"/>
            </w:tcBorders>
          </w:tcPr>
          <w:p w:rsidR="00900B10" w:rsidRPr="00F37ED5" w:rsidRDefault="00900B10" w:rsidP="00900B10">
            <w:pPr>
              <w:tabs>
                <w:tab w:val="left" w:pos="146"/>
                <w:tab w:val="left" w:pos="438"/>
              </w:tabs>
              <w:rPr>
                <w:rFonts w:ascii="Times New Roman" w:hAnsi="Times New Roman" w:cs="Times New Roman"/>
              </w:rPr>
            </w:pPr>
            <w:r w:rsidRPr="00F37ED5">
              <w:rPr>
                <w:rFonts w:ascii="Times New Roman" w:hAnsi="Times New Roman" w:cs="Times New Roman"/>
              </w:rPr>
              <w:t xml:space="preserve">4.  Public sector health expenditures </w:t>
            </w:r>
          </w:p>
        </w:tc>
        <w:tc>
          <w:tcPr>
            <w:tcW w:w="2268" w:type="dxa"/>
            <w:tcBorders>
              <w:left w:val="single" w:sz="18" w:space="0" w:color="595959" w:themeColor="text1" w:themeTint="A6"/>
              <w:righ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60.5861</w:t>
            </w:r>
          </w:p>
        </w:tc>
        <w:tc>
          <w:tcPr>
            <w:tcW w:w="2325" w:type="dxa"/>
            <w:tcBorders>
              <w:left w:val="single" w:sz="18" w:space="0" w:color="595959" w:themeColor="text1" w:themeTint="A6"/>
              <w:righ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2.5362</w:t>
            </w:r>
          </w:p>
        </w:tc>
        <w:tc>
          <w:tcPr>
            <w:tcW w:w="2352" w:type="dxa"/>
            <w:tcBorders>
              <w:lef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1.2895</w:t>
            </w:r>
          </w:p>
        </w:tc>
      </w:tr>
      <w:tr w:rsidR="00900B10" w:rsidTr="00900B10">
        <w:tc>
          <w:tcPr>
            <w:tcW w:w="6771" w:type="dxa"/>
            <w:tcBorders>
              <w:right w:val="single" w:sz="18" w:space="0" w:color="595959" w:themeColor="text1" w:themeTint="A6"/>
            </w:tcBorders>
          </w:tcPr>
          <w:p w:rsidR="00900B10" w:rsidRPr="00F37ED5" w:rsidRDefault="00900B10" w:rsidP="00900B10">
            <w:pPr>
              <w:tabs>
                <w:tab w:val="left" w:pos="146"/>
                <w:tab w:val="left" w:pos="438"/>
              </w:tabs>
              <w:rPr>
                <w:rFonts w:ascii="Times New Roman" w:hAnsi="Times New Roman" w:cs="Times New Roman"/>
              </w:rPr>
            </w:pPr>
            <w:r w:rsidRPr="00F37ED5">
              <w:rPr>
                <w:rFonts w:ascii="Times New Roman" w:hAnsi="Times New Roman" w:cs="Times New Roman"/>
              </w:rPr>
              <w:t xml:space="preserve">5.  Accommodation expenses in target city </w:t>
            </w:r>
            <w:r>
              <w:rPr>
                <w:rFonts w:ascii="Times New Roman" w:hAnsi="Times New Roman" w:cs="Times New Roman"/>
              </w:rPr>
              <w:t>(% of h’hold expenditure on hotels &amp; restaurants in target city</w:t>
            </w:r>
            <w:r w:rsidRPr="00F37ED5">
              <w:rPr>
                <w:rFonts w:ascii="Times New Roman" w:hAnsi="Times New Roman" w:cs="Times New Roman"/>
              </w:rPr>
              <w:t>)</w:t>
            </w:r>
          </w:p>
        </w:tc>
        <w:tc>
          <w:tcPr>
            <w:tcW w:w="2268" w:type="dxa"/>
            <w:tcBorders>
              <w:left w:val="single" w:sz="18" w:space="0" w:color="595959" w:themeColor="text1" w:themeTint="A6"/>
              <w:righ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0.0000</w:t>
            </w:r>
          </w:p>
        </w:tc>
        <w:tc>
          <w:tcPr>
            <w:tcW w:w="2325" w:type="dxa"/>
            <w:tcBorders>
              <w:left w:val="single" w:sz="18" w:space="0" w:color="595959" w:themeColor="text1" w:themeTint="A6"/>
              <w:righ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1.3123</w:t>
            </w:r>
          </w:p>
        </w:tc>
        <w:tc>
          <w:tcPr>
            <w:tcW w:w="2352" w:type="dxa"/>
            <w:tcBorders>
              <w:lef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0.0000</w:t>
            </w:r>
          </w:p>
        </w:tc>
      </w:tr>
      <w:tr w:rsidR="00900B10" w:rsidTr="00900B10">
        <w:tc>
          <w:tcPr>
            <w:tcW w:w="6771" w:type="dxa"/>
            <w:tcBorders>
              <w:right w:val="single" w:sz="18" w:space="0" w:color="595959" w:themeColor="text1" w:themeTint="A6"/>
            </w:tcBorders>
          </w:tcPr>
          <w:p w:rsidR="00900B10" w:rsidRPr="00F37ED5" w:rsidRDefault="00900B10" w:rsidP="00900B10">
            <w:pPr>
              <w:tabs>
                <w:tab w:val="left" w:pos="146"/>
                <w:tab w:val="left" w:pos="438"/>
              </w:tabs>
              <w:rPr>
                <w:rFonts w:ascii="Times New Roman" w:hAnsi="Times New Roman" w:cs="Times New Roman"/>
              </w:rPr>
            </w:pPr>
            <w:r w:rsidRPr="00F37ED5">
              <w:rPr>
                <w:rFonts w:ascii="Times New Roman" w:hAnsi="Times New Roman" w:cs="Times New Roman"/>
              </w:rPr>
              <w:t xml:space="preserve">6.  Accommodation expenses outside target city </w:t>
            </w:r>
            <w:r>
              <w:rPr>
                <w:rFonts w:ascii="Times New Roman" w:hAnsi="Times New Roman" w:cs="Times New Roman"/>
              </w:rPr>
              <w:t>(% of h’hold expenditure on hotels &amp; restaurants outside target city</w:t>
            </w:r>
            <w:r w:rsidRPr="00F37ED5">
              <w:rPr>
                <w:rFonts w:ascii="Times New Roman" w:hAnsi="Times New Roman" w:cs="Times New Roman"/>
              </w:rPr>
              <w:t>)</w:t>
            </w:r>
          </w:p>
        </w:tc>
        <w:tc>
          <w:tcPr>
            <w:tcW w:w="2268" w:type="dxa"/>
            <w:tcBorders>
              <w:left w:val="single" w:sz="18" w:space="0" w:color="595959" w:themeColor="text1" w:themeTint="A6"/>
              <w:righ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0.0000</w:t>
            </w:r>
          </w:p>
        </w:tc>
        <w:tc>
          <w:tcPr>
            <w:tcW w:w="2325" w:type="dxa"/>
            <w:tcBorders>
              <w:left w:val="single" w:sz="18" w:space="0" w:color="595959" w:themeColor="text1" w:themeTint="A6"/>
              <w:righ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0.0502</w:t>
            </w:r>
          </w:p>
        </w:tc>
        <w:tc>
          <w:tcPr>
            <w:tcW w:w="2352" w:type="dxa"/>
            <w:tcBorders>
              <w:lef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0.0000</w:t>
            </w:r>
          </w:p>
        </w:tc>
      </w:tr>
      <w:tr w:rsidR="00900B10" w:rsidTr="00900B10">
        <w:tc>
          <w:tcPr>
            <w:tcW w:w="6771" w:type="dxa"/>
            <w:tcBorders>
              <w:right w:val="single" w:sz="18" w:space="0" w:color="595959" w:themeColor="text1" w:themeTint="A6"/>
            </w:tcBorders>
          </w:tcPr>
          <w:p w:rsidR="00900B10" w:rsidRPr="00F37ED5" w:rsidRDefault="00900B10" w:rsidP="00900B10">
            <w:pPr>
              <w:tabs>
                <w:tab w:val="left" w:pos="146"/>
                <w:tab w:val="left" w:pos="438"/>
              </w:tabs>
              <w:rPr>
                <w:rFonts w:ascii="Times New Roman" w:hAnsi="Times New Roman" w:cs="Times New Roman"/>
              </w:rPr>
            </w:pPr>
            <w:r w:rsidRPr="00F37ED5">
              <w:rPr>
                <w:rFonts w:ascii="Times New Roman" w:hAnsi="Times New Roman" w:cs="Times New Roman"/>
              </w:rPr>
              <w:t xml:space="preserve">7.  Loss of foreign visitor expenditure in target city </w:t>
            </w:r>
          </w:p>
        </w:tc>
        <w:tc>
          <w:tcPr>
            <w:tcW w:w="2268" w:type="dxa"/>
            <w:tcBorders>
              <w:left w:val="single" w:sz="18" w:space="0" w:color="595959" w:themeColor="text1" w:themeTint="A6"/>
              <w:righ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62.8414</w:t>
            </w:r>
          </w:p>
        </w:tc>
        <w:tc>
          <w:tcPr>
            <w:tcW w:w="2325" w:type="dxa"/>
            <w:tcBorders>
              <w:left w:val="single" w:sz="18" w:space="0" w:color="595959" w:themeColor="text1" w:themeTint="A6"/>
              <w:righ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41.5862</w:t>
            </w:r>
          </w:p>
        </w:tc>
        <w:tc>
          <w:tcPr>
            <w:tcW w:w="2352" w:type="dxa"/>
            <w:tcBorders>
              <w:lef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25.3879</w:t>
            </w:r>
          </w:p>
        </w:tc>
      </w:tr>
      <w:tr w:rsidR="00900B10" w:rsidTr="00900B10">
        <w:tc>
          <w:tcPr>
            <w:tcW w:w="6771" w:type="dxa"/>
            <w:tcBorders>
              <w:right w:val="single" w:sz="18" w:space="0" w:color="595959" w:themeColor="text1" w:themeTint="A6"/>
            </w:tcBorders>
          </w:tcPr>
          <w:p w:rsidR="00900B10" w:rsidRPr="00F37ED5" w:rsidRDefault="00900B10" w:rsidP="00900B10">
            <w:pPr>
              <w:tabs>
                <w:tab w:val="left" w:pos="146"/>
                <w:tab w:val="left" w:pos="438"/>
              </w:tabs>
              <w:rPr>
                <w:rFonts w:ascii="Times New Roman" w:hAnsi="Times New Roman" w:cs="Times New Roman"/>
              </w:rPr>
            </w:pPr>
            <w:r w:rsidRPr="00F37ED5">
              <w:rPr>
                <w:rFonts w:ascii="Times New Roman" w:hAnsi="Times New Roman" w:cs="Times New Roman"/>
              </w:rPr>
              <w:t xml:space="preserve">8.  Loss of foreign visitor expenditure outside target city </w:t>
            </w:r>
          </w:p>
        </w:tc>
        <w:tc>
          <w:tcPr>
            <w:tcW w:w="2268" w:type="dxa"/>
            <w:tcBorders>
              <w:left w:val="single" w:sz="18" w:space="0" w:color="595959" w:themeColor="text1" w:themeTint="A6"/>
              <w:righ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24.9115</w:t>
            </w:r>
          </w:p>
        </w:tc>
        <w:tc>
          <w:tcPr>
            <w:tcW w:w="2325" w:type="dxa"/>
            <w:tcBorders>
              <w:left w:val="single" w:sz="18" w:space="0" w:color="595959" w:themeColor="text1" w:themeTint="A6"/>
              <w:righ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11.9860</w:t>
            </w:r>
          </w:p>
        </w:tc>
        <w:tc>
          <w:tcPr>
            <w:tcW w:w="2352" w:type="dxa"/>
            <w:tcBorders>
              <w:lef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10.0643</w:t>
            </w:r>
          </w:p>
        </w:tc>
      </w:tr>
      <w:tr w:rsidR="00900B10" w:rsidTr="00900B10">
        <w:tc>
          <w:tcPr>
            <w:tcW w:w="6771" w:type="dxa"/>
            <w:tcBorders>
              <w:right w:val="single" w:sz="18" w:space="0" w:color="595959" w:themeColor="text1" w:themeTint="A6"/>
            </w:tcBorders>
          </w:tcPr>
          <w:p w:rsidR="00900B10" w:rsidRPr="00F37ED5" w:rsidRDefault="00900B10" w:rsidP="00900B10">
            <w:pPr>
              <w:tabs>
                <w:tab w:val="left" w:pos="146"/>
                <w:tab w:val="left" w:pos="438"/>
              </w:tabs>
              <w:rPr>
                <w:rFonts w:ascii="Times New Roman" w:hAnsi="Times New Roman" w:cs="Times New Roman"/>
              </w:rPr>
            </w:pPr>
            <w:r w:rsidRPr="00F37ED5">
              <w:rPr>
                <w:rFonts w:ascii="Times New Roman" w:hAnsi="Times New Roman" w:cs="Times New Roman"/>
              </w:rPr>
              <w:t xml:space="preserve">9.  Loss of domestic traveler expenditure in target city </w:t>
            </w:r>
          </w:p>
        </w:tc>
        <w:tc>
          <w:tcPr>
            <w:tcW w:w="2268" w:type="dxa"/>
            <w:tcBorders>
              <w:left w:val="single" w:sz="18" w:space="0" w:color="595959" w:themeColor="text1" w:themeTint="A6"/>
              <w:righ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0.0849</w:t>
            </w:r>
          </w:p>
        </w:tc>
        <w:tc>
          <w:tcPr>
            <w:tcW w:w="2325" w:type="dxa"/>
            <w:tcBorders>
              <w:left w:val="single" w:sz="18" w:space="0" w:color="595959" w:themeColor="text1" w:themeTint="A6"/>
              <w:righ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9.6319</w:t>
            </w:r>
          </w:p>
        </w:tc>
        <w:tc>
          <w:tcPr>
            <w:tcW w:w="2352" w:type="dxa"/>
            <w:tcBorders>
              <w:lef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0.0372</w:t>
            </w:r>
          </w:p>
        </w:tc>
      </w:tr>
      <w:tr w:rsidR="00900B10" w:rsidTr="00900B10">
        <w:tc>
          <w:tcPr>
            <w:tcW w:w="6771" w:type="dxa"/>
            <w:tcBorders>
              <w:right w:val="single" w:sz="18" w:space="0" w:color="595959" w:themeColor="text1" w:themeTint="A6"/>
            </w:tcBorders>
          </w:tcPr>
          <w:p w:rsidR="00900B10" w:rsidRPr="00F37ED5" w:rsidRDefault="00900B10" w:rsidP="00900B10">
            <w:pPr>
              <w:rPr>
                <w:rFonts w:ascii="Times New Roman" w:hAnsi="Times New Roman" w:cs="Times New Roman"/>
              </w:rPr>
            </w:pPr>
            <w:r w:rsidRPr="00F37ED5">
              <w:rPr>
                <w:rFonts w:ascii="Times New Roman" w:hAnsi="Times New Roman" w:cs="Times New Roman"/>
              </w:rPr>
              <w:t xml:space="preserve">10. Loss of domestic traveler expenditure outside target city </w:t>
            </w:r>
          </w:p>
        </w:tc>
        <w:tc>
          <w:tcPr>
            <w:tcW w:w="2268" w:type="dxa"/>
            <w:tcBorders>
              <w:left w:val="single" w:sz="18" w:space="0" w:color="595959" w:themeColor="text1" w:themeTint="A6"/>
              <w:righ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0.0000</w:t>
            </w:r>
          </w:p>
        </w:tc>
        <w:tc>
          <w:tcPr>
            <w:tcW w:w="2325" w:type="dxa"/>
            <w:tcBorders>
              <w:left w:val="single" w:sz="18" w:space="0" w:color="595959" w:themeColor="text1" w:themeTint="A6"/>
              <w:righ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0.0000</w:t>
            </w:r>
          </w:p>
        </w:tc>
        <w:tc>
          <w:tcPr>
            <w:tcW w:w="2352" w:type="dxa"/>
            <w:tcBorders>
              <w:lef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0.0000</w:t>
            </w:r>
          </w:p>
        </w:tc>
      </w:tr>
      <w:tr w:rsidR="00900B10" w:rsidTr="00900B10">
        <w:tc>
          <w:tcPr>
            <w:tcW w:w="6771" w:type="dxa"/>
            <w:tcBorders>
              <w:right w:val="single" w:sz="18" w:space="0" w:color="595959" w:themeColor="text1" w:themeTint="A6"/>
            </w:tcBorders>
          </w:tcPr>
          <w:p w:rsidR="00900B10" w:rsidRPr="00F37ED5" w:rsidRDefault="00900B10" w:rsidP="00900B10">
            <w:pPr>
              <w:rPr>
                <w:rFonts w:ascii="Times New Roman" w:hAnsi="Times New Roman" w:cs="Times New Roman"/>
              </w:rPr>
            </w:pPr>
            <w:r w:rsidRPr="00F37ED5">
              <w:rPr>
                <w:rFonts w:ascii="Times New Roman" w:hAnsi="Times New Roman" w:cs="Times New Roman"/>
              </w:rPr>
              <w:t xml:space="preserve">11. Loss of food production in target state </w:t>
            </w:r>
          </w:p>
        </w:tc>
        <w:tc>
          <w:tcPr>
            <w:tcW w:w="2268" w:type="dxa"/>
            <w:tcBorders>
              <w:left w:val="single" w:sz="18" w:space="0" w:color="595959" w:themeColor="text1" w:themeTint="A6"/>
              <w:righ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0.0000</w:t>
            </w:r>
          </w:p>
        </w:tc>
        <w:tc>
          <w:tcPr>
            <w:tcW w:w="2325" w:type="dxa"/>
            <w:tcBorders>
              <w:left w:val="single" w:sz="18" w:space="0" w:color="595959" w:themeColor="text1" w:themeTint="A6"/>
              <w:righ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0.0000</w:t>
            </w:r>
          </w:p>
        </w:tc>
        <w:tc>
          <w:tcPr>
            <w:tcW w:w="2352" w:type="dxa"/>
            <w:tcBorders>
              <w:lef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0.3205</w:t>
            </w:r>
          </w:p>
        </w:tc>
      </w:tr>
      <w:tr w:rsidR="00900B10" w:rsidTr="00900B10">
        <w:tc>
          <w:tcPr>
            <w:tcW w:w="6771" w:type="dxa"/>
            <w:tcBorders>
              <w:right w:val="single" w:sz="18" w:space="0" w:color="595959" w:themeColor="text1" w:themeTint="A6"/>
            </w:tcBorders>
          </w:tcPr>
          <w:p w:rsidR="00900B10" w:rsidRPr="00F37ED5" w:rsidRDefault="00900B10" w:rsidP="00900B10">
            <w:pPr>
              <w:rPr>
                <w:rFonts w:ascii="Times New Roman" w:hAnsi="Times New Roman" w:cs="Times New Roman"/>
              </w:rPr>
            </w:pPr>
            <w:r w:rsidRPr="00F37ED5">
              <w:rPr>
                <w:rFonts w:ascii="Times New Roman" w:hAnsi="Times New Roman" w:cs="Times New Roman"/>
              </w:rPr>
              <w:t xml:space="preserve">12. Total loss of food production in U.S. including target state </w:t>
            </w:r>
          </w:p>
        </w:tc>
        <w:tc>
          <w:tcPr>
            <w:tcW w:w="2268" w:type="dxa"/>
            <w:tcBorders>
              <w:left w:val="single" w:sz="18" w:space="0" w:color="595959" w:themeColor="text1" w:themeTint="A6"/>
              <w:righ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0.0000</w:t>
            </w:r>
          </w:p>
        </w:tc>
        <w:tc>
          <w:tcPr>
            <w:tcW w:w="2325" w:type="dxa"/>
            <w:tcBorders>
              <w:left w:val="single" w:sz="18" w:space="0" w:color="595959" w:themeColor="text1" w:themeTint="A6"/>
              <w:righ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0.0000</w:t>
            </w:r>
          </w:p>
        </w:tc>
        <w:tc>
          <w:tcPr>
            <w:tcW w:w="2352" w:type="dxa"/>
            <w:tcBorders>
              <w:lef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0.0195</w:t>
            </w:r>
          </w:p>
        </w:tc>
      </w:tr>
      <w:tr w:rsidR="00900B10" w:rsidTr="00900B10">
        <w:tc>
          <w:tcPr>
            <w:tcW w:w="6771" w:type="dxa"/>
            <w:tcBorders>
              <w:right w:val="single" w:sz="18" w:space="0" w:color="595959" w:themeColor="text1" w:themeTint="A6"/>
            </w:tcBorders>
          </w:tcPr>
          <w:p w:rsidR="00900B10" w:rsidRPr="00F37ED5" w:rsidRDefault="00900B10" w:rsidP="00900B10">
            <w:pPr>
              <w:rPr>
                <w:rFonts w:ascii="Times New Roman" w:hAnsi="Times New Roman" w:cs="Times New Roman"/>
              </w:rPr>
            </w:pPr>
            <w:r w:rsidRPr="00F37ED5">
              <w:rPr>
                <w:rFonts w:ascii="Times New Roman" w:hAnsi="Times New Roman" w:cs="Times New Roman"/>
              </w:rPr>
              <w:t>13. Deaths &amp; serious injuries, permanent removal from work (</w:t>
            </w:r>
            <w:r>
              <w:rPr>
                <w:rFonts w:ascii="Times New Roman" w:hAnsi="Times New Roman" w:cs="Times New Roman"/>
              </w:rPr>
              <w:t>% of US population</w:t>
            </w:r>
            <w:r w:rsidRPr="00F37ED5">
              <w:rPr>
                <w:rFonts w:ascii="Times New Roman" w:hAnsi="Times New Roman" w:cs="Times New Roman"/>
              </w:rPr>
              <w:t>)</w:t>
            </w:r>
          </w:p>
        </w:tc>
        <w:tc>
          <w:tcPr>
            <w:tcW w:w="2268" w:type="dxa"/>
            <w:tcBorders>
              <w:left w:val="single" w:sz="18" w:space="0" w:color="595959" w:themeColor="text1" w:themeTint="A6"/>
              <w:righ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0.0119</w:t>
            </w:r>
          </w:p>
        </w:tc>
        <w:tc>
          <w:tcPr>
            <w:tcW w:w="2325" w:type="dxa"/>
            <w:tcBorders>
              <w:left w:val="single" w:sz="18" w:space="0" w:color="595959" w:themeColor="text1" w:themeTint="A6"/>
              <w:righ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0.0005</w:t>
            </w:r>
          </w:p>
        </w:tc>
        <w:tc>
          <w:tcPr>
            <w:tcW w:w="2352" w:type="dxa"/>
            <w:tcBorders>
              <w:lef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0.0002</w:t>
            </w:r>
          </w:p>
        </w:tc>
      </w:tr>
      <w:tr w:rsidR="00900B10" w:rsidTr="00900B10">
        <w:tc>
          <w:tcPr>
            <w:tcW w:w="6771" w:type="dxa"/>
            <w:tcBorders>
              <w:bottom w:val="single" w:sz="18" w:space="0" w:color="595959" w:themeColor="text1" w:themeTint="A6"/>
              <w:right w:val="single" w:sz="18" w:space="0" w:color="595959" w:themeColor="text1" w:themeTint="A6"/>
            </w:tcBorders>
          </w:tcPr>
          <w:p w:rsidR="00900B10" w:rsidRPr="007312B6" w:rsidRDefault="00900B10" w:rsidP="00900B10">
            <w:pPr>
              <w:rPr>
                <w:rFonts w:ascii="Times New Roman" w:hAnsi="Times New Roman" w:cs="Times New Roman"/>
              </w:rPr>
            </w:pPr>
            <w:r w:rsidRPr="007312B6">
              <w:rPr>
                <w:rFonts w:ascii="Times New Roman" w:hAnsi="Times New Roman" w:cs="Times New Roman"/>
              </w:rPr>
              <w:t>14. Aversion, per cent reduction in labor supply to target region</w:t>
            </w:r>
          </w:p>
        </w:tc>
        <w:tc>
          <w:tcPr>
            <w:tcW w:w="2268" w:type="dxa"/>
            <w:tcBorders>
              <w:left w:val="single" w:sz="18" w:space="0" w:color="595959" w:themeColor="text1" w:themeTint="A6"/>
              <w:bottom w:val="single" w:sz="18" w:space="0" w:color="595959" w:themeColor="text1" w:themeTint="A6"/>
              <w:righ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0.0000</w:t>
            </w:r>
          </w:p>
        </w:tc>
        <w:tc>
          <w:tcPr>
            <w:tcW w:w="2325" w:type="dxa"/>
            <w:tcBorders>
              <w:left w:val="single" w:sz="18" w:space="0" w:color="595959" w:themeColor="text1" w:themeTint="A6"/>
              <w:bottom w:val="single" w:sz="18" w:space="0" w:color="595959" w:themeColor="text1" w:themeTint="A6"/>
              <w:right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10.0000</w:t>
            </w:r>
          </w:p>
        </w:tc>
        <w:tc>
          <w:tcPr>
            <w:tcW w:w="2352" w:type="dxa"/>
            <w:tcBorders>
              <w:left w:val="single" w:sz="18" w:space="0" w:color="595959" w:themeColor="text1" w:themeTint="A6"/>
              <w:bottom w:val="single" w:sz="18" w:space="0" w:color="595959" w:themeColor="text1" w:themeTint="A6"/>
            </w:tcBorders>
            <w:vAlign w:val="bottom"/>
          </w:tcPr>
          <w:p w:rsidR="00900B10" w:rsidRDefault="00900B10" w:rsidP="00900B10">
            <w:pPr>
              <w:tabs>
                <w:tab w:val="decimal" w:pos="967"/>
              </w:tabs>
              <w:rPr>
                <w:rFonts w:ascii="Calibri" w:hAnsi="Calibri"/>
                <w:color w:val="000000"/>
              </w:rPr>
            </w:pPr>
            <w:r>
              <w:rPr>
                <w:rFonts w:ascii="Calibri" w:hAnsi="Calibri"/>
                <w:color w:val="000000"/>
              </w:rPr>
              <w:t>0.0000</w:t>
            </w:r>
          </w:p>
        </w:tc>
      </w:tr>
    </w:tbl>
    <w:p w:rsidR="00900B10" w:rsidRDefault="00900B10" w:rsidP="00900B10">
      <w:pPr>
        <w:rPr>
          <w:rFonts w:ascii="Times New Roman" w:hAnsi="Times New Roman" w:cs="Times New Roman"/>
          <w:sz w:val="24"/>
          <w:szCs w:val="24"/>
        </w:rPr>
      </w:pPr>
    </w:p>
    <w:p w:rsidR="00900B10" w:rsidRDefault="00900B10">
      <w:pPr>
        <w:spacing w:before="0" w:after="200" w:line="276" w:lineRule="auto"/>
        <w:rPr>
          <w:rFonts w:ascii="Times New Roman" w:hAnsi="Times New Roman" w:cs="Times New Roman"/>
          <w:b/>
          <w:i/>
          <w:sz w:val="24"/>
          <w:szCs w:val="24"/>
        </w:rPr>
      </w:pPr>
      <w:r>
        <w:rPr>
          <w:rFonts w:ascii="Times New Roman" w:hAnsi="Times New Roman" w:cs="Times New Roman"/>
          <w:b/>
          <w:i/>
          <w:sz w:val="24"/>
          <w:szCs w:val="24"/>
        </w:rPr>
        <w:br w:type="page"/>
      </w:r>
    </w:p>
    <w:p w:rsidR="00900B10" w:rsidRPr="008C3AA1" w:rsidRDefault="00900B10" w:rsidP="00900B10">
      <w:pPr>
        <w:jc w:val="center"/>
        <w:rPr>
          <w:rFonts w:ascii="Times New Roman" w:hAnsi="Times New Roman" w:cs="Times New Roman"/>
          <w:b/>
          <w:i/>
          <w:sz w:val="24"/>
          <w:szCs w:val="24"/>
        </w:rPr>
      </w:pPr>
      <w:r>
        <w:rPr>
          <w:rFonts w:ascii="Times New Roman" w:hAnsi="Times New Roman" w:cs="Times New Roman"/>
          <w:b/>
          <w:i/>
          <w:sz w:val="24"/>
          <w:szCs w:val="24"/>
        </w:rPr>
        <w:lastRenderedPageBreak/>
        <w:t>Table 7.4.  Converting shocks into outcomes: Epidemic scenario, FL24, Keynesian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5"/>
        <w:gridCol w:w="1041"/>
        <w:gridCol w:w="1043"/>
        <w:gridCol w:w="1034"/>
        <w:gridCol w:w="1150"/>
        <w:gridCol w:w="1078"/>
        <w:gridCol w:w="1079"/>
        <w:gridCol w:w="1068"/>
        <w:gridCol w:w="1250"/>
        <w:gridCol w:w="1069"/>
        <w:gridCol w:w="1069"/>
        <w:gridCol w:w="1072"/>
      </w:tblGrid>
      <w:tr w:rsidR="00900B10" w:rsidTr="00900B10">
        <w:tc>
          <w:tcPr>
            <w:tcW w:w="2005" w:type="dxa"/>
            <w:tcBorders>
              <w:top w:val="single" w:sz="18" w:space="0" w:color="595959" w:themeColor="text1" w:themeTint="A6"/>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p>
        </w:tc>
        <w:tc>
          <w:tcPr>
            <w:tcW w:w="10955" w:type="dxa"/>
            <w:gridSpan w:val="10"/>
            <w:tcBorders>
              <w:top w:val="single" w:sz="18" w:space="0" w:color="595959" w:themeColor="text1" w:themeTint="A6"/>
              <w:left w:val="single" w:sz="18" w:space="0" w:color="595959" w:themeColor="text1" w:themeTint="A6"/>
              <w:right w:val="single" w:sz="18" w:space="0" w:color="595959" w:themeColor="text1" w:themeTint="A6"/>
            </w:tcBorders>
            <w:vAlign w:val="bottom"/>
          </w:tcPr>
          <w:p w:rsidR="00900B10" w:rsidRPr="000D7F28" w:rsidRDefault="00900B10" w:rsidP="00900B10">
            <w:pPr>
              <w:spacing w:before="0"/>
              <w:jc w:val="center"/>
              <w:rPr>
                <w:rFonts w:ascii="Times New Roman" w:hAnsi="Times New Roman" w:cs="Times New Roman"/>
                <w:b/>
                <w:sz w:val="20"/>
                <w:szCs w:val="20"/>
              </w:rPr>
            </w:pPr>
            <w:r w:rsidRPr="000D7F28">
              <w:rPr>
                <w:rFonts w:ascii="Times New Roman" w:hAnsi="Times New Roman" w:cs="Times New Roman"/>
                <w:b/>
                <w:sz w:val="20"/>
                <w:szCs w:val="20"/>
              </w:rPr>
              <w:t xml:space="preserve">Elasticities FL24 </w:t>
            </w:r>
            <w:r>
              <w:rPr>
                <w:rFonts w:ascii="Times New Roman" w:hAnsi="Times New Roman" w:cs="Times New Roman"/>
                <w:b/>
                <w:sz w:val="20"/>
                <w:szCs w:val="20"/>
              </w:rPr>
              <w:t>Keynesian</w:t>
            </w:r>
          </w:p>
        </w:tc>
        <w:tc>
          <w:tcPr>
            <w:tcW w:w="1079" w:type="dxa"/>
            <w:tcBorders>
              <w:top w:val="single" w:sz="18" w:space="0" w:color="595959" w:themeColor="text1" w:themeTint="A6"/>
              <w:left w:val="single" w:sz="18" w:space="0" w:color="595959" w:themeColor="text1" w:themeTint="A6"/>
            </w:tcBorders>
            <w:shd w:val="clear" w:color="auto" w:fill="FFFF00"/>
            <w:vAlign w:val="bottom"/>
          </w:tcPr>
          <w:p w:rsidR="00900B10" w:rsidRPr="000D7F28" w:rsidRDefault="00900B10" w:rsidP="00900B10">
            <w:pPr>
              <w:spacing w:before="0"/>
              <w:rPr>
                <w:rFonts w:ascii="Times New Roman" w:hAnsi="Times New Roman" w:cs="Times New Roman"/>
                <w:b/>
                <w:sz w:val="20"/>
                <w:szCs w:val="20"/>
              </w:rPr>
            </w:pPr>
            <w:r w:rsidRPr="000D7F28">
              <w:rPr>
                <w:rFonts w:ascii="Times New Roman" w:hAnsi="Times New Roman" w:cs="Times New Roman"/>
                <w:b/>
                <w:sz w:val="20"/>
                <w:szCs w:val="20"/>
              </w:rPr>
              <w:t> Shocks</w:t>
            </w:r>
          </w:p>
        </w:tc>
      </w:tr>
      <w:tr w:rsidR="00900B10" w:rsidTr="00900B10">
        <w:tc>
          <w:tcPr>
            <w:tcW w:w="2005" w:type="dxa"/>
            <w:tcBorders>
              <w:bottom w:val="single" w:sz="18" w:space="0" w:color="595959" w:themeColor="text1" w:themeTint="A6"/>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p>
        </w:tc>
        <w:tc>
          <w:tcPr>
            <w:tcW w:w="1053" w:type="dxa"/>
            <w:tcBorders>
              <w:left w:val="single" w:sz="18" w:space="0" w:color="595959" w:themeColor="text1" w:themeTint="A6"/>
              <w:bottom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GDPy1</w:t>
            </w:r>
          </w:p>
        </w:tc>
        <w:tc>
          <w:tcPr>
            <w:tcW w:w="1054" w:type="dxa"/>
            <w:tcBorders>
              <w:bottom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EMPy1</w:t>
            </w:r>
          </w:p>
        </w:tc>
        <w:tc>
          <w:tcPr>
            <w:tcW w:w="1044" w:type="dxa"/>
            <w:tcBorders>
              <w:bottom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G</w:t>
            </w:r>
            <w:r>
              <w:rPr>
                <w:rFonts w:ascii="Times New Roman" w:hAnsi="Times New Roman" w:cs="Times New Roman"/>
                <w:sz w:val="20"/>
                <w:szCs w:val="20"/>
              </w:rPr>
              <w:t>R</w:t>
            </w:r>
            <w:r w:rsidRPr="000D7F28">
              <w:rPr>
                <w:rFonts w:ascii="Times New Roman" w:hAnsi="Times New Roman" w:cs="Times New Roman"/>
                <w:sz w:val="20"/>
                <w:szCs w:val="20"/>
              </w:rPr>
              <w:t>Py1</w:t>
            </w:r>
          </w:p>
        </w:tc>
        <w:tc>
          <w:tcPr>
            <w:tcW w:w="1150" w:type="dxa"/>
            <w:tcBorders>
              <w:bottom w:val="single" w:sz="18" w:space="0" w:color="595959" w:themeColor="text1" w:themeTint="A6"/>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Pr>
                <w:rFonts w:ascii="Times New Roman" w:hAnsi="Times New Roman" w:cs="Times New Roman"/>
                <w:sz w:val="20"/>
                <w:szCs w:val="20"/>
              </w:rPr>
              <w:t>Reg</w:t>
            </w:r>
            <w:r w:rsidRPr="000D7F28">
              <w:rPr>
                <w:rFonts w:ascii="Times New Roman" w:hAnsi="Times New Roman" w:cs="Times New Roman"/>
                <w:sz w:val="20"/>
                <w:szCs w:val="20"/>
              </w:rPr>
              <w:t>EMPy1</w:t>
            </w:r>
          </w:p>
        </w:tc>
        <w:tc>
          <w:tcPr>
            <w:tcW w:w="1088" w:type="dxa"/>
            <w:tcBorders>
              <w:left w:val="single" w:sz="18" w:space="0" w:color="595959" w:themeColor="text1" w:themeTint="A6"/>
              <w:bottom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GDPy20</w:t>
            </w:r>
          </w:p>
        </w:tc>
        <w:tc>
          <w:tcPr>
            <w:tcW w:w="1088" w:type="dxa"/>
            <w:tcBorders>
              <w:bottom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EMPy20</w:t>
            </w:r>
          </w:p>
        </w:tc>
        <w:tc>
          <w:tcPr>
            <w:tcW w:w="1078" w:type="dxa"/>
            <w:tcBorders>
              <w:bottom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G</w:t>
            </w:r>
            <w:r>
              <w:rPr>
                <w:rFonts w:ascii="Times New Roman" w:hAnsi="Times New Roman" w:cs="Times New Roman"/>
                <w:sz w:val="20"/>
                <w:szCs w:val="20"/>
              </w:rPr>
              <w:t>R</w:t>
            </w:r>
            <w:r w:rsidRPr="000D7F28">
              <w:rPr>
                <w:rFonts w:ascii="Times New Roman" w:hAnsi="Times New Roman" w:cs="Times New Roman"/>
                <w:sz w:val="20"/>
                <w:szCs w:val="20"/>
              </w:rPr>
              <w:t>Py20</w:t>
            </w:r>
          </w:p>
        </w:tc>
        <w:tc>
          <w:tcPr>
            <w:tcW w:w="1250" w:type="dxa"/>
            <w:tcBorders>
              <w:bottom w:val="single" w:sz="18" w:space="0" w:color="595959" w:themeColor="text1" w:themeTint="A6"/>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Pr>
                <w:rFonts w:ascii="Times New Roman" w:hAnsi="Times New Roman" w:cs="Times New Roman"/>
                <w:sz w:val="20"/>
                <w:szCs w:val="20"/>
              </w:rPr>
              <w:t>Reg</w:t>
            </w:r>
            <w:r w:rsidRPr="000D7F28">
              <w:rPr>
                <w:rFonts w:ascii="Times New Roman" w:hAnsi="Times New Roman" w:cs="Times New Roman"/>
                <w:sz w:val="20"/>
                <w:szCs w:val="20"/>
              </w:rPr>
              <w:t>EMPy20</w:t>
            </w:r>
          </w:p>
        </w:tc>
        <w:tc>
          <w:tcPr>
            <w:tcW w:w="1075" w:type="dxa"/>
            <w:tcBorders>
              <w:left w:val="single" w:sz="18" w:space="0" w:color="595959" w:themeColor="text1" w:themeTint="A6"/>
              <w:bottom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Welf05</w:t>
            </w:r>
          </w:p>
        </w:tc>
        <w:tc>
          <w:tcPr>
            <w:tcW w:w="1075" w:type="dxa"/>
            <w:tcBorders>
              <w:bottom w:val="single" w:sz="18" w:space="0" w:color="595959" w:themeColor="text1" w:themeTint="A6"/>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Welf02</w:t>
            </w:r>
          </w:p>
        </w:tc>
        <w:tc>
          <w:tcPr>
            <w:tcW w:w="1079" w:type="dxa"/>
            <w:tcBorders>
              <w:left w:val="single" w:sz="18" w:space="0" w:color="595959" w:themeColor="text1" w:themeTint="A6"/>
              <w:bottom w:val="single" w:sz="18" w:space="0" w:color="595959" w:themeColor="text1" w:themeTint="A6"/>
            </w:tcBorders>
            <w:shd w:val="clear" w:color="auto" w:fill="FFFF00"/>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 </w:t>
            </w:r>
          </w:p>
        </w:tc>
      </w:tr>
      <w:tr w:rsidR="00900B10" w:rsidTr="00900B10">
        <w:tc>
          <w:tcPr>
            <w:tcW w:w="2005" w:type="dxa"/>
            <w:tcBorders>
              <w:top w:val="single" w:sz="18" w:space="0" w:color="595959" w:themeColor="text1" w:themeTint="A6"/>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1KDestruct</w:t>
            </w:r>
          </w:p>
        </w:tc>
        <w:tc>
          <w:tcPr>
            <w:tcW w:w="1053" w:type="dxa"/>
            <w:tcBorders>
              <w:top w:val="single" w:sz="18" w:space="0" w:color="595959" w:themeColor="text1" w:themeTint="A6"/>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-0.0013</w:t>
            </w:r>
          </w:p>
        </w:tc>
        <w:tc>
          <w:tcPr>
            <w:tcW w:w="1054" w:type="dxa"/>
            <w:tcBorders>
              <w:top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-0.0009</w:t>
            </w:r>
          </w:p>
        </w:tc>
        <w:tc>
          <w:tcPr>
            <w:tcW w:w="1044" w:type="dxa"/>
            <w:tcBorders>
              <w:top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-0.7828</w:t>
            </w:r>
          </w:p>
        </w:tc>
        <w:tc>
          <w:tcPr>
            <w:tcW w:w="1150" w:type="dxa"/>
            <w:tcBorders>
              <w:top w:val="single" w:sz="18" w:space="0" w:color="595959" w:themeColor="text1" w:themeTint="A6"/>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-0.6304</w:t>
            </w:r>
          </w:p>
        </w:tc>
        <w:tc>
          <w:tcPr>
            <w:tcW w:w="1088" w:type="dxa"/>
            <w:tcBorders>
              <w:top w:val="single" w:sz="18" w:space="0" w:color="595959" w:themeColor="text1" w:themeTint="A6"/>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88" w:type="dxa"/>
            <w:tcBorders>
              <w:top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78" w:type="dxa"/>
            <w:tcBorders>
              <w:top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-0.0145</w:t>
            </w:r>
          </w:p>
        </w:tc>
        <w:tc>
          <w:tcPr>
            <w:tcW w:w="1250" w:type="dxa"/>
            <w:tcBorders>
              <w:top w:val="single" w:sz="18" w:space="0" w:color="595959" w:themeColor="text1" w:themeTint="A6"/>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0.0078</w:t>
            </w:r>
          </w:p>
        </w:tc>
        <w:tc>
          <w:tcPr>
            <w:tcW w:w="1075" w:type="dxa"/>
            <w:tcBorders>
              <w:top w:val="single" w:sz="18" w:space="0" w:color="595959" w:themeColor="text1" w:themeTint="A6"/>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-0.0076</w:t>
            </w:r>
          </w:p>
        </w:tc>
        <w:tc>
          <w:tcPr>
            <w:tcW w:w="1075" w:type="dxa"/>
            <w:tcBorders>
              <w:top w:val="single" w:sz="18" w:space="0" w:color="595959" w:themeColor="text1" w:themeTint="A6"/>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-0.0101</w:t>
            </w:r>
          </w:p>
        </w:tc>
        <w:tc>
          <w:tcPr>
            <w:tcW w:w="1079" w:type="dxa"/>
            <w:tcBorders>
              <w:top w:val="single" w:sz="18" w:space="0" w:color="595959" w:themeColor="text1" w:themeTint="A6"/>
              <w:left w:val="single" w:sz="18" w:space="0" w:color="595959" w:themeColor="text1" w:themeTint="A6"/>
            </w:tcBorders>
            <w:shd w:val="clear" w:color="auto" w:fill="FFFF00"/>
            <w:vAlign w:val="bottom"/>
          </w:tcPr>
          <w:p w:rsidR="00900B10" w:rsidRPr="00E025BA" w:rsidRDefault="00900B10" w:rsidP="00900B10">
            <w:pPr>
              <w:spacing w:before="0"/>
              <w:jc w:val="right"/>
              <w:rPr>
                <w:rFonts w:ascii="Times New Roman" w:hAnsi="Times New Roman" w:cs="Times New Roman"/>
                <w:color w:val="000000"/>
                <w:sz w:val="20"/>
                <w:szCs w:val="20"/>
              </w:rPr>
            </w:pPr>
            <w:r w:rsidRPr="00E025BA">
              <w:rPr>
                <w:rFonts w:ascii="Times New Roman" w:hAnsi="Times New Roman" w:cs="Times New Roman"/>
                <w:color w:val="000000"/>
                <w:sz w:val="20"/>
                <w:szCs w:val="20"/>
              </w:rPr>
              <w:t>0.0000</w:t>
            </w:r>
          </w:p>
        </w:tc>
      </w:tr>
      <w:tr w:rsidR="00900B10" w:rsidTr="00900B10">
        <w:tc>
          <w:tcPr>
            <w:tcW w:w="2005"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2K</w:t>
            </w:r>
            <w:r>
              <w:rPr>
                <w:rFonts w:ascii="Times New Roman" w:hAnsi="Times New Roman" w:cs="Times New Roman"/>
                <w:sz w:val="20"/>
                <w:szCs w:val="20"/>
              </w:rPr>
              <w:t>Return</w:t>
            </w:r>
          </w:p>
        </w:tc>
        <w:tc>
          <w:tcPr>
            <w:tcW w:w="1053"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54"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44"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150"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88"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88"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-0.0001</w:t>
            </w:r>
          </w:p>
        </w:tc>
        <w:tc>
          <w:tcPr>
            <w:tcW w:w="1078"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0.0324</w:t>
            </w:r>
          </w:p>
        </w:tc>
        <w:tc>
          <w:tcPr>
            <w:tcW w:w="1250"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-0.0011</w:t>
            </w:r>
          </w:p>
        </w:tc>
        <w:tc>
          <w:tcPr>
            <w:tcW w:w="1075"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0.0073</w:t>
            </w:r>
          </w:p>
        </w:tc>
        <w:tc>
          <w:tcPr>
            <w:tcW w:w="1075"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0.0101</w:t>
            </w:r>
          </w:p>
        </w:tc>
        <w:tc>
          <w:tcPr>
            <w:tcW w:w="1079" w:type="dxa"/>
            <w:tcBorders>
              <w:left w:val="single" w:sz="18" w:space="0" w:color="595959" w:themeColor="text1" w:themeTint="A6"/>
            </w:tcBorders>
            <w:shd w:val="clear" w:color="auto" w:fill="FFFF00"/>
            <w:vAlign w:val="bottom"/>
          </w:tcPr>
          <w:p w:rsidR="00900B10" w:rsidRPr="00E025BA" w:rsidRDefault="00900B10" w:rsidP="00900B10">
            <w:pPr>
              <w:spacing w:before="0"/>
              <w:jc w:val="right"/>
              <w:rPr>
                <w:rFonts w:ascii="Times New Roman" w:hAnsi="Times New Roman" w:cs="Times New Roman"/>
                <w:color w:val="000000"/>
                <w:sz w:val="20"/>
                <w:szCs w:val="20"/>
              </w:rPr>
            </w:pPr>
            <w:r w:rsidRPr="00E025BA">
              <w:rPr>
                <w:rFonts w:ascii="Times New Roman" w:hAnsi="Times New Roman" w:cs="Times New Roman"/>
                <w:color w:val="000000"/>
                <w:sz w:val="20"/>
                <w:szCs w:val="20"/>
              </w:rPr>
              <w:t>0.0000</w:t>
            </w:r>
          </w:p>
        </w:tc>
      </w:tr>
      <w:tr w:rsidR="00900B10" w:rsidTr="00900B10">
        <w:tc>
          <w:tcPr>
            <w:tcW w:w="2005"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3CleanUp</w:t>
            </w:r>
          </w:p>
        </w:tc>
        <w:tc>
          <w:tcPr>
            <w:tcW w:w="1053"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0.0017</w:t>
            </w:r>
          </w:p>
        </w:tc>
        <w:tc>
          <w:tcPr>
            <w:tcW w:w="1054"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0.0016</w:t>
            </w:r>
          </w:p>
        </w:tc>
        <w:tc>
          <w:tcPr>
            <w:tcW w:w="1044"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0.0866</w:t>
            </w:r>
          </w:p>
        </w:tc>
        <w:tc>
          <w:tcPr>
            <w:tcW w:w="1150"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0.0917</w:t>
            </w:r>
          </w:p>
        </w:tc>
        <w:tc>
          <w:tcPr>
            <w:tcW w:w="1088"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88"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78"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-0.0012</w:t>
            </w:r>
          </w:p>
        </w:tc>
        <w:tc>
          <w:tcPr>
            <w:tcW w:w="1250"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-0.0002</w:t>
            </w:r>
          </w:p>
        </w:tc>
        <w:tc>
          <w:tcPr>
            <w:tcW w:w="1075"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-0.0001</w:t>
            </w:r>
          </w:p>
        </w:tc>
        <w:tc>
          <w:tcPr>
            <w:tcW w:w="1075"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-0.0005</w:t>
            </w:r>
          </w:p>
        </w:tc>
        <w:tc>
          <w:tcPr>
            <w:tcW w:w="1079" w:type="dxa"/>
            <w:tcBorders>
              <w:left w:val="single" w:sz="18" w:space="0" w:color="595959" w:themeColor="text1" w:themeTint="A6"/>
            </w:tcBorders>
            <w:shd w:val="clear" w:color="auto" w:fill="FFFF00"/>
            <w:vAlign w:val="bottom"/>
          </w:tcPr>
          <w:p w:rsidR="00900B10" w:rsidRPr="00E025BA" w:rsidRDefault="00900B10" w:rsidP="00900B10">
            <w:pPr>
              <w:spacing w:before="0"/>
              <w:jc w:val="right"/>
              <w:rPr>
                <w:rFonts w:ascii="Times New Roman" w:hAnsi="Times New Roman" w:cs="Times New Roman"/>
                <w:color w:val="000000"/>
                <w:sz w:val="20"/>
                <w:szCs w:val="20"/>
              </w:rPr>
            </w:pPr>
            <w:r w:rsidRPr="00E025BA">
              <w:rPr>
                <w:rFonts w:ascii="Times New Roman" w:hAnsi="Times New Roman" w:cs="Times New Roman"/>
                <w:color w:val="000000"/>
                <w:sz w:val="20"/>
                <w:szCs w:val="20"/>
              </w:rPr>
              <w:t>2.4951</w:t>
            </w:r>
          </w:p>
        </w:tc>
      </w:tr>
      <w:tr w:rsidR="00900B10" w:rsidTr="00900B10">
        <w:tc>
          <w:tcPr>
            <w:tcW w:w="2005"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4PubHealth</w:t>
            </w:r>
          </w:p>
        </w:tc>
        <w:tc>
          <w:tcPr>
            <w:tcW w:w="1053"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0.0001</w:t>
            </w:r>
          </w:p>
        </w:tc>
        <w:tc>
          <w:tcPr>
            <w:tcW w:w="1054"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0.0001</w:t>
            </w:r>
          </w:p>
        </w:tc>
        <w:tc>
          <w:tcPr>
            <w:tcW w:w="1044"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0.0073</w:t>
            </w:r>
          </w:p>
        </w:tc>
        <w:tc>
          <w:tcPr>
            <w:tcW w:w="1150"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0.0088</w:t>
            </w:r>
          </w:p>
        </w:tc>
        <w:tc>
          <w:tcPr>
            <w:tcW w:w="1088"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88"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78"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250"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75"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75"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79" w:type="dxa"/>
            <w:tcBorders>
              <w:left w:val="single" w:sz="18" w:space="0" w:color="595959" w:themeColor="text1" w:themeTint="A6"/>
            </w:tcBorders>
            <w:shd w:val="clear" w:color="auto" w:fill="FFFF00"/>
            <w:vAlign w:val="bottom"/>
          </w:tcPr>
          <w:p w:rsidR="00900B10" w:rsidRPr="00E025BA" w:rsidRDefault="00900B10" w:rsidP="00900B10">
            <w:pPr>
              <w:spacing w:before="0"/>
              <w:jc w:val="right"/>
              <w:rPr>
                <w:rFonts w:ascii="Times New Roman" w:hAnsi="Times New Roman" w:cs="Times New Roman"/>
                <w:color w:val="000000"/>
                <w:sz w:val="20"/>
                <w:szCs w:val="20"/>
              </w:rPr>
            </w:pPr>
            <w:r w:rsidRPr="00E025BA">
              <w:rPr>
                <w:rFonts w:ascii="Times New Roman" w:hAnsi="Times New Roman" w:cs="Times New Roman"/>
                <w:color w:val="000000"/>
                <w:sz w:val="20"/>
                <w:szCs w:val="20"/>
              </w:rPr>
              <w:t>244.4013</w:t>
            </w:r>
          </w:p>
        </w:tc>
      </w:tr>
      <w:tr w:rsidR="00900B10" w:rsidTr="00900B10">
        <w:tc>
          <w:tcPr>
            <w:tcW w:w="2005"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Pr>
                <w:rFonts w:ascii="Times New Roman" w:hAnsi="Times New Roman" w:cs="Times New Roman"/>
                <w:sz w:val="20"/>
                <w:szCs w:val="20"/>
              </w:rPr>
              <w:t>5</w:t>
            </w:r>
            <w:r w:rsidRPr="000D7F28">
              <w:rPr>
                <w:rFonts w:ascii="Times New Roman" w:hAnsi="Times New Roman" w:cs="Times New Roman"/>
                <w:sz w:val="20"/>
                <w:szCs w:val="20"/>
              </w:rPr>
              <w:t>Acc</w:t>
            </w:r>
            <w:r>
              <w:rPr>
                <w:rFonts w:ascii="Times New Roman" w:hAnsi="Times New Roman" w:cs="Times New Roman"/>
                <w:sz w:val="20"/>
                <w:szCs w:val="20"/>
              </w:rPr>
              <w:t>omTarCity</w:t>
            </w:r>
          </w:p>
        </w:tc>
        <w:tc>
          <w:tcPr>
            <w:tcW w:w="1053"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0.0002</w:t>
            </w:r>
          </w:p>
        </w:tc>
        <w:tc>
          <w:tcPr>
            <w:tcW w:w="1054"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0.0002</w:t>
            </w:r>
          </w:p>
        </w:tc>
        <w:tc>
          <w:tcPr>
            <w:tcW w:w="1044"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0.0073</w:t>
            </w:r>
          </w:p>
        </w:tc>
        <w:tc>
          <w:tcPr>
            <w:tcW w:w="1150"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0.0080</w:t>
            </w:r>
          </w:p>
        </w:tc>
        <w:tc>
          <w:tcPr>
            <w:tcW w:w="1088"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88"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78"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0.0002</w:t>
            </w:r>
          </w:p>
        </w:tc>
        <w:tc>
          <w:tcPr>
            <w:tcW w:w="1250"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0.0001</w:t>
            </w:r>
          </w:p>
        </w:tc>
        <w:tc>
          <w:tcPr>
            <w:tcW w:w="1075"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-0.0001</w:t>
            </w:r>
          </w:p>
        </w:tc>
        <w:tc>
          <w:tcPr>
            <w:tcW w:w="1075"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-0.0001</w:t>
            </w:r>
          </w:p>
        </w:tc>
        <w:tc>
          <w:tcPr>
            <w:tcW w:w="1079" w:type="dxa"/>
            <w:tcBorders>
              <w:left w:val="single" w:sz="18" w:space="0" w:color="595959" w:themeColor="text1" w:themeTint="A6"/>
            </w:tcBorders>
            <w:shd w:val="clear" w:color="auto" w:fill="FFFF00"/>
            <w:vAlign w:val="bottom"/>
          </w:tcPr>
          <w:p w:rsidR="00900B10" w:rsidRPr="00E025BA" w:rsidRDefault="00900B10" w:rsidP="00900B10">
            <w:pPr>
              <w:spacing w:before="0"/>
              <w:jc w:val="right"/>
              <w:rPr>
                <w:rFonts w:ascii="Times New Roman" w:hAnsi="Times New Roman" w:cs="Times New Roman"/>
                <w:color w:val="000000"/>
                <w:sz w:val="20"/>
                <w:szCs w:val="20"/>
              </w:rPr>
            </w:pPr>
            <w:r w:rsidRPr="00E025BA">
              <w:rPr>
                <w:rFonts w:ascii="Times New Roman" w:hAnsi="Times New Roman" w:cs="Times New Roman"/>
                <w:color w:val="000000"/>
                <w:sz w:val="20"/>
                <w:szCs w:val="20"/>
              </w:rPr>
              <w:t>0.0000</w:t>
            </w:r>
          </w:p>
        </w:tc>
      </w:tr>
      <w:tr w:rsidR="00900B10" w:rsidTr="00900B10">
        <w:tc>
          <w:tcPr>
            <w:tcW w:w="2005"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6</w:t>
            </w:r>
            <w:r>
              <w:rPr>
                <w:rFonts w:ascii="Times New Roman" w:hAnsi="Times New Roman" w:cs="Times New Roman"/>
                <w:sz w:val="20"/>
                <w:szCs w:val="20"/>
              </w:rPr>
              <w:t>AccOutsideTC</w:t>
            </w:r>
          </w:p>
        </w:tc>
        <w:tc>
          <w:tcPr>
            <w:tcW w:w="1053"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0.0303</w:t>
            </w:r>
          </w:p>
        </w:tc>
        <w:tc>
          <w:tcPr>
            <w:tcW w:w="1054"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0.0280</w:t>
            </w:r>
          </w:p>
        </w:tc>
        <w:tc>
          <w:tcPr>
            <w:tcW w:w="1044"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0.0132</w:t>
            </w:r>
          </w:p>
        </w:tc>
        <w:tc>
          <w:tcPr>
            <w:tcW w:w="1150"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0.0108</w:t>
            </w:r>
          </w:p>
        </w:tc>
        <w:tc>
          <w:tcPr>
            <w:tcW w:w="1088"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0.0002</w:t>
            </w:r>
          </w:p>
        </w:tc>
        <w:tc>
          <w:tcPr>
            <w:tcW w:w="1088"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0.0001</w:t>
            </w:r>
          </w:p>
        </w:tc>
        <w:tc>
          <w:tcPr>
            <w:tcW w:w="1078"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250"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75"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-0.0138</w:t>
            </w:r>
          </w:p>
        </w:tc>
        <w:tc>
          <w:tcPr>
            <w:tcW w:w="1075"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-0.0229</w:t>
            </w:r>
          </w:p>
        </w:tc>
        <w:tc>
          <w:tcPr>
            <w:tcW w:w="1079" w:type="dxa"/>
            <w:tcBorders>
              <w:left w:val="single" w:sz="18" w:space="0" w:color="595959" w:themeColor="text1" w:themeTint="A6"/>
            </w:tcBorders>
            <w:shd w:val="clear" w:color="auto" w:fill="FFFF00"/>
            <w:vAlign w:val="bottom"/>
          </w:tcPr>
          <w:p w:rsidR="00900B10" w:rsidRPr="00E025BA" w:rsidRDefault="00900B10" w:rsidP="00900B10">
            <w:pPr>
              <w:spacing w:before="0"/>
              <w:jc w:val="right"/>
              <w:rPr>
                <w:rFonts w:ascii="Times New Roman" w:hAnsi="Times New Roman" w:cs="Times New Roman"/>
                <w:color w:val="000000"/>
                <w:sz w:val="20"/>
                <w:szCs w:val="20"/>
              </w:rPr>
            </w:pPr>
            <w:r w:rsidRPr="00E025BA">
              <w:rPr>
                <w:rFonts w:ascii="Times New Roman" w:hAnsi="Times New Roman" w:cs="Times New Roman"/>
                <w:color w:val="000000"/>
                <w:sz w:val="20"/>
                <w:szCs w:val="20"/>
              </w:rPr>
              <w:t>0.0000</w:t>
            </w:r>
          </w:p>
        </w:tc>
      </w:tr>
      <w:tr w:rsidR="00900B10" w:rsidTr="00900B10">
        <w:tc>
          <w:tcPr>
            <w:tcW w:w="2005"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7</w:t>
            </w:r>
            <w:r>
              <w:rPr>
                <w:rFonts w:ascii="Times New Roman" w:hAnsi="Times New Roman" w:cs="Times New Roman"/>
                <w:sz w:val="20"/>
                <w:szCs w:val="20"/>
              </w:rPr>
              <w:t>Lost</w:t>
            </w:r>
            <w:r w:rsidRPr="000D7F28">
              <w:rPr>
                <w:rFonts w:ascii="Times New Roman" w:hAnsi="Times New Roman" w:cs="Times New Roman"/>
                <w:sz w:val="20"/>
                <w:szCs w:val="20"/>
              </w:rPr>
              <w:t>Fgn</w:t>
            </w:r>
            <w:r>
              <w:rPr>
                <w:rFonts w:ascii="Times New Roman" w:hAnsi="Times New Roman" w:cs="Times New Roman"/>
                <w:sz w:val="20"/>
                <w:szCs w:val="20"/>
              </w:rPr>
              <w:t>VisTC</w:t>
            </w:r>
          </w:p>
        </w:tc>
        <w:tc>
          <w:tcPr>
            <w:tcW w:w="1053"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-0.0012</w:t>
            </w:r>
          </w:p>
        </w:tc>
        <w:tc>
          <w:tcPr>
            <w:tcW w:w="1054"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-0.0010</w:t>
            </w:r>
          </w:p>
        </w:tc>
        <w:tc>
          <w:tcPr>
            <w:tcW w:w="1044"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-0.0448</w:t>
            </w:r>
          </w:p>
        </w:tc>
        <w:tc>
          <w:tcPr>
            <w:tcW w:w="1150"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-0.0402</w:t>
            </w:r>
          </w:p>
        </w:tc>
        <w:tc>
          <w:tcPr>
            <w:tcW w:w="1088"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88"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78"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250"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75"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-0.0008</w:t>
            </w:r>
          </w:p>
        </w:tc>
        <w:tc>
          <w:tcPr>
            <w:tcW w:w="1075"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-0.0008</w:t>
            </w:r>
          </w:p>
        </w:tc>
        <w:tc>
          <w:tcPr>
            <w:tcW w:w="1079" w:type="dxa"/>
            <w:tcBorders>
              <w:left w:val="single" w:sz="18" w:space="0" w:color="595959" w:themeColor="text1" w:themeTint="A6"/>
            </w:tcBorders>
            <w:shd w:val="clear" w:color="auto" w:fill="FFFF00"/>
            <w:vAlign w:val="bottom"/>
          </w:tcPr>
          <w:p w:rsidR="00900B10" w:rsidRPr="00E025BA" w:rsidRDefault="00900B10" w:rsidP="00900B10">
            <w:pPr>
              <w:spacing w:before="0"/>
              <w:jc w:val="right"/>
              <w:rPr>
                <w:rFonts w:ascii="Times New Roman" w:hAnsi="Times New Roman" w:cs="Times New Roman"/>
                <w:color w:val="000000"/>
                <w:sz w:val="20"/>
                <w:szCs w:val="20"/>
              </w:rPr>
            </w:pPr>
            <w:r w:rsidRPr="00E025BA">
              <w:rPr>
                <w:rFonts w:ascii="Times New Roman" w:hAnsi="Times New Roman" w:cs="Times New Roman"/>
                <w:color w:val="000000"/>
                <w:sz w:val="20"/>
                <w:szCs w:val="20"/>
              </w:rPr>
              <w:t>50.7424</w:t>
            </w:r>
          </w:p>
        </w:tc>
      </w:tr>
      <w:tr w:rsidR="00900B10" w:rsidTr="00900B10">
        <w:tc>
          <w:tcPr>
            <w:tcW w:w="2005"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8</w:t>
            </w:r>
            <w:r>
              <w:rPr>
                <w:rFonts w:ascii="Times New Roman" w:hAnsi="Times New Roman" w:cs="Times New Roman"/>
                <w:sz w:val="20"/>
                <w:szCs w:val="20"/>
              </w:rPr>
              <w:t>Lost</w:t>
            </w:r>
            <w:r w:rsidRPr="000D7F28">
              <w:rPr>
                <w:rFonts w:ascii="Times New Roman" w:hAnsi="Times New Roman" w:cs="Times New Roman"/>
                <w:sz w:val="20"/>
                <w:szCs w:val="20"/>
              </w:rPr>
              <w:t>Fgn</w:t>
            </w:r>
            <w:r>
              <w:rPr>
                <w:rFonts w:ascii="Times New Roman" w:hAnsi="Times New Roman" w:cs="Times New Roman"/>
                <w:sz w:val="20"/>
                <w:szCs w:val="20"/>
              </w:rPr>
              <w:t>VisOuTC</w:t>
            </w:r>
          </w:p>
        </w:tc>
        <w:tc>
          <w:tcPr>
            <w:tcW w:w="1053"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-0.0126</w:t>
            </w:r>
          </w:p>
        </w:tc>
        <w:tc>
          <w:tcPr>
            <w:tcW w:w="1054"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-0.0104</w:t>
            </w:r>
          </w:p>
        </w:tc>
        <w:tc>
          <w:tcPr>
            <w:tcW w:w="1044"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-0.0114</w:t>
            </w:r>
          </w:p>
        </w:tc>
        <w:tc>
          <w:tcPr>
            <w:tcW w:w="1150"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-0.0096</w:t>
            </w:r>
          </w:p>
        </w:tc>
        <w:tc>
          <w:tcPr>
            <w:tcW w:w="1088"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88"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78"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250"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75"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-0.0086</w:t>
            </w:r>
          </w:p>
        </w:tc>
        <w:tc>
          <w:tcPr>
            <w:tcW w:w="1075"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-0.0090</w:t>
            </w:r>
          </w:p>
        </w:tc>
        <w:tc>
          <w:tcPr>
            <w:tcW w:w="1079" w:type="dxa"/>
            <w:tcBorders>
              <w:left w:val="single" w:sz="18" w:space="0" w:color="595959" w:themeColor="text1" w:themeTint="A6"/>
            </w:tcBorders>
            <w:shd w:val="clear" w:color="auto" w:fill="FFFF00"/>
            <w:vAlign w:val="bottom"/>
          </w:tcPr>
          <w:p w:rsidR="00900B10" w:rsidRPr="00E025BA" w:rsidRDefault="00900B10" w:rsidP="00900B10">
            <w:pPr>
              <w:spacing w:before="0"/>
              <w:jc w:val="right"/>
              <w:rPr>
                <w:rFonts w:ascii="Times New Roman" w:hAnsi="Times New Roman" w:cs="Times New Roman"/>
                <w:color w:val="000000"/>
                <w:sz w:val="20"/>
                <w:szCs w:val="20"/>
              </w:rPr>
            </w:pPr>
            <w:r w:rsidRPr="00E025BA">
              <w:rPr>
                <w:rFonts w:ascii="Times New Roman" w:hAnsi="Times New Roman" w:cs="Times New Roman"/>
                <w:color w:val="000000"/>
                <w:sz w:val="20"/>
                <w:szCs w:val="20"/>
              </w:rPr>
              <w:t>25.3712</w:t>
            </w:r>
          </w:p>
        </w:tc>
      </w:tr>
      <w:tr w:rsidR="00900B10" w:rsidTr="00900B10">
        <w:tc>
          <w:tcPr>
            <w:tcW w:w="2005"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9</w:t>
            </w:r>
            <w:r>
              <w:rPr>
                <w:rFonts w:ascii="Times New Roman" w:hAnsi="Times New Roman" w:cs="Times New Roman"/>
                <w:sz w:val="20"/>
                <w:szCs w:val="20"/>
              </w:rPr>
              <w:t>LostDomVisTC</w:t>
            </w:r>
          </w:p>
        </w:tc>
        <w:tc>
          <w:tcPr>
            <w:tcW w:w="1053"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54"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44"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-0.0804</w:t>
            </w:r>
          </w:p>
        </w:tc>
        <w:tc>
          <w:tcPr>
            <w:tcW w:w="1150"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-0.0708</w:t>
            </w:r>
          </w:p>
        </w:tc>
        <w:tc>
          <w:tcPr>
            <w:tcW w:w="1088"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88"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78"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-0.0003</w:t>
            </w:r>
          </w:p>
        </w:tc>
        <w:tc>
          <w:tcPr>
            <w:tcW w:w="1250"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-0.0003</w:t>
            </w:r>
          </w:p>
        </w:tc>
        <w:tc>
          <w:tcPr>
            <w:tcW w:w="1075"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75"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79" w:type="dxa"/>
            <w:tcBorders>
              <w:left w:val="single" w:sz="18" w:space="0" w:color="595959" w:themeColor="text1" w:themeTint="A6"/>
            </w:tcBorders>
            <w:shd w:val="clear" w:color="auto" w:fill="FFFF00"/>
            <w:vAlign w:val="bottom"/>
          </w:tcPr>
          <w:p w:rsidR="00900B10" w:rsidRPr="00E025BA" w:rsidRDefault="00900B10" w:rsidP="00900B10">
            <w:pPr>
              <w:spacing w:before="0"/>
              <w:jc w:val="right"/>
              <w:rPr>
                <w:rFonts w:ascii="Times New Roman" w:hAnsi="Times New Roman" w:cs="Times New Roman"/>
                <w:color w:val="000000"/>
                <w:sz w:val="20"/>
                <w:szCs w:val="20"/>
              </w:rPr>
            </w:pPr>
            <w:r w:rsidRPr="00E025BA">
              <w:rPr>
                <w:rFonts w:ascii="Times New Roman" w:hAnsi="Times New Roman" w:cs="Times New Roman"/>
                <w:color w:val="000000"/>
                <w:sz w:val="20"/>
                <w:szCs w:val="20"/>
              </w:rPr>
              <w:t>0.0773</w:t>
            </w:r>
          </w:p>
        </w:tc>
      </w:tr>
      <w:tr w:rsidR="00900B10" w:rsidTr="00900B10">
        <w:tc>
          <w:tcPr>
            <w:tcW w:w="2005"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10</w:t>
            </w:r>
            <w:r>
              <w:rPr>
                <w:rFonts w:ascii="Times New Roman" w:hAnsi="Times New Roman" w:cs="Times New Roman"/>
                <w:sz w:val="20"/>
                <w:szCs w:val="20"/>
              </w:rPr>
              <w:t>LostDomVisOutTC</w:t>
            </w:r>
          </w:p>
        </w:tc>
        <w:tc>
          <w:tcPr>
            <w:tcW w:w="1053"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-0.0360</w:t>
            </w:r>
          </w:p>
        </w:tc>
        <w:tc>
          <w:tcPr>
            <w:tcW w:w="1054"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-0.0284</w:t>
            </w:r>
          </w:p>
        </w:tc>
        <w:tc>
          <w:tcPr>
            <w:tcW w:w="1044"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-0.0237</w:t>
            </w:r>
          </w:p>
        </w:tc>
        <w:tc>
          <w:tcPr>
            <w:tcW w:w="1150"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-0.0191</w:t>
            </w:r>
          </w:p>
        </w:tc>
        <w:tc>
          <w:tcPr>
            <w:tcW w:w="1088"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88"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-0.0001</w:t>
            </w:r>
          </w:p>
        </w:tc>
        <w:tc>
          <w:tcPr>
            <w:tcW w:w="1078"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250"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-0.0001</w:t>
            </w:r>
          </w:p>
        </w:tc>
        <w:tc>
          <w:tcPr>
            <w:tcW w:w="1075"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-0.0263</w:t>
            </w:r>
          </w:p>
        </w:tc>
        <w:tc>
          <w:tcPr>
            <w:tcW w:w="1075"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-0.0238</w:t>
            </w:r>
          </w:p>
        </w:tc>
        <w:tc>
          <w:tcPr>
            <w:tcW w:w="1079" w:type="dxa"/>
            <w:tcBorders>
              <w:left w:val="single" w:sz="18" w:space="0" w:color="595959" w:themeColor="text1" w:themeTint="A6"/>
            </w:tcBorders>
            <w:shd w:val="clear" w:color="auto" w:fill="FFFF00"/>
            <w:vAlign w:val="bottom"/>
          </w:tcPr>
          <w:p w:rsidR="00900B10" w:rsidRPr="00E025BA" w:rsidRDefault="00900B10" w:rsidP="00900B10">
            <w:pPr>
              <w:spacing w:before="0"/>
              <w:jc w:val="right"/>
              <w:rPr>
                <w:rFonts w:ascii="Times New Roman" w:hAnsi="Times New Roman" w:cs="Times New Roman"/>
                <w:color w:val="000000"/>
                <w:sz w:val="20"/>
                <w:szCs w:val="20"/>
              </w:rPr>
            </w:pPr>
            <w:r w:rsidRPr="00E025BA">
              <w:rPr>
                <w:rFonts w:ascii="Times New Roman" w:hAnsi="Times New Roman" w:cs="Times New Roman"/>
                <w:color w:val="000000"/>
                <w:sz w:val="20"/>
                <w:szCs w:val="20"/>
              </w:rPr>
              <w:t>0.0000</w:t>
            </w:r>
          </w:p>
        </w:tc>
      </w:tr>
      <w:tr w:rsidR="00900B10" w:rsidTr="00900B10">
        <w:tc>
          <w:tcPr>
            <w:tcW w:w="2005"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11</w:t>
            </w:r>
            <w:r>
              <w:rPr>
                <w:rFonts w:ascii="Times New Roman" w:hAnsi="Times New Roman" w:cs="Times New Roman"/>
                <w:sz w:val="20"/>
                <w:szCs w:val="20"/>
              </w:rPr>
              <w:t>Lost</w:t>
            </w:r>
            <w:r w:rsidRPr="000D7F28">
              <w:rPr>
                <w:rFonts w:ascii="Times New Roman" w:hAnsi="Times New Roman" w:cs="Times New Roman"/>
                <w:sz w:val="20"/>
                <w:szCs w:val="20"/>
              </w:rPr>
              <w:t>Food</w:t>
            </w:r>
            <w:r>
              <w:rPr>
                <w:rFonts w:ascii="Times New Roman" w:hAnsi="Times New Roman" w:cs="Times New Roman"/>
                <w:sz w:val="20"/>
                <w:szCs w:val="20"/>
              </w:rPr>
              <w:t>Tar</w:t>
            </w:r>
            <w:r w:rsidRPr="000D7F28">
              <w:rPr>
                <w:rFonts w:ascii="Times New Roman" w:hAnsi="Times New Roman" w:cs="Times New Roman"/>
                <w:sz w:val="20"/>
                <w:szCs w:val="20"/>
              </w:rPr>
              <w:t>St</w:t>
            </w:r>
            <w:r>
              <w:rPr>
                <w:rFonts w:ascii="Times New Roman" w:hAnsi="Times New Roman" w:cs="Times New Roman"/>
                <w:sz w:val="20"/>
                <w:szCs w:val="20"/>
              </w:rPr>
              <w:t>aste</w:t>
            </w:r>
          </w:p>
        </w:tc>
        <w:tc>
          <w:tcPr>
            <w:tcW w:w="1053"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-0.0012</w:t>
            </w:r>
          </w:p>
        </w:tc>
        <w:tc>
          <w:tcPr>
            <w:tcW w:w="1054"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-0.0009</w:t>
            </w:r>
          </w:p>
        </w:tc>
        <w:tc>
          <w:tcPr>
            <w:tcW w:w="1044"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-0.0335</w:t>
            </w:r>
          </w:p>
        </w:tc>
        <w:tc>
          <w:tcPr>
            <w:tcW w:w="1150"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-0.0261</w:t>
            </w:r>
          </w:p>
        </w:tc>
        <w:tc>
          <w:tcPr>
            <w:tcW w:w="1088"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88"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78"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0.0001</w:t>
            </w:r>
          </w:p>
        </w:tc>
        <w:tc>
          <w:tcPr>
            <w:tcW w:w="1250"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0.0001</w:t>
            </w:r>
          </w:p>
        </w:tc>
        <w:tc>
          <w:tcPr>
            <w:tcW w:w="1075"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-0.0009</w:t>
            </w:r>
          </w:p>
        </w:tc>
        <w:tc>
          <w:tcPr>
            <w:tcW w:w="1075"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-0.0010</w:t>
            </w:r>
          </w:p>
        </w:tc>
        <w:tc>
          <w:tcPr>
            <w:tcW w:w="1079" w:type="dxa"/>
            <w:tcBorders>
              <w:left w:val="single" w:sz="18" w:space="0" w:color="595959" w:themeColor="text1" w:themeTint="A6"/>
            </w:tcBorders>
            <w:shd w:val="clear" w:color="auto" w:fill="FFFF00"/>
            <w:vAlign w:val="bottom"/>
          </w:tcPr>
          <w:p w:rsidR="00900B10" w:rsidRPr="00E025BA" w:rsidRDefault="00900B10" w:rsidP="00900B10">
            <w:pPr>
              <w:spacing w:before="0"/>
              <w:jc w:val="right"/>
              <w:rPr>
                <w:rFonts w:ascii="Times New Roman" w:hAnsi="Times New Roman" w:cs="Times New Roman"/>
                <w:color w:val="000000"/>
                <w:sz w:val="20"/>
                <w:szCs w:val="20"/>
              </w:rPr>
            </w:pPr>
            <w:r w:rsidRPr="00E025BA">
              <w:rPr>
                <w:rFonts w:ascii="Times New Roman" w:hAnsi="Times New Roman" w:cs="Times New Roman"/>
                <w:color w:val="000000"/>
                <w:sz w:val="20"/>
                <w:szCs w:val="20"/>
              </w:rPr>
              <w:t>0.0000</w:t>
            </w:r>
          </w:p>
        </w:tc>
      </w:tr>
      <w:tr w:rsidR="00900B10" w:rsidRPr="00E025BA" w:rsidTr="00900B10">
        <w:tc>
          <w:tcPr>
            <w:tcW w:w="2005"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12</w:t>
            </w:r>
            <w:r>
              <w:rPr>
                <w:rFonts w:ascii="Times New Roman" w:hAnsi="Times New Roman" w:cs="Times New Roman"/>
                <w:sz w:val="20"/>
                <w:szCs w:val="20"/>
              </w:rPr>
              <w:t>Lost</w:t>
            </w:r>
            <w:r w:rsidRPr="000D7F28">
              <w:rPr>
                <w:rFonts w:ascii="Times New Roman" w:hAnsi="Times New Roman" w:cs="Times New Roman"/>
                <w:sz w:val="20"/>
                <w:szCs w:val="20"/>
              </w:rPr>
              <w:t>FoodNat</w:t>
            </w:r>
            <w:r>
              <w:rPr>
                <w:rFonts w:ascii="Times New Roman" w:hAnsi="Times New Roman" w:cs="Times New Roman"/>
                <w:sz w:val="20"/>
                <w:szCs w:val="20"/>
              </w:rPr>
              <w:t>ion</w:t>
            </w:r>
          </w:p>
        </w:tc>
        <w:tc>
          <w:tcPr>
            <w:tcW w:w="1053"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-0.1421</w:t>
            </w:r>
          </w:p>
        </w:tc>
        <w:tc>
          <w:tcPr>
            <w:tcW w:w="1054"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-0.1012</w:t>
            </w:r>
          </w:p>
        </w:tc>
        <w:tc>
          <w:tcPr>
            <w:tcW w:w="1044"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-0.1310</w:t>
            </w:r>
          </w:p>
        </w:tc>
        <w:tc>
          <w:tcPr>
            <w:tcW w:w="1150"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-0.1179</w:t>
            </w:r>
          </w:p>
        </w:tc>
        <w:tc>
          <w:tcPr>
            <w:tcW w:w="1088"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-0.0004</w:t>
            </w:r>
          </w:p>
        </w:tc>
        <w:tc>
          <w:tcPr>
            <w:tcW w:w="1088"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-0.0005</w:t>
            </w:r>
          </w:p>
        </w:tc>
        <w:tc>
          <w:tcPr>
            <w:tcW w:w="1078"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-0.0013</w:t>
            </w:r>
          </w:p>
        </w:tc>
        <w:tc>
          <w:tcPr>
            <w:tcW w:w="1250"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-0.0004</w:t>
            </w:r>
          </w:p>
        </w:tc>
        <w:tc>
          <w:tcPr>
            <w:tcW w:w="1075"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-0.0999</w:t>
            </w:r>
          </w:p>
        </w:tc>
        <w:tc>
          <w:tcPr>
            <w:tcW w:w="1075"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-0.1020</w:t>
            </w:r>
          </w:p>
        </w:tc>
        <w:tc>
          <w:tcPr>
            <w:tcW w:w="1079" w:type="dxa"/>
            <w:tcBorders>
              <w:left w:val="single" w:sz="18" w:space="0" w:color="595959" w:themeColor="text1" w:themeTint="A6"/>
            </w:tcBorders>
            <w:shd w:val="clear" w:color="auto" w:fill="FFFF00"/>
            <w:vAlign w:val="bottom"/>
          </w:tcPr>
          <w:p w:rsidR="00900B10" w:rsidRPr="00E025BA" w:rsidRDefault="00900B10" w:rsidP="00900B10">
            <w:pPr>
              <w:spacing w:before="0"/>
              <w:jc w:val="right"/>
              <w:rPr>
                <w:rFonts w:ascii="Times New Roman" w:hAnsi="Times New Roman" w:cs="Times New Roman"/>
                <w:color w:val="000000"/>
                <w:sz w:val="20"/>
                <w:szCs w:val="20"/>
              </w:rPr>
            </w:pPr>
            <w:r w:rsidRPr="00E025BA">
              <w:rPr>
                <w:rFonts w:ascii="Times New Roman" w:hAnsi="Times New Roman" w:cs="Times New Roman"/>
                <w:color w:val="000000"/>
                <w:sz w:val="20"/>
                <w:szCs w:val="20"/>
              </w:rPr>
              <w:t>0.0000</w:t>
            </w:r>
          </w:p>
        </w:tc>
      </w:tr>
      <w:tr w:rsidR="00900B10" w:rsidTr="00900B10">
        <w:trPr>
          <w:trHeight w:val="224"/>
        </w:trPr>
        <w:tc>
          <w:tcPr>
            <w:tcW w:w="2005"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13</w:t>
            </w:r>
            <w:r>
              <w:rPr>
                <w:rFonts w:ascii="Times New Roman" w:hAnsi="Times New Roman" w:cs="Times New Roman"/>
                <w:sz w:val="20"/>
                <w:szCs w:val="20"/>
              </w:rPr>
              <w:t>Lost</w:t>
            </w:r>
            <w:r w:rsidRPr="000D7F28">
              <w:rPr>
                <w:rFonts w:ascii="Times New Roman" w:hAnsi="Times New Roman" w:cs="Times New Roman"/>
                <w:sz w:val="20"/>
                <w:szCs w:val="20"/>
              </w:rPr>
              <w:t>Nat</w:t>
            </w:r>
            <w:r>
              <w:rPr>
                <w:rFonts w:ascii="Times New Roman" w:hAnsi="Times New Roman" w:cs="Times New Roman"/>
                <w:sz w:val="20"/>
                <w:szCs w:val="20"/>
              </w:rPr>
              <w:t>ion</w:t>
            </w:r>
            <w:r w:rsidRPr="000D7F28">
              <w:rPr>
                <w:rFonts w:ascii="Times New Roman" w:hAnsi="Times New Roman" w:cs="Times New Roman"/>
                <w:sz w:val="20"/>
                <w:szCs w:val="20"/>
              </w:rPr>
              <w:t>Lab</w:t>
            </w:r>
          </w:p>
        </w:tc>
        <w:tc>
          <w:tcPr>
            <w:tcW w:w="1053"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-0.5470</w:t>
            </w:r>
          </w:p>
        </w:tc>
        <w:tc>
          <w:tcPr>
            <w:tcW w:w="1054"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-0.6131</w:t>
            </w:r>
          </w:p>
        </w:tc>
        <w:tc>
          <w:tcPr>
            <w:tcW w:w="1044"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-51.3175</w:t>
            </w:r>
          </w:p>
        </w:tc>
        <w:tc>
          <w:tcPr>
            <w:tcW w:w="1150"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-56.4681</w:t>
            </w:r>
          </w:p>
        </w:tc>
        <w:tc>
          <w:tcPr>
            <w:tcW w:w="1088"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-0.9546</w:t>
            </w:r>
          </w:p>
        </w:tc>
        <w:tc>
          <w:tcPr>
            <w:tcW w:w="1088"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-0.9873</w:t>
            </w:r>
          </w:p>
        </w:tc>
        <w:tc>
          <w:tcPr>
            <w:tcW w:w="1078" w:type="dxa"/>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-0.0130</w:t>
            </w:r>
          </w:p>
        </w:tc>
        <w:tc>
          <w:tcPr>
            <w:tcW w:w="1250"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-0.0096</w:t>
            </w:r>
          </w:p>
        </w:tc>
        <w:tc>
          <w:tcPr>
            <w:tcW w:w="1075" w:type="dxa"/>
            <w:tcBorders>
              <w:lef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-298.6371</w:t>
            </w:r>
          </w:p>
        </w:tc>
        <w:tc>
          <w:tcPr>
            <w:tcW w:w="1075" w:type="dxa"/>
            <w:tcBorders>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-307.3186</w:t>
            </w:r>
          </w:p>
        </w:tc>
        <w:tc>
          <w:tcPr>
            <w:tcW w:w="1079" w:type="dxa"/>
            <w:tcBorders>
              <w:left w:val="single" w:sz="18" w:space="0" w:color="595959" w:themeColor="text1" w:themeTint="A6"/>
            </w:tcBorders>
            <w:shd w:val="clear" w:color="auto" w:fill="FFFF00"/>
            <w:vAlign w:val="bottom"/>
          </w:tcPr>
          <w:p w:rsidR="00900B10" w:rsidRPr="00E025BA" w:rsidRDefault="00900B10" w:rsidP="00900B10">
            <w:pPr>
              <w:spacing w:before="0"/>
              <w:jc w:val="right"/>
              <w:rPr>
                <w:rFonts w:ascii="Times New Roman" w:hAnsi="Times New Roman" w:cs="Times New Roman"/>
                <w:color w:val="000000"/>
                <w:sz w:val="20"/>
                <w:szCs w:val="20"/>
              </w:rPr>
            </w:pPr>
            <w:r w:rsidRPr="00E025BA">
              <w:rPr>
                <w:rFonts w:ascii="Times New Roman" w:hAnsi="Times New Roman" w:cs="Times New Roman"/>
                <w:color w:val="000000"/>
                <w:sz w:val="20"/>
                <w:szCs w:val="20"/>
              </w:rPr>
              <w:t>0.0119</w:t>
            </w:r>
          </w:p>
        </w:tc>
      </w:tr>
      <w:tr w:rsidR="00900B10" w:rsidTr="00900B10">
        <w:tc>
          <w:tcPr>
            <w:tcW w:w="2005" w:type="dxa"/>
            <w:tcBorders>
              <w:bottom w:val="single" w:sz="18" w:space="0" w:color="595959" w:themeColor="text1" w:themeTint="A6"/>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14</w:t>
            </w:r>
            <w:r>
              <w:rPr>
                <w:rFonts w:ascii="Times New Roman" w:hAnsi="Times New Roman" w:cs="Times New Roman"/>
                <w:sz w:val="20"/>
                <w:szCs w:val="20"/>
              </w:rPr>
              <w:t>AversionToTarReg</w:t>
            </w:r>
          </w:p>
        </w:tc>
        <w:tc>
          <w:tcPr>
            <w:tcW w:w="1053" w:type="dxa"/>
            <w:tcBorders>
              <w:left w:val="single" w:sz="18" w:space="0" w:color="595959" w:themeColor="text1" w:themeTint="A6"/>
              <w:bottom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54" w:type="dxa"/>
            <w:tcBorders>
              <w:bottom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44" w:type="dxa"/>
            <w:tcBorders>
              <w:bottom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-0.4354</w:t>
            </w:r>
          </w:p>
        </w:tc>
        <w:tc>
          <w:tcPr>
            <w:tcW w:w="1150" w:type="dxa"/>
            <w:tcBorders>
              <w:bottom w:val="single" w:sz="18" w:space="0" w:color="595959" w:themeColor="text1" w:themeTint="A6"/>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-0.4796</w:t>
            </w:r>
          </w:p>
        </w:tc>
        <w:tc>
          <w:tcPr>
            <w:tcW w:w="1088" w:type="dxa"/>
            <w:tcBorders>
              <w:left w:val="single" w:sz="18" w:space="0" w:color="595959" w:themeColor="text1" w:themeTint="A6"/>
              <w:bottom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88" w:type="dxa"/>
            <w:tcBorders>
              <w:bottom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78" w:type="dxa"/>
            <w:tcBorders>
              <w:bottom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-0.8123</w:t>
            </w:r>
          </w:p>
        </w:tc>
        <w:tc>
          <w:tcPr>
            <w:tcW w:w="1250" w:type="dxa"/>
            <w:tcBorders>
              <w:bottom w:val="single" w:sz="18" w:space="0" w:color="595959" w:themeColor="text1" w:themeTint="A6"/>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-0.8927</w:t>
            </w:r>
          </w:p>
        </w:tc>
        <w:tc>
          <w:tcPr>
            <w:tcW w:w="1075" w:type="dxa"/>
            <w:tcBorders>
              <w:left w:val="single" w:sz="18" w:space="0" w:color="595959" w:themeColor="text1" w:themeTint="A6"/>
              <w:bottom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75" w:type="dxa"/>
            <w:tcBorders>
              <w:bottom w:val="single" w:sz="18" w:space="0" w:color="595959" w:themeColor="text1" w:themeTint="A6"/>
              <w:right w:val="single" w:sz="18" w:space="0" w:color="595959" w:themeColor="text1" w:themeTint="A6"/>
            </w:tcBorders>
            <w:vAlign w:val="bottom"/>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w:t>
            </w:r>
          </w:p>
        </w:tc>
        <w:tc>
          <w:tcPr>
            <w:tcW w:w="1079" w:type="dxa"/>
            <w:tcBorders>
              <w:left w:val="single" w:sz="18" w:space="0" w:color="595959" w:themeColor="text1" w:themeTint="A6"/>
              <w:bottom w:val="single" w:sz="18" w:space="0" w:color="595959" w:themeColor="text1" w:themeTint="A6"/>
            </w:tcBorders>
            <w:shd w:val="clear" w:color="auto" w:fill="FFFF00"/>
            <w:vAlign w:val="bottom"/>
          </w:tcPr>
          <w:p w:rsidR="00900B10" w:rsidRPr="00E025BA" w:rsidRDefault="00900B10" w:rsidP="00900B10">
            <w:pPr>
              <w:spacing w:before="0"/>
              <w:jc w:val="right"/>
              <w:rPr>
                <w:rFonts w:ascii="Times New Roman" w:hAnsi="Times New Roman" w:cs="Times New Roman"/>
                <w:color w:val="000000"/>
                <w:sz w:val="20"/>
                <w:szCs w:val="20"/>
              </w:rPr>
            </w:pPr>
            <w:r w:rsidRPr="00E025BA">
              <w:rPr>
                <w:rFonts w:ascii="Times New Roman" w:hAnsi="Times New Roman" w:cs="Times New Roman"/>
                <w:color w:val="000000"/>
                <w:sz w:val="20"/>
                <w:szCs w:val="20"/>
              </w:rPr>
              <w:t>0.0000</w:t>
            </w:r>
          </w:p>
        </w:tc>
      </w:tr>
      <w:tr w:rsidR="00900B10" w:rsidTr="00900B10">
        <w:tc>
          <w:tcPr>
            <w:tcW w:w="2005" w:type="dxa"/>
            <w:tcBorders>
              <w:top w:val="single" w:sz="18" w:space="0" w:color="595959" w:themeColor="text1" w:themeTint="A6"/>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p>
        </w:tc>
        <w:tc>
          <w:tcPr>
            <w:tcW w:w="10955" w:type="dxa"/>
            <w:gridSpan w:val="10"/>
            <w:tcBorders>
              <w:top w:val="single" w:sz="18" w:space="0" w:color="595959" w:themeColor="text1" w:themeTint="A6"/>
              <w:left w:val="single" w:sz="18" w:space="0" w:color="595959" w:themeColor="text1" w:themeTint="A6"/>
              <w:right w:val="single" w:sz="18" w:space="0" w:color="595959" w:themeColor="text1" w:themeTint="A6"/>
            </w:tcBorders>
            <w:vAlign w:val="bottom"/>
          </w:tcPr>
          <w:p w:rsidR="00900B10" w:rsidRPr="00A42EEB" w:rsidRDefault="00900B10" w:rsidP="00900B10">
            <w:pPr>
              <w:spacing w:before="0"/>
              <w:jc w:val="center"/>
              <w:rPr>
                <w:rFonts w:ascii="Times New Roman" w:hAnsi="Times New Roman" w:cs="Times New Roman"/>
                <w:b/>
                <w:color w:val="000000"/>
                <w:sz w:val="20"/>
                <w:szCs w:val="20"/>
              </w:rPr>
            </w:pPr>
            <w:r>
              <w:rPr>
                <w:rFonts w:ascii="Times New Roman" w:hAnsi="Times New Roman" w:cs="Times New Roman"/>
                <w:b/>
                <w:color w:val="000000"/>
                <w:sz w:val="20"/>
                <w:szCs w:val="20"/>
              </w:rPr>
              <w:t>Contributions of shocks</w:t>
            </w:r>
          </w:p>
        </w:tc>
        <w:tc>
          <w:tcPr>
            <w:tcW w:w="1079" w:type="dxa"/>
            <w:tcBorders>
              <w:top w:val="single" w:sz="18" w:space="0" w:color="595959" w:themeColor="text1" w:themeTint="A6"/>
              <w:left w:val="single" w:sz="18" w:space="0" w:color="595959" w:themeColor="text1" w:themeTint="A6"/>
            </w:tcBorders>
            <w:vAlign w:val="bottom"/>
          </w:tcPr>
          <w:p w:rsidR="00900B10" w:rsidRPr="000F2782" w:rsidRDefault="00900B10" w:rsidP="00900B10">
            <w:pPr>
              <w:spacing w:before="0"/>
              <w:rPr>
                <w:rFonts w:ascii="Times New Roman" w:hAnsi="Times New Roman" w:cs="Times New Roman"/>
                <w:color w:val="000000"/>
                <w:sz w:val="20"/>
                <w:szCs w:val="20"/>
              </w:rPr>
            </w:pPr>
          </w:p>
        </w:tc>
      </w:tr>
      <w:tr w:rsidR="00900B10" w:rsidTr="00900B10">
        <w:tc>
          <w:tcPr>
            <w:tcW w:w="2005"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1KDestruct</w:t>
            </w:r>
          </w:p>
        </w:tc>
        <w:tc>
          <w:tcPr>
            <w:tcW w:w="1053"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54"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44"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150"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88"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88"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8"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250"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5"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5"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9"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p>
        </w:tc>
      </w:tr>
      <w:tr w:rsidR="00900B10" w:rsidTr="00900B10">
        <w:tc>
          <w:tcPr>
            <w:tcW w:w="2005"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2K</w:t>
            </w:r>
            <w:r>
              <w:rPr>
                <w:rFonts w:ascii="Times New Roman" w:hAnsi="Times New Roman" w:cs="Times New Roman"/>
                <w:sz w:val="20"/>
                <w:szCs w:val="20"/>
              </w:rPr>
              <w:t>Return</w:t>
            </w:r>
          </w:p>
        </w:tc>
        <w:tc>
          <w:tcPr>
            <w:tcW w:w="1053"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54"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44"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150"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88"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88"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8"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250"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5"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5"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9"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p>
        </w:tc>
      </w:tr>
      <w:tr w:rsidR="00900B10" w:rsidTr="00900B10">
        <w:tc>
          <w:tcPr>
            <w:tcW w:w="2005"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3CleanUp</w:t>
            </w:r>
          </w:p>
        </w:tc>
        <w:tc>
          <w:tcPr>
            <w:tcW w:w="1053"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0.00429</w:t>
            </w:r>
          </w:p>
        </w:tc>
        <w:tc>
          <w:tcPr>
            <w:tcW w:w="1054"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0.00392</w:t>
            </w:r>
          </w:p>
        </w:tc>
        <w:tc>
          <w:tcPr>
            <w:tcW w:w="1044"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0.21607</w:t>
            </w:r>
          </w:p>
        </w:tc>
        <w:tc>
          <w:tcPr>
            <w:tcW w:w="1150"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0.22880</w:t>
            </w:r>
          </w:p>
        </w:tc>
        <w:tc>
          <w:tcPr>
            <w:tcW w:w="1088"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-0.00002</w:t>
            </w:r>
          </w:p>
        </w:tc>
        <w:tc>
          <w:tcPr>
            <w:tcW w:w="1088"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0.00001</w:t>
            </w:r>
          </w:p>
        </w:tc>
        <w:tc>
          <w:tcPr>
            <w:tcW w:w="1078"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-0.00311</w:t>
            </w:r>
          </w:p>
        </w:tc>
        <w:tc>
          <w:tcPr>
            <w:tcW w:w="1250"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-0.00044</w:t>
            </w:r>
          </w:p>
        </w:tc>
        <w:tc>
          <w:tcPr>
            <w:tcW w:w="1075"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-0.00015</w:t>
            </w:r>
          </w:p>
        </w:tc>
        <w:tc>
          <w:tcPr>
            <w:tcW w:w="1075"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-0.00128</w:t>
            </w:r>
          </w:p>
        </w:tc>
        <w:tc>
          <w:tcPr>
            <w:tcW w:w="1079"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p>
        </w:tc>
      </w:tr>
      <w:tr w:rsidR="00900B10" w:rsidTr="00900B10">
        <w:tc>
          <w:tcPr>
            <w:tcW w:w="2005"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4PubHealth</w:t>
            </w:r>
          </w:p>
        </w:tc>
        <w:tc>
          <w:tcPr>
            <w:tcW w:w="1053"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0.03031</w:t>
            </w:r>
          </w:p>
        </w:tc>
        <w:tc>
          <w:tcPr>
            <w:tcW w:w="1054"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0.03055</w:t>
            </w:r>
          </w:p>
        </w:tc>
        <w:tc>
          <w:tcPr>
            <w:tcW w:w="1044"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1.78266</w:t>
            </w:r>
          </w:p>
        </w:tc>
        <w:tc>
          <w:tcPr>
            <w:tcW w:w="1150"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2.15220</w:t>
            </w:r>
          </w:p>
        </w:tc>
        <w:tc>
          <w:tcPr>
            <w:tcW w:w="1088"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0.00024</w:t>
            </w:r>
          </w:p>
        </w:tc>
        <w:tc>
          <w:tcPr>
            <w:tcW w:w="1088"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8"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-0.00269</w:t>
            </w:r>
          </w:p>
        </w:tc>
        <w:tc>
          <w:tcPr>
            <w:tcW w:w="1250"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-0.00929</w:t>
            </w:r>
          </w:p>
        </w:tc>
        <w:tc>
          <w:tcPr>
            <w:tcW w:w="1075"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-0.00269</w:t>
            </w:r>
          </w:p>
        </w:tc>
        <w:tc>
          <w:tcPr>
            <w:tcW w:w="1075"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-0.00929</w:t>
            </w:r>
          </w:p>
        </w:tc>
        <w:tc>
          <w:tcPr>
            <w:tcW w:w="1079"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p>
        </w:tc>
      </w:tr>
      <w:tr w:rsidR="00900B10" w:rsidTr="00900B10">
        <w:tc>
          <w:tcPr>
            <w:tcW w:w="2005"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Pr>
                <w:rFonts w:ascii="Times New Roman" w:hAnsi="Times New Roman" w:cs="Times New Roman"/>
                <w:sz w:val="20"/>
                <w:szCs w:val="20"/>
              </w:rPr>
              <w:t>5</w:t>
            </w:r>
            <w:r w:rsidRPr="000D7F28">
              <w:rPr>
                <w:rFonts w:ascii="Times New Roman" w:hAnsi="Times New Roman" w:cs="Times New Roman"/>
                <w:sz w:val="20"/>
                <w:szCs w:val="20"/>
              </w:rPr>
              <w:t>Acc</w:t>
            </w:r>
            <w:r>
              <w:rPr>
                <w:rFonts w:ascii="Times New Roman" w:hAnsi="Times New Roman" w:cs="Times New Roman"/>
                <w:sz w:val="20"/>
                <w:szCs w:val="20"/>
              </w:rPr>
              <w:t>omTarCity</w:t>
            </w:r>
          </w:p>
        </w:tc>
        <w:tc>
          <w:tcPr>
            <w:tcW w:w="1053"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54"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44"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150"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88"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88"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8"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250"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5"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5"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9"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p>
        </w:tc>
      </w:tr>
      <w:tr w:rsidR="00900B10" w:rsidTr="00900B10">
        <w:tc>
          <w:tcPr>
            <w:tcW w:w="2005"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6</w:t>
            </w:r>
            <w:r>
              <w:rPr>
                <w:rFonts w:ascii="Times New Roman" w:hAnsi="Times New Roman" w:cs="Times New Roman"/>
                <w:sz w:val="20"/>
                <w:szCs w:val="20"/>
              </w:rPr>
              <w:t>AccOutsideTC</w:t>
            </w:r>
          </w:p>
        </w:tc>
        <w:tc>
          <w:tcPr>
            <w:tcW w:w="1053"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54"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44"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150"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88"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88"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8"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250"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5"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5"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9"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p>
        </w:tc>
      </w:tr>
      <w:tr w:rsidR="00900B10" w:rsidTr="00900B10">
        <w:tc>
          <w:tcPr>
            <w:tcW w:w="2005"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7</w:t>
            </w:r>
            <w:r>
              <w:rPr>
                <w:rFonts w:ascii="Times New Roman" w:hAnsi="Times New Roman" w:cs="Times New Roman"/>
                <w:sz w:val="20"/>
                <w:szCs w:val="20"/>
              </w:rPr>
              <w:t>Lost</w:t>
            </w:r>
            <w:r w:rsidRPr="000D7F28">
              <w:rPr>
                <w:rFonts w:ascii="Times New Roman" w:hAnsi="Times New Roman" w:cs="Times New Roman"/>
                <w:sz w:val="20"/>
                <w:szCs w:val="20"/>
              </w:rPr>
              <w:t>Fgn</w:t>
            </w:r>
            <w:r>
              <w:rPr>
                <w:rFonts w:ascii="Times New Roman" w:hAnsi="Times New Roman" w:cs="Times New Roman"/>
                <w:sz w:val="20"/>
                <w:szCs w:val="20"/>
              </w:rPr>
              <w:t>VisTC</w:t>
            </w:r>
          </w:p>
        </w:tc>
        <w:tc>
          <w:tcPr>
            <w:tcW w:w="1053"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-0.06206</w:t>
            </w:r>
          </w:p>
        </w:tc>
        <w:tc>
          <w:tcPr>
            <w:tcW w:w="1054"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-0.05120</w:t>
            </w:r>
          </w:p>
        </w:tc>
        <w:tc>
          <w:tcPr>
            <w:tcW w:w="1044"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-2.27407</w:t>
            </w:r>
          </w:p>
        </w:tc>
        <w:tc>
          <w:tcPr>
            <w:tcW w:w="1150"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-2.03736</w:t>
            </w:r>
          </w:p>
        </w:tc>
        <w:tc>
          <w:tcPr>
            <w:tcW w:w="1088"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0.00071</w:t>
            </w:r>
          </w:p>
        </w:tc>
        <w:tc>
          <w:tcPr>
            <w:tcW w:w="1088"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0.00056</w:t>
            </w:r>
          </w:p>
        </w:tc>
        <w:tc>
          <w:tcPr>
            <w:tcW w:w="1078"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-0.00051</w:t>
            </w:r>
          </w:p>
        </w:tc>
        <w:tc>
          <w:tcPr>
            <w:tcW w:w="1250"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-0.00107</w:t>
            </w:r>
          </w:p>
        </w:tc>
        <w:tc>
          <w:tcPr>
            <w:tcW w:w="1075"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-0.04130</w:t>
            </w:r>
          </w:p>
        </w:tc>
        <w:tc>
          <w:tcPr>
            <w:tcW w:w="1075"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-0.04237</w:t>
            </w:r>
          </w:p>
        </w:tc>
        <w:tc>
          <w:tcPr>
            <w:tcW w:w="1079"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p>
        </w:tc>
      </w:tr>
      <w:tr w:rsidR="00900B10" w:rsidTr="00900B10">
        <w:tc>
          <w:tcPr>
            <w:tcW w:w="2005"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8</w:t>
            </w:r>
            <w:r>
              <w:rPr>
                <w:rFonts w:ascii="Times New Roman" w:hAnsi="Times New Roman" w:cs="Times New Roman"/>
                <w:sz w:val="20"/>
                <w:szCs w:val="20"/>
              </w:rPr>
              <w:t>Lost</w:t>
            </w:r>
            <w:r w:rsidRPr="000D7F28">
              <w:rPr>
                <w:rFonts w:ascii="Times New Roman" w:hAnsi="Times New Roman" w:cs="Times New Roman"/>
                <w:sz w:val="20"/>
                <w:szCs w:val="20"/>
              </w:rPr>
              <w:t>Fgn</w:t>
            </w:r>
            <w:r>
              <w:rPr>
                <w:rFonts w:ascii="Times New Roman" w:hAnsi="Times New Roman" w:cs="Times New Roman"/>
                <w:sz w:val="20"/>
                <w:szCs w:val="20"/>
              </w:rPr>
              <w:t>VisOuTC</w:t>
            </w:r>
          </w:p>
        </w:tc>
        <w:tc>
          <w:tcPr>
            <w:tcW w:w="1053"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-0.32036</w:t>
            </w:r>
          </w:p>
        </w:tc>
        <w:tc>
          <w:tcPr>
            <w:tcW w:w="1054"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-0.26404</w:t>
            </w:r>
          </w:p>
        </w:tc>
        <w:tc>
          <w:tcPr>
            <w:tcW w:w="1044"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-0.29004</w:t>
            </w:r>
          </w:p>
        </w:tc>
        <w:tc>
          <w:tcPr>
            <w:tcW w:w="1150"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-0.24427</w:t>
            </w:r>
          </w:p>
        </w:tc>
        <w:tc>
          <w:tcPr>
            <w:tcW w:w="1088"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-0.00033</w:t>
            </w:r>
          </w:p>
        </w:tc>
        <w:tc>
          <w:tcPr>
            <w:tcW w:w="1088"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-0.00107</w:t>
            </w:r>
          </w:p>
        </w:tc>
        <w:tc>
          <w:tcPr>
            <w:tcW w:w="1078"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0.00030</w:t>
            </w:r>
          </w:p>
        </w:tc>
        <w:tc>
          <w:tcPr>
            <w:tcW w:w="1250"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-0.00074</w:t>
            </w:r>
          </w:p>
        </w:tc>
        <w:tc>
          <w:tcPr>
            <w:tcW w:w="1075"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-0.21895</w:t>
            </w:r>
          </w:p>
        </w:tc>
        <w:tc>
          <w:tcPr>
            <w:tcW w:w="1075"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-0.22885</w:t>
            </w:r>
          </w:p>
        </w:tc>
        <w:tc>
          <w:tcPr>
            <w:tcW w:w="1079"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p>
        </w:tc>
      </w:tr>
      <w:tr w:rsidR="00900B10" w:rsidTr="00900B10">
        <w:tc>
          <w:tcPr>
            <w:tcW w:w="2005"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9</w:t>
            </w:r>
            <w:r>
              <w:rPr>
                <w:rFonts w:ascii="Times New Roman" w:hAnsi="Times New Roman" w:cs="Times New Roman"/>
                <w:sz w:val="20"/>
                <w:szCs w:val="20"/>
              </w:rPr>
              <w:t>LostDomVisTC</w:t>
            </w:r>
          </w:p>
        </w:tc>
        <w:tc>
          <w:tcPr>
            <w:tcW w:w="1053"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54"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44"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-0.00621</w:t>
            </w:r>
          </w:p>
        </w:tc>
        <w:tc>
          <w:tcPr>
            <w:tcW w:w="1150"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-0.00547</w:t>
            </w:r>
          </w:p>
        </w:tc>
        <w:tc>
          <w:tcPr>
            <w:tcW w:w="1088"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88"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8"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-0.00002</w:t>
            </w:r>
          </w:p>
        </w:tc>
        <w:tc>
          <w:tcPr>
            <w:tcW w:w="1250"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-0.00002</w:t>
            </w:r>
          </w:p>
        </w:tc>
        <w:tc>
          <w:tcPr>
            <w:tcW w:w="1075"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5"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9"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p>
        </w:tc>
      </w:tr>
      <w:tr w:rsidR="00900B10" w:rsidTr="00900B10">
        <w:tc>
          <w:tcPr>
            <w:tcW w:w="2005"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10</w:t>
            </w:r>
            <w:r>
              <w:rPr>
                <w:rFonts w:ascii="Times New Roman" w:hAnsi="Times New Roman" w:cs="Times New Roman"/>
                <w:sz w:val="20"/>
                <w:szCs w:val="20"/>
              </w:rPr>
              <w:t>LostDomVisOutTC</w:t>
            </w:r>
          </w:p>
        </w:tc>
        <w:tc>
          <w:tcPr>
            <w:tcW w:w="1053"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54"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44"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150"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88"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88"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8"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250"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5"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5"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9"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p>
        </w:tc>
      </w:tr>
      <w:tr w:rsidR="00900B10" w:rsidTr="00900B10">
        <w:tc>
          <w:tcPr>
            <w:tcW w:w="2005"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11</w:t>
            </w:r>
            <w:r>
              <w:rPr>
                <w:rFonts w:ascii="Times New Roman" w:hAnsi="Times New Roman" w:cs="Times New Roman"/>
                <w:sz w:val="20"/>
                <w:szCs w:val="20"/>
              </w:rPr>
              <w:t>Lost</w:t>
            </w:r>
            <w:r w:rsidRPr="000D7F28">
              <w:rPr>
                <w:rFonts w:ascii="Times New Roman" w:hAnsi="Times New Roman" w:cs="Times New Roman"/>
                <w:sz w:val="20"/>
                <w:szCs w:val="20"/>
              </w:rPr>
              <w:t>Food</w:t>
            </w:r>
            <w:r>
              <w:rPr>
                <w:rFonts w:ascii="Times New Roman" w:hAnsi="Times New Roman" w:cs="Times New Roman"/>
                <w:sz w:val="20"/>
                <w:szCs w:val="20"/>
              </w:rPr>
              <w:t>Tar</w:t>
            </w:r>
            <w:r w:rsidRPr="000D7F28">
              <w:rPr>
                <w:rFonts w:ascii="Times New Roman" w:hAnsi="Times New Roman" w:cs="Times New Roman"/>
                <w:sz w:val="20"/>
                <w:szCs w:val="20"/>
              </w:rPr>
              <w:t>St</w:t>
            </w:r>
            <w:r>
              <w:rPr>
                <w:rFonts w:ascii="Times New Roman" w:hAnsi="Times New Roman" w:cs="Times New Roman"/>
                <w:sz w:val="20"/>
                <w:szCs w:val="20"/>
              </w:rPr>
              <w:t>aste</w:t>
            </w:r>
          </w:p>
        </w:tc>
        <w:tc>
          <w:tcPr>
            <w:tcW w:w="1053"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54"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44"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150"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88"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88"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8"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250"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5"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5"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9"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p>
        </w:tc>
      </w:tr>
      <w:tr w:rsidR="00900B10" w:rsidTr="00900B10">
        <w:tc>
          <w:tcPr>
            <w:tcW w:w="2005"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12</w:t>
            </w:r>
            <w:r>
              <w:rPr>
                <w:rFonts w:ascii="Times New Roman" w:hAnsi="Times New Roman" w:cs="Times New Roman"/>
                <w:sz w:val="20"/>
                <w:szCs w:val="20"/>
              </w:rPr>
              <w:t>Lost</w:t>
            </w:r>
            <w:r w:rsidRPr="000D7F28">
              <w:rPr>
                <w:rFonts w:ascii="Times New Roman" w:hAnsi="Times New Roman" w:cs="Times New Roman"/>
                <w:sz w:val="20"/>
                <w:szCs w:val="20"/>
              </w:rPr>
              <w:t>FoodNat</w:t>
            </w:r>
            <w:r>
              <w:rPr>
                <w:rFonts w:ascii="Times New Roman" w:hAnsi="Times New Roman" w:cs="Times New Roman"/>
                <w:sz w:val="20"/>
                <w:szCs w:val="20"/>
              </w:rPr>
              <w:t>ion</w:t>
            </w:r>
          </w:p>
        </w:tc>
        <w:tc>
          <w:tcPr>
            <w:tcW w:w="1053"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54"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44"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150"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88"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88"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8"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250"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5"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5"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9"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p>
        </w:tc>
      </w:tr>
      <w:tr w:rsidR="00900B10" w:rsidTr="00900B10">
        <w:tc>
          <w:tcPr>
            <w:tcW w:w="2005"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13</w:t>
            </w:r>
            <w:r>
              <w:rPr>
                <w:rFonts w:ascii="Times New Roman" w:hAnsi="Times New Roman" w:cs="Times New Roman"/>
                <w:sz w:val="20"/>
                <w:szCs w:val="20"/>
              </w:rPr>
              <w:t>Lost</w:t>
            </w:r>
            <w:r w:rsidRPr="000D7F28">
              <w:rPr>
                <w:rFonts w:ascii="Times New Roman" w:hAnsi="Times New Roman" w:cs="Times New Roman"/>
                <w:sz w:val="20"/>
                <w:szCs w:val="20"/>
              </w:rPr>
              <w:t>Nat</w:t>
            </w:r>
            <w:r>
              <w:rPr>
                <w:rFonts w:ascii="Times New Roman" w:hAnsi="Times New Roman" w:cs="Times New Roman"/>
                <w:sz w:val="20"/>
                <w:szCs w:val="20"/>
              </w:rPr>
              <w:t>ion</w:t>
            </w:r>
            <w:r w:rsidRPr="000D7F28">
              <w:rPr>
                <w:rFonts w:ascii="Times New Roman" w:hAnsi="Times New Roman" w:cs="Times New Roman"/>
                <w:sz w:val="20"/>
                <w:szCs w:val="20"/>
              </w:rPr>
              <w:t>Lab</w:t>
            </w:r>
          </w:p>
        </w:tc>
        <w:tc>
          <w:tcPr>
            <w:tcW w:w="1053"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-0.00653</w:t>
            </w:r>
          </w:p>
        </w:tc>
        <w:tc>
          <w:tcPr>
            <w:tcW w:w="1054"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-0.00732</w:t>
            </w:r>
          </w:p>
        </w:tc>
        <w:tc>
          <w:tcPr>
            <w:tcW w:w="1044"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-0.61232</w:t>
            </w:r>
          </w:p>
        </w:tc>
        <w:tc>
          <w:tcPr>
            <w:tcW w:w="1150"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-0.67378</w:t>
            </w:r>
          </w:p>
        </w:tc>
        <w:tc>
          <w:tcPr>
            <w:tcW w:w="1088"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-0.01139</w:t>
            </w:r>
          </w:p>
        </w:tc>
        <w:tc>
          <w:tcPr>
            <w:tcW w:w="1088"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-0.01178</w:t>
            </w:r>
          </w:p>
        </w:tc>
        <w:tc>
          <w:tcPr>
            <w:tcW w:w="1078" w:type="dxa"/>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-0.00016</w:t>
            </w:r>
          </w:p>
        </w:tc>
        <w:tc>
          <w:tcPr>
            <w:tcW w:w="1250"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-0.00011</w:t>
            </w:r>
          </w:p>
        </w:tc>
        <w:tc>
          <w:tcPr>
            <w:tcW w:w="1075"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-3.56334</w:t>
            </w:r>
          </w:p>
        </w:tc>
        <w:tc>
          <w:tcPr>
            <w:tcW w:w="1075" w:type="dxa"/>
            <w:tcBorders>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-3.66693</w:t>
            </w:r>
          </w:p>
        </w:tc>
        <w:tc>
          <w:tcPr>
            <w:tcW w:w="1079" w:type="dxa"/>
            <w:tcBorders>
              <w:lef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p>
        </w:tc>
      </w:tr>
      <w:tr w:rsidR="00900B10" w:rsidTr="00900B10">
        <w:tc>
          <w:tcPr>
            <w:tcW w:w="2005" w:type="dxa"/>
            <w:tcBorders>
              <w:bottom w:val="single" w:sz="18" w:space="0" w:color="595959" w:themeColor="text1" w:themeTint="A6"/>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14</w:t>
            </w:r>
            <w:r>
              <w:rPr>
                <w:rFonts w:ascii="Times New Roman" w:hAnsi="Times New Roman" w:cs="Times New Roman"/>
                <w:sz w:val="20"/>
                <w:szCs w:val="20"/>
              </w:rPr>
              <w:t>AversionToTarReg</w:t>
            </w:r>
          </w:p>
        </w:tc>
        <w:tc>
          <w:tcPr>
            <w:tcW w:w="1053" w:type="dxa"/>
            <w:tcBorders>
              <w:left w:val="single" w:sz="18" w:space="0" w:color="595959" w:themeColor="text1" w:themeTint="A6"/>
              <w:bottom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54" w:type="dxa"/>
            <w:tcBorders>
              <w:bottom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44" w:type="dxa"/>
            <w:tcBorders>
              <w:bottom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150" w:type="dxa"/>
            <w:tcBorders>
              <w:bottom w:val="single" w:sz="18" w:space="0" w:color="595959" w:themeColor="text1" w:themeTint="A6"/>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88" w:type="dxa"/>
            <w:tcBorders>
              <w:left w:val="single" w:sz="18" w:space="0" w:color="595959" w:themeColor="text1" w:themeTint="A6"/>
              <w:bottom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88" w:type="dxa"/>
            <w:tcBorders>
              <w:bottom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8" w:type="dxa"/>
            <w:tcBorders>
              <w:bottom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250" w:type="dxa"/>
            <w:tcBorders>
              <w:bottom w:val="single" w:sz="18" w:space="0" w:color="595959" w:themeColor="text1" w:themeTint="A6"/>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5" w:type="dxa"/>
            <w:tcBorders>
              <w:left w:val="single" w:sz="18" w:space="0" w:color="595959" w:themeColor="text1" w:themeTint="A6"/>
              <w:bottom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5" w:type="dxa"/>
            <w:tcBorders>
              <w:bottom w:val="single" w:sz="18" w:space="0" w:color="595959" w:themeColor="text1" w:themeTint="A6"/>
              <w:right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r w:rsidRPr="000F2782">
              <w:rPr>
                <w:rFonts w:ascii="Times New Roman" w:hAnsi="Times New Roman" w:cs="Times New Roman"/>
                <w:color w:val="000000"/>
                <w:sz w:val="20"/>
                <w:szCs w:val="20"/>
              </w:rPr>
              <w:t>0.00000</w:t>
            </w:r>
          </w:p>
        </w:tc>
        <w:tc>
          <w:tcPr>
            <w:tcW w:w="1079" w:type="dxa"/>
            <w:tcBorders>
              <w:left w:val="single" w:sz="18" w:space="0" w:color="595959" w:themeColor="text1" w:themeTint="A6"/>
              <w:bottom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color w:val="000000"/>
                <w:sz w:val="20"/>
                <w:szCs w:val="20"/>
              </w:rPr>
            </w:pPr>
          </w:p>
        </w:tc>
      </w:tr>
      <w:tr w:rsidR="00900B10" w:rsidTr="00900B10">
        <w:tc>
          <w:tcPr>
            <w:tcW w:w="2005" w:type="dxa"/>
            <w:tcBorders>
              <w:top w:val="single" w:sz="18" w:space="0" w:color="595959" w:themeColor="text1" w:themeTint="A6"/>
              <w:bottom w:val="single" w:sz="18" w:space="0" w:color="595959" w:themeColor="text1" w:themeTint="A6"/>
              <w:right w:val="single" w:sz="18" w:space="0" w:color="595959" w:themeColor="text1" w:themeTint="A6"/>
            </w:tcBorders>
            <w:shd w:val="clear" w:color="auto" w:fill="FFFF00"/>
            <w:vAlign w:val="bottom"/>
          </w:tcPr>
          <w:p w:rsidR="00900B10" w:rsidRPr="000D7F28" w:rsidRDefault="00900B10" w:rsidP="00900B10">
            <w:pPr>
              <w:spacing w:before="0"/>
              <w:rPr>
                <w:rFonts w:ascii="Times New Roman" w:hAnsi="Times New Roman" w:cs="Times New Roman"/>
                <w:b/>
                <w:sz w:val="20"/>
                <w:szCs w:val="20"/>
              </w:rPr>
            </w:pPr>
            <w:r w:rsidRPr="000D7F28">
              <w:rPr>
                <w:rFonts w:ascii="Times New Roman" w:hAnsi="Times New Roman" w:cs="Times New Roman"/>
                <w:b/>
                <w:sz w:val="20"/>
                <w:szCs w:val="20"/>
              </w:rPr>
              <w:t xml:space="preserve">Total effects </w:t>
            </w:r>
          </w:p>
        </w:tc>
        <w:tc>
          <w:tcPr>
            <w:tcW w:w="1053" w:type="dxa"/>
            <w:tcBorders>
              <w:top w:val="single" w:sz="18" w:space="0" w:color="595959" w:themeColor="text1" w:themeTint="A6"/>
              <w:left w:val="single" w:sz="18" w:space="0" w:color="595959" w:themeColor="text1" w:themeTint="A6"/>
              <w:bottom w:val="single" w:sz="18" w:space="0" w:color="595959" w:themeColor="text1" w:themeTint="A6"/>
            </w:tcBorders>
            <w:shd w:val="clear" w:color="auto" w:fill="FFFF00"/>
            <w:vAlign w:val="center"/>
          </w:tcPr>
          <w:p w:rsidR="00900B10" w:rsidRPr="000F2782" w:rsidRDefault="00900B10" w:rsidP="00900B10">
            <w:pPr>
              <w:spacing w:before="0"/>
              <w:jc w:val="right"/>
              <w:rPr>
                <w:rFonts w:ascii="Times New Roman" w:hAnsi="Times New Roman" w:cs="Times New Roman"/>
                <w:b/>
                <w:bCs/>
                <w:color w:val="000000"/>
                <w:sz w:val="20"/>
                <w:szCs w:val="20"/>
              </w:rPr>
            </w:pPr>
            <w:r w:rsidRPr="000F2782">
              <w:rPr>
                <w:rFonts w:ascii="Times New Roman" w:hAnsi="Times New Roman" w:cs="Times New Roman"/>
                <w:b/>
                <w:bCs/>
                <w:color w:val="000000"/>
                <w:sz w:val="20"/>
                <w:szCs w:val="20"/>
              </w:rPr>
              <w:t>-0.35435</w:t>
            </w:r>
          </w:p>
        </w:tc>
        <w:tc>
          <w:tcPr>
            <w:tcW w:w="1054" w:type="dxa"/>
            <w:tcBorders>
              <w:top w:val="single" w:sz="18" w:space="0" w:color="595959" w:themeColor="text1" w:themeTint="A6"/>
              <w:bottom w:val="single" w:sz="18" w:space="0" w:color="595959" w:themeColor="text1" w:themeTint="A6"/>
            </w:tcBorders>
            <w:shd w:val="clear" w:color="auto" w:fill="FFFF00"/>
            <w:vAlign w:val="center"/>
          </w:tcPr>
          <w:p w:rsidR="00900B10" w:rsidRPr="000F2782" w:rsidRDefault="00900B10" w:rsidP="00900B10">
            <w:pPr>
              <w:spacing w:before="0"/>
              <w:jc w:val="right"/>
              <w:rPr>
                <w:rFonts w:ascii="Times New Roman" w:hAnsi="Times New Roman" w:cs="Times New Roman"/>
                <w:b/>
                <w:bCs/>
                <w:color w:val="000000"/>
                <w:sz w:val="20"/>
                <w:szCs w:val="20"/>
              </w:rPr>
            </w:pPr>
            <w:r w:rsidRPr="000F2782">
              <w:rPr>
                <w:rFonts w:ascii="Times New Roman" w:hAnsi="Times New Roman" w:cs="Times New Roman"/>
                <w:b/>
                <w:bCs/>
                <w:color w:val="000000"/>
                <w:sz w:val="20"/>
                <w:szCs w:val="20"/>
              </w:rPr>
              <w:t>-0.28808</w:t>
            </w:r>
          </w:p>
        </w:tc>
        <w:tc>
          <w:tcPr>
            <w:tcW w:w="1044" w:type="dxa"/>
            <w:tcBorders>
              <w:top w:val="single" w:sz="18" w:space="0" w:color="595959" w:themeColor="text1" w:themeTint="A6"/>
              <w:bottom w:val="single" w:sz="18" w:space="0" w:color="595959" w:themeColor="text1" w:themeTint="A6"/>
            </w:tcBorders>
            <w:shd w:val="clear" w:color="auto" w:fill="FFFF00"/>
            <w:vAlign w:val="center"/>
          </w:tcPr>
          <w:p w:rsidR="00900B10" w:rsidRPr="000F2782" w:rsidRDefault="00900B10" w:rsidP="00900B10">
            <w:pPr>
              <w:spacing w:before="0"/>
              <w:jc w:val="right"/>
              <w:rPr>
                <w:rFonts w:ascii="Times New Roman" w:hAnsi="Times New Roman" w:cs="Times New Roman"/>
                <w:b/>
                <w:bCs/>
                <w:color w:val="000000"/>
                <w:sz w:val="20"/>
                <w:szCs w:val="20"/>
              </w:rPr>
            </w:pPr>
            <w:r w:rsidRPr="000F2782">
              <w:rPr>
                <w:rFonts w:ascii="Times New Roman" w:hAnsi="Times New Roman" w:cs="Times New Roman"/>
                <w:b/>
                <w:bCs/>
                <w:color w:val="000000"/>
                <w:sz w:val="20"/>
                <w:szCs w:val="20"/>
              </w:rPr>
              <w:t>-1.18391</w:t>
            </w:r>
          </w:p>
        </w:tc>
        <w:tc>
          <w:tcPr>
            <w:tcW w:w="1150" w:type="dxa"/>
            <w:tcBorders>
              <w:top w:val="single" w:sz="18" w:space="0" w:color="595959" w:themeColor="text1" w:themeTint="A6"/>
              <w:bottom w:val="single" w:sz="18" w:space="0" w:color="595959" w:themeColor="text1" w:themeTint="A6"/>
              <w:right w:val="single" w:sz="18" w:space="0" w:color="595959" w:themeColor="text1" w:themeTint="A6"/>
            </w:tcBorders>
            <w:shd w:val="clear" w:color="auto" w:fill="FFFF00"/>
            <w:vAlign w:val="center"/>
          </w:tcPr>
          <w:p w:rsidR="00900B10" w:rsidRPr="000F2782" w:rsidRDefault="00900B10" w:rsidP="00900B10">
            <w:pPr>
              <w:spacing w:before="0"/>
              <w:jc w:val="right"/>
              <w:rPr>
                <w:rFonts w:ascii="Times New Roman" w:hAnsi="Times New Roman" w:cs="Times New Roman"/>
                <w:b/>
                <w:bCs/>
                <w:color w:val="000000"/>
                <w:sz w:val="20"/>
                <w:szCs w:val="20"/>
              </w:rPr>
            </w:pPr>
            <w:r w:rsidRPr="000F2782">
              <w:rPr>
                <w:rFonts w:ascii="Times New Roman" w:hAnsi="Times New Roman" w:cs="Times New Roman"/>
                <w:b/>
                <w:bCs/>
                <w:color w:val="000000"/>
                <w:sz w:val="20"/>
                <w:szCs w:val="20"/>
              </w:rPr>
              <w:t>-0.57989</w:t>
            </w:r>
          </w:p>
        </w:tc>
        <w:tc>
          <w:tcPr>
            <w:tcW w:w="1088" w:type="dxa"/>
            <w:tcBorders>
              <w:top w:val="single" w:sz="18" w:space="0" w:color="595959" w:themeColor="text1" w:themeTint="A6"/>
              <w:left w:val="single" w:sz="18" w:space="0" w:color="595959" w:themeColor="text1" w:themeTint="A6"/>
              <w:bottom w:val="single" w:sz="18" w:space="0" w:color="595959" w:themeColor="text1" w:themeTint="A6"/>
            </w:tcBorders>
            <w:shd w:val="clear" w:color="auto" w:fill="FFFF00"/>
            <w:vAlign w:val="center"/>
          </w:tcPr>
          <w:p w:rsidR="00900B10" w:rsidRPr="000F2782" w:rsidRDefault="00900B10" w:rsidP="00900B10">
            <w:pPr>
              <w:spacing w:before="0"/>
              <w:jc w:val="right"/>
              <w:rPr>
                <w:rFonts w:ascii="Times New Roman" w:hAnsi="Times New Roman" w:cs="Times New Roman"/>
                <w:b/>
                <w:bCs/>
                <w:color w:val="000000"/>
                <w:sz w:val="20"/>
                <w:szCs w:val="20"/>
              </w:rPr>
            </w:pPr>
            <w:r w:rsidRPr="000F2782">
              <w:rPr>
                <w:rFonts w:ascii="Times New Roman" w:hAnsi="Times New Roman" w:cs="Times New Roman"/>
                <w:b/>
                <w:bCs/>
                <w:color w:val="000000"/>
                <w:sz w:val="20"/>
                <w:szCs w:val="20"/>
              </w:rPr>
              <w:t>-0.01078</w:t>
            </w:r>
          </w:p>
        </w:tc>
        <w:tc>
          <w:tcPr>
            <w:tcW w:w="1088" w:type="dxa"/>
            <w:tcBorders>
              <w:top w:val="single" w:sz="18" w:space="0" w:color="595959" w:themeColor="text1" w:themeTint="A6"/>
              <w:bottom w:val="single" w:sz="18" w:space="0" w:color="595959" w:themeColor="text1" w:themeTint="A6"/>
            </w:tcBorders>
            <w:shd w:val="clear" w:color="auto" w:fill="FFFF00"/>
            <w:vAlign w:val="center"/>
          </w:tcPr>
          <w:p w:rsidR="00900B10" w:rsidRPr="000F2782" w:rsidRDefault="00900B10" w:rsidP="00900B10">
            <w:pPr>
              <w:spacing w:before="0"/>
              <w:jc w:val="right"/>
              <w:rPr>
                <w:rFonts w:ascii="Times New Roman" w:hAnsi="Times New Roman" w:cs="Times New Roman"/>
                <w:b/>
                <w:bCs/>
                <w:color w:val="000000"/>
                <w:sz w:val="20"/>
                <w:szCs w:val="20"/>
              </w:rPr>
            </w:pPr>
            <w:r w:rsidRPr="000F2782">
              <w:rPr>
                <w:rFonts w:ascii="Times New Roman" w:hAnsi="Times New Roman" w:cs="Times New Roman"/>
                <w:b/>
                <w:bCs/>
                <w:color w:val="000000"/>
                <w:sz w:val="20"/>
                <w:szCs w:val="20"/>
              </w:rPr>
              <w:t>-0.01227</w:t>
            </w:r>
          </w:p>
        </w:tc>
        <w:tc>
          <w:tcPr>
            <w:tcW w:w="1078" w:type="dxa"/>
            <w:tcBorders>
              <w:top w:val="single" w:sz="18" w:space="0" w:color="595959" w:themeColor="text1" w:themeTint="A6"/>
              <w:bottom w:val="single" w:sz="18" w:space="0" w:color="595959" w:themeColor="text1" w:themeTint="A6"/>
            </w:tcBorders>
            <w:shd w:val="clear" w:color="auto" w:fill="FFFF00"/>
            <w:vAlign w:val="center"/>
          </w:tcPr>
          <w:p w:rsidR="00900B10" w:rsidRPr="000F2782" w:rsidRDefault="00900B10" w:rsidP="00900B10">
            <w:pPr>
              <w:spacing w:before="0"/>
              <w:jc w:val="right"/>
              <w:rPr>
                <w:rFonts w:ascii="Times New Roman" w:hAnsi="Times New Roman" w:cs="Times New Roman"/>
                <w:b/>
                <w:bCs/>
                <w:color w:val="000000"/>
                <w:sz w:val="20"/>
                <w:szCs w:val="20"/>
              </w:rPr>
            </w:pPr>
            <w:r w:rsidRPr="000F2782">
              <w:rPr>
                <w:rFonts w:ascii="Times New Roman" w:hAnsi="Times New Roman" w:cs="Times New Roman"/>
                <w:b/>
                <w:bCs/>
                <w:color w:val="000000"/>
                <w:sz w:val="20"/>
                <w:szCs w:val="20"/>
              </w:rPr>
              <w:t>-0.00617</w:t>
            </w:r>
          </w:p>
        </w:tc>
        <w:tc>
          <w:tcPr>
            <w:tcW w:w="1250" w:type="dxa"/>
            <w:tcBorders>
              <w:top w:val="single" w:sz="18" w:space="0" w:color="595959" w:themeColor="text1" w:themeTint="A6"/>
              <w:bottom w:val="single" w:sz="18" w:space="0" w:color="595959" w:themeColor="text1" w:themeTint="A6"/>
              <w:right w:val="single" w:sz="18" w:space="0" w:color="595959" w:themeColor="text1" w:themeTint="A6"/>
            </w:tcBorders>
            <w:shd w:val="clear" w:color="auto" w:fill="FFFF00"/>
            <w:vAlign w:val="center"/>
          </w:tcPr>
          <w:p w:rsidR="00900B10" w:rsidRPr="000F2782" w:rsidRDefault="00900B10" w:rsidP="00900B10">
            <w:pPr>
              <w:spacing w:before="0"/>
              <w:jc w:val="right"/>
              <w:rPr>
                <w:rFonts w:ascii="Times New Roman" w:hAnsi="Times New Roman" w:cs="Times New Roman"/>
                <w:b/>
                <w:bCs/>
                <w:color w:val="000000"/>
                <w:sz w:val="20"/>
                <w:szCs w:val="20"/>
              </w:rPr>
            </w:pPr>
            <w:r w:rsidRPr="000F2782">
              <w:rPr>
                <w:rFonts w:ascii="Times New Roman" w:hAnsi="Times New Roman" w:cs="Times New Roman"/>
                <w:b/>
                <w:bCs/>
                <w:color w:val="000000"/>
                <w:sz w:val="20"/>
                <w:szCs w:val="20"/>
              </w:rPr>
              <w:t>-0.01167</w:t>
            </w:r>
          </w:p>
        </w:tc>
        <w:tc>
          <w:tcPr>
            <w:tcW w:w="1075" w:type="dxa"/>
            <w:tcBorders>
              <w:top w:val="single" w:sz="18" w:space="0" w:color="595959" w:themeColor="text1" w:themeTint="A6"/>
              <w:left w:val="single" w:sz="18" w:space="0" w:color="595959" w:themeColor="text1" w:themeTint="A6"/>
              <w:bottom w:val="single" w:sz="18" w:space="0" w:color="595959" w:themeColor="text1" w:themeTint="A6"/>
            </w:tcBorders>
            <w:shd w:val="clear" w:color="auto" w:fill="FFFF00"/>
            <w:vAlign w:val="center"/>
          </w:tcPr>
          <w:p w:rsidR="00900B10" w:rsidRPr="000F2782" w:rsidRDefault="00900B10" w:rsidP="00900B10">
            <w:pPr>
              <w:spacing w:before="0"/>
              <w:jc w:val="right"/>
              <w:rPr>
                <w:rFonts w:ascii="Times New Roman" w:hAnsi="Times New Roman" w:cs="Times New Roman"/>
                <w:b/>
                <w:bCs/>
                <w:color w:val="000000"/>
                <w:sz w:val="20"/>
                <w:szCs w:val="20"/>
              </w:rPr>
            </w:pPr>
            <w:r w:rsidRPr="000F2782">
              <w:rPr>
                <w:rFonts w:ascii="Times New Roman" w:hAnsi="Times New Roman" w:cs="Times New Roman"/>
                <w:b/>
                <w:bCs/>
                <w:color w:val="000000"/>
                <w:sz w:val="20"/>
                <w:szCs w:val="20"/>
              </w:rPr>
              <w:t>-3.82643</w:t>
            </w:r>
          </w:p>
        </w:tc>
        <w:tc>
          <w:tcPr>
            <w:tcW w:w="1075" w:type="dxa"/>
            <w:tcBorders>
              <w:top w:val="single" w:sz="18" w:space="0" w:color="595959" w:themeColor="text1" w:themeTint="A6"/>
              <w:bottom w:val="single" w:sz="18" w:space="0" w:color="595959" w:themeColor="text1" w:themeTint="A6"/>
              <w:right w:val="single" w:sz="18" w:space="0" w:color="595959" w:themeColor="text1" w:themeTint="A6"/>
            </w:tcBorders>
            <w:shd w:val="clear" w:color="auto" w:fill="FFFF00"/>
            <w:vAlign w:val="center"/>
          </w:tcPr>
          <w:p w:rsidR="00900B10" w:rsidRPr="000F2782" w:rsidRDefault="00900B10" w:rsidP="00900B10">
            <w:pPr>
              <w:spacing w:before="0"/>
              <w:jc w:val="right"/>
              <w:rPr>
                <w:rFonts w:ascii="Times New Roman" w:hAnsi="Times New Roman" w:cs="Times New Roman"/>
                <w:b/>
                <w:bCs/>
                <w:color w:val="000000"/>
                <w:sz w:val="20"/>
                <w:szCs w:val="20"/>
              </w:rPr>
            </w:pPr>
            <w:r w:rsidRPr="000F2782">
              <w:rPr>
                <w:rFonts w:ascii="Times New Roman" w:hAnsi="Times New Roman" w:cs="Times New Roman"/>
                <w:b/>
                <w:bCs/>
                <w:color w:val="000000"/>
                <w:sz w:val="20"/>
                <w:szCs w:val="20"/>
              </w:rPr>
              <w:t>-3.94871</w:t>
            </w:r>
          </w:p>
        </w:tc>
        <w:tc>
          <w:tcPr>
            <w:tcW w:w="1079" w:type="dxa"/>
            <w:tcBorders>
              <w:top w:val="single" w:sz="18" w:space="0" w:color="595959" w:themeColor="text1" w:themeTint="A6"/>
              <w:left w:val="single" w:sz="18" w:space="0" w:color="595959" w:themeColor="text1" w:themeTint="A6"/>
              <w:bottom w:val="single" w:sz="18" w:space="0" w:color="595959" w:themeColor="text1" w:themeTint="A6"/>
            </w:tcBorders>
            <w:vAlign w:val="center"/>
          </w:tcPr>
          <w:p w:rsidR="00900B10" w:rsidRPr="000F2782" w:rsidRDefault="00900B10" w:rsidP="00900B10">
            <w:pPr>
              <w:spacing w:before="0"/>
              <w:jc w:val="right"/>
              <w:rPr>
                <w:rFonts w:ascii="Times New Roman" w:hAnsi="Times New Roman" w:cs="Times New Roman"/>
                <w:b/>
                <w:bCs/>
                <w:color w:val="000000"/>
                <w:sz w:val="20"/>
                <w:szCs w:val="20"/>
              </w:rPr>
            </w:pPr>
          </w:p>
        </w:tc>
      </w:tr>
    </w:tbl>
    <w:p w:rsidR="00900B10" w:rsidRDefault="00900B10" w:rsidP="00900B10">
      <w:pPr>
        <w:rPr>
          <w:rFonts w:ascii="Times New Roman" w:hAnsi="Times New Roman" w:cs="Times New Roman"/>
          <w:sz w:val="24"/>
          <w:szCs w:val="24"/>
        </w:rPr>
      </w:pPr>
    </w:p>
    <w:p w:rsidR="00900B10" w:rsidRDefault="00900B10" w:rsidP="00900B10">
      <w:pPr>
        <w:spacing w:before="0" w:after="200" w:line="276" w:lineRule="auto"/>
        <w:rPr>
          <w:rFonts w:ascii="Times New Roman" w:hAnsi="Times New Roman" w:cs="Times New Roman"/>
          <w:b/>
          <w:i/>
          <w:sz w:val="24"/>
          <w:szCs w:val="24"/>
        </w:rPr>
      </w:pPr>
    </w:p>
    <w:p w:rsidR="00900B10" w:rsidRPr="008C3AA1" w:rsidRDefault="00900B10" w:rsidP="00900B10">
      <w:pPr>
        <w:jc w:val="center"/>
        <w:rPr>
          <w:rFonts w:ascii="Times New Roman" w:hAnsi="Times New Roman" w:cs="Times New Roman"/>
          <w:b/>
          <w:i/>
          <w:sz w:val="24"/>
          <w:szCs w:val="24"/>
        </w:rPr>
      </w:pPr>
      <w:r>
        <w:rPr>
          <w:rFonts w:ascii="Times New Roman" w:hAnsi="Times New Roman" w:cs="Times New Roman"/>
          <w:b/>
          <w:i/>
          <w:sz w:val="24"/>
          <w:szCs w:val="24"/>
        </w:rPr>
        <w:lastRenderedPageBreak/>
        <w:t>Table 7.5.  Converting shocks into outcomes: Epidemic scenario, FL24, Neoclassical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5"/>
        <w:gridCol w:w="1041"/>
        <w:gridCol w:w="1043"/>
        <w:gridCol w:w="1034"/>
        <w:gridCol w:w="1150"/>
        <w:gridCol w:w="1078"/>
        <w:gridCol w:w="1079"/>
        <w:gridCol w:w="1068"/>
        <w:gridCol w:w="1250"/>
        <w:gridCol w:w="1069"/>
        <w:gridCol w:w="1069"/>
        <w:gridCol w:w="1072"/>
      </w:tblGrid>
      <w:tr w:rsidR="00900B10" w:rsidTr="00900B10">
        <w:tc>
          <w:tcPr>
            <w:tcW w:w="1528" w:type="dxa"/>
            <w:tcBorders>
              <w:top w:val="single" w:sz="18" w:space="0" w:color="595959" w:themeColor="text1" w:themeTint="A6"/>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p>
        </w:tc>
        <w:tc>
          <w:tcPr>
            <w:tcW w:w="10955" w:type="dxa"/>
            <w:gridSpan w:val="10"/>
            <w:tcBorders>
              <w:top w:val="single" w:sz="18" w:space="0" w:color="595959" w:themeColor="text1" w:themeTint="A6"/>
              <w:left w:val="single" w:sz="18" w:space="0" w:color="595959" w:themeColor="text1" w:themeTint="A6"/>
              <w:right w:val="single" w:sz="18" w:space="0" w:color="595959" w:themeColor="text1" w:themeTint="A6"/>
            </w:tcBorders>
            <w:vAlign w:val="bottom"/>
          </w:tcPr>
          <w:p w:rsidR="00900B10" w:rsidRPr="000D7F28" w:rsidRDefault="00900B10" w:rsidP="00900B10">
            <w:pPr>
              <w:spacing w:before="0"/>
              <w:jc w:val="center"/>
              <w:rPr>
                <w:rFonts w:ascii="Times New Roman" w:hAnsi="Times New Roman" w:cs="Times New Roman"/>
                <w:b/>
                <w:sz w:val="20"/>
                <w:szCs w:val="20"/>
              </w:rPr>
            </w:pPr>
            <w:r w:rsidRPr="000D7F28">
              <w:rPr>
                <w:rFonts w:ascii="Times New Roman" w:hAnsi="Times New Roman" w:cs="Times New Roman"/>
                <w:b/>
                <w:sz w:val="20"/>
                <w:szCs w:val="20"/>
              </w:rPr>
              <w:t>Elasticities FL24 Neoclassical</w:t>
            </w:r>
          </w:p>
        </w:tc>
        <w:tc>
          <w:tcPr>
            <w:tcW w:w="1079" w:type="dxa"/>
            <w:tcBorders>
              <w:top w:val="single" w:sz="18" w:space="0" w:color="595959" w:themeColor="text1" w:themeTint="A6"/>
              <w:left w:val="single" w:sz="18" w:space="0" w:color="595959" w:themeColor="text1" w:themeTint="A6"/>
            </w:tcBorders>
            <w:shd w:val="clear" w:color="auto" w:fill="FFFF00"/>
            <w:vAlign w:val="bottom"/>
          </w:tcPr>
          <w:p w:rsidR="00900B10" w:rsidRPr="000D7F28" w:rsidRDefault="00900B10" w:rsidP="00900B10">
            <w:pPr>
              <w:spacing w:before="0"/>
              <w:rPr>
                <w:rFonts w:ascii="Times New Roman" w:hAnsi="Times New Roman" w:cs="Times New Roman"/>
                <w:b/>
                <w:sz w:val="20"/>
                <w:szCs w:val="20"/>
              </w:rPr>
            </w:pPr>
            <w:r w:rsidRPr="000D7F28">
              <w:rPr>
                <w:rFonts w:ascii="Times New Roman" w:hAnsi="Times New Roman" w:cs="Times New Roman"/>
                <w:b/>
                <w:sz w:val="20"/>
                <w:szCs w:val="20"/>
              </w:rPr>
              <w:t> Shocks</w:t>
            </w:r>
          </w:p>
        </w:tc>
      </w:tr>
      <w:tr w:rsidR="00900B10" w:rsidTr="00900B10">
        <w:tc>
          <w:tcPr>
            <w:tcW w:w="1528" w:type="dxa"/>
            <w:tcBorders>
              <w:bottom w:val="single" w:sz="18" w:space="0" w:color="595959" w:themeColor="text1" w:themeTint="A6"/>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p>
        </w:tc>
        <w:tc>
          <w:tcPr>
            <w:tcW w:w="1053" w:type="dxa"/>
            <w:tcBorders>
              <w:left w:val="single" w:sz="18" w:space="0" w:color="595959" w:themeColor="text1" w:themeTint="A6"/>
              <w:bottom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GDPy1</w:t>
            </w:r>
          </w:p>
        </w:tc>
        <w:tc>
          <w:tcPr>
            <w:tcW w:w="1054" w:type="dxa"/>
            <w:tcBorders>
              <w:bottom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EMPy1</w:t>
            </w:r>
          </w:p>
        </w:tc>
        <w:tc>
          <w:tcPr>
            <w:tcW w:w="1044" w:type="dxa"/>
            <w:tcBorders>
              <w:bottom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G</w:t>
            </w:r>
            <w:r>
              <w:rPr>
                <w:rFonts w:ascii="Times New Roman" w:hAnsi="Times New Roman" w:cs="Times New Roman"/>
                <w:sz w:val="20"/>
                <w:szCs w:val="20"/>
              </w:rPr>
              <w:t>R</w:t>
            </w:r>
            <w:r w:rsidRPr="000D7F28">
              <w:rPr>
                <w:rFonts w:ascii="Times New Roman" w:hAnsi="Times New Roman" w:cs="Times New Roman"/>
                <w:sz w:val="20"/>
                <w:szCs w:val="20"/>
              </w:rPr>
              <w:t>Py1</w:t>
            </w:r>
          </w:p>
        </w:tc>
        <w:tc>
          <w:tcPr>
            <w:tcW w:w="1150" w:type="dxa"/>
            <w:tcBorders>
              <w:bottom w:val="single" w:sz="18" w:space="0" w:color="595959" w:themeColor="text1" w:themeTint="A6"/>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Pr>
                <w:rFonts w:ascii="Times New Roman" w:hAnsi="Times New Roman" w:cs="Times New Roman"/>
                <w:sz w:val="20"/>
                <w:szCs w:val="20"/>
              </w:rPr>
              <w:t>Reg</w:t>
            </w:r>
            <w:r w:rsidRPr="000D7F28">
              <w:rPr>
                <w:rFonts w:ascii="Times New Roman" w:hAnsi="Times New Roman" w:cs="Times New Roman"/>
                <w:sz w:val="20"/>
                <w:szCs w:val="20"/>
              </w:rPr>
              <w:t>EMPy1</w:t>
            </w:r>
          </w:p>
        </w:tc>
        <w:tc>
          <w:tcPr>
            <w:tcW w:w="1088" w:type="dxa"/>
            <w:tcBorders>
              <w:left w:val="single" w:sz="18" w:space="0" w:color="595959" w:themeColor="text1" w:themeTint="A6"/>
              <w:bottom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GDPy20</w:t>
            </w:r>
          </w:p>
        </w:tc>
        <w:tc>
          <w:tcPr>
            <w:tcW w:w="1088" w:type="dxa"/>
            <w:tcBorders>
              <w:bottom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EMPy20</w:t>
            </w:r>
          </w:p>
        </w:tc>
        <w:tc>
          <w:tcPr>
            <w:tcW w:w="1078" w:type="dxa"/>
            <w:tcBorders>
              <w:bottom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G</w:t>
            </w:r>
            <w:r>
              <w:rPr>
                <w:rFonts w:ascii="Times New Roman" w:hAnsi="Times New Roman" w:cs="Times New Roman"/>
                <w:sz w:val="20"/>
                <w:szCs w:val="20"/>
              </w:rPr>
              <w:t>R</w:t>
            </w:r>
            <w:r w:rsidRPr="000D7F28">
              <w:rPr>
                <w:rFonts w:ascii="Times New Roman" w:hAnsi="Times New Roman" w:cs="Times New Roman"/>
                <w:sz w:val="20"/>
                <w:szCs w:val="20"/>
              </w:rPr>
              <w:t>Py20</w:t>
            </w:r>
          </w:p>
        </w:tc>
        <w:tc>
          <w:tcPr>
            <w:tcW w:w="1250" w:type="dxa"/>
            <w:tcBorders>
              <w:bottom w:val="single" w:sz="18" w:space="0" w:color="595959" w:themeColor="text1" w:themeTint="A6"/>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Pr>
                <w:rFonts w:ascii="Times New Roman" w:hAnsi="Times New Roman" w:cs="Times New Roman"/>
                <w:sz w:val="20"/>
                <w:szCs w:val="20"/>
              </w:rPr>
              <w:t>Reg</w:t>
            </w:r>
            <w:r w:rsidRPr="000D7F28">
              <w:rPr>
                <w:rFonts w:ascii="Times New Roman" w:hAnsi="Times New Roman" w:cs="Times New Roman"/>
                <w:sz w:val="20"/>
                <w:szCs w:val="20"/>
              </w:rPr>
              <w:t>EMPy20</w:t>
            </w:r>
          </w:p>
        </w:tc>
        <w:tc>
          <w:tcPr>
            <w:tcW w:w="1075" w:type="dxa"/>
            <w:tcBorders>
              <w:left w:val="single" w:sz="18" w:space="0" w:color="595959" w:themeColor="text1" w:themeTint="A6"/>
              <w:bottom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Welf05</w:t>
            </w:r>
          </w:p>
        </w:tc>
        <w:tc>
          <w:tcPr>
            <w:tcW w:w="1075" w:type="dxa"/>
            <w:tcBorders>
              <w:bottom w:val="single" w:sz="18" w:space="0" w:color="595959" w:themeColor="text1" w:themeTint="A6"/>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Welf02</w:t>
            </w:r>
          </w:p>
        </w:tc>
        <w:tc>
          <w:tcPr>
            <w:tcW w:w="1079" w:type="dxa"/>
            <w:tcBorders>
              <w:left w:val="single" w:sz="18" w:space="0" w:color="595959" w:themeColor="text1" w:themeTint="A6"/>
              <w:bottom w:val="single" w:sz="18" w:space="0" w:color="595959" w:themeColor="text1" w:themeTint="A6"/>
            </w:tcBorders>
            <w:shd w:val="clear" w:color="auto" w:fill="FFFF00"/>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 </w:t>
            </w:r>
          </w:p>
        </w:tc>
      </w:tr>
      <w:tr w:rsidR="00900B10" w:rsidTr="00900B10">
        <w:tc>
          <w:tcPr>
            <w:tcW w:w="1528" w:type="dxa"/>
            <w:tcBorders>
              <w:top w:val="single" w:sz="18" w:space="0" w:color="595959" w:themeColor="text1" w:themeTint="A6"/>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1KDestruct</w:t>
            </w:r>
          </w:p>
        </w:tc>
        <w:tc>
          <w:tcPr>
            <w:tcW w:w="1053" w:type="dxa"/>
            <w:tcBorders>
              <w:top w:val="single" w:sz="18" w:space="0" w:color="595959" w:themeColor="text1" w:themeTint="A6"/>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-0.0013</w:t>
            </w:r>
          </w:p>
        </w:tc>
        <w:tc>
          <w:tcPr>
            <w:tcW w:w="1054" w:type="dxa"/>
            <w:tcBorders>
              <w:top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-0.0009</w:t>
            </w:r>
          </w:p>
        </w:tc>
        <w:tc>
          <w:tcPr>
            <w:tcW w:w="1044" w:type="dxa"/>
            <w:tcBorders>
              <w:top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-0.7828</w:t>
            </w:r>
          </w:p>
        </w:tc>
        <w:tc>
          <w:tcPr>
            <w:tcW w:w="1150" w:type="dxa"/>
            <w:tcBorders>
              <w:top w:val="single" w:sz="18" w:space="0" w:color="595959" w:themeColor="text1" w:themeTint="A6"/>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-0.6304</w:t>
            </w:r>
          </w:p>
        </w:tc>
        <w:tc>
          <w:tcPr>
            <w:tcW w:w="1088" w:type="dxa"/>
            <w:tcBorders>
              <w:top w:val="single" w:sz="18" w:space="0" w:color="595959" w:themeColor="text1" w:themeTint="A6"/>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88" w:type="dxa"/>
            <w:tcBorders>
              <w:top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78" w:type="dxa"/>
            <w:tcBorders>
              <w:top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-0.0145</w:t>
            </w:r>
          </w:p>
        </w:tc>
        <w:tc>
          <w:tcPr>
            <w:tcW w:w="1250" w:type="dxa"/>
            <w:tcBorders>
              <w:top w:val="single" w:sz="18" w:space="0" w:color="595959" w:themeColor="text1" w:themeTint="A6"/>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0.0078</w:t>
            </w:r>
          </w:p>
        </w:tc>
        <w:tc>
          <w:tcPr>
            <w:tcW w:w="1075" w:type="dxa"/>
            <w:tcBorders>
              <w:top w:val="single" w:sz="18" w:space="0" w:color="595959" w:themeColor="text1" w:themeTint="A6"/>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-0.0076</w:t>
            </w:r>
          </w:p>
        </w:tc>
        <w:tc>
          <w:tcPr>
            <w:tcW w:w="1075" w:type="dxa"/>
            <w:tcBorders>
              <w:top w:val="single" w:sz="18" w:space="0" w:color="595959" w:themeColor="text1" w:themeTint="A6"/>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-0.0101</w:t>
            </w:r>
          </w:p>
        </w:tc>
        <w:tc>
          <w:tcPr>
            <w:tcW w:w="1079" w:type="dxa"/>
            <w:tcBorders>
              <w:top w:val="single" w:sz="18" w:space="0" w:color="595959" w:themeColor="text1" w:themeTint="A6"/>
              <w:left w:val="single" w:sz="18" w:space="0" w:color="595959" w:themeColor="text1" w:themeTint="A6"/>
            </w:tcBorders>
            <w:shd w:val="clear" w:color="auto" w:fill="FFFF00"/>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w:t>
            </w:r>
            <w:r>
              <w:rPr>
                <w:rFonts w:ascii="Times New Roman" w:hAnsi="Times New Roman" w:cs="Times New Roman"/>
                <w:color w:val="000000"/>
                <w:sz w:val="20"/>
                <w:szCs w:val="20"/>
              </w:rPr>
              <w:t>.0000</w:t>
            </w:r>
          </w:p>
        </w:tc>
      </w:tr>
      <w:tr w:rsidR="00900B10" w:rsidTr="00900B10">
        <w:tc>
          <w:tcPr>
            <w:tcW w:w="1528"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2K</w:t>
            </w:r>
            <w:r>
              <w:rPr>
                <w:rFonts w:ascii="Times New Roman" w:hAnsi="Times New Roman" w:cs="Times New Roman"/>
                <w:sz w:val="20"/>
                <w:szCs w:val="20"/>
              </w:rPr>
              <w:t>Return</w:t>
            </w:r>
          </w:p>
        </w:tc>
        <w:tc>
          <w:tcPr>
            <w:tcW w:w="1053"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54"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44"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150"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88"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88"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-0.0001</w:t>
            </w:r>
          </w:p>
        </w:tc>
        <w:tc>
          <w:tcPr>
            <w:tcW w:w="1078"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0.0324</w:t>
            </w:r>
          </w:p>
        </w:tc>
        <w:tc>
          <w:tcPr>
            <w:tcW w:w="1250"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-0.0011</w:t>
            </w:r>
          </w:p>
        </w:tc>
        <w:tc>
          <w:tcPr>
            <w:tcW w:w="1075"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0.0073</w:t>
            </w:r>
          </w:p>
        </w:tc>
        <w:tc>
          <w:tcPr>
            <w:tcW w:w="1075"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0.0101</w:t>
            </w:r>
          </w:p>
        </w:tc>
        <w:tc>
          <w:tcPr>
            <w:tcW w:w="1079" w:type="dxa"/>
            <w:tcBorders>
              <w:left w:val="single" w:sz="18" w:space="0" w:color="595959" w:themeColor="text1" w:themeTint="A6"/>
            </w:tcBorders>
            <w:shd w:val="clear" w:color="auto" w:fill="FFFF00"/>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r>
      <w:tr w:rsidR="00900B10" w:rsidTr="00900B10">
        <w:tc>
          <w:tcPr>
            <w:tcW w:w="1528"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3CleanUp</w:t>
            </w:r>
          </w:p>
        </w:tc>
        <w:tc>
          <w:tcPr>
            <w:tcW w:w="1053"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0.0007</w:t>
            </w:r>
          </w:p>
        </w:tc>
        <w:tc>
          <w:tcPr>
            <w:tcW w:w="1054"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0.0013</w:t>
            </w:r>
          </w:p>
        </w:tc>
        <w:tc>
          <w:tcPr>
            <w:tcW w:w="1044"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0.0211</w:t>
            </w:r>
          </w:p>
        </w:tc>
        <w:tc>
          <w:tcPr>
            <w:tcW w:w="1150"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0.0430</w:t>
            </w:r>
          </w:p>
        </w:tc>
        <w:tc>
          <w:tcPr>
            <w:tcW w:w="1088"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88"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78"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-0.0009</w:t>
            </w:r>
          </w:p>
        </w:tc>
        <w:tc>
          <w:tcPr>
            <w:tcW w:w="1250"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-0.0003</w:t>
            </w:r>
          </w:p>
        </w:tc>
        <w:tc>
          <w:tcPr>
            <w:tcW w:w="1075"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-0.0006</w:t>
            </w:r>
          </w:p>
        </w:tc>
        <w:tc>
          <w:tcPr>
            <w:tcW w:w="1075"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-0.0009</w:t>
            </w:r>
          </w:p>
        </w:tc>
        <w:tc>
          <w:tcPr>
            <w:tcW w:w="1079" w:type="dxa"/>
            <w:tcBorders>
              <w:left w:val="single" w:sz="18" w:space="0" w:color="595959" w:themeColor="text1" w:themeTint="A6"/>
            </w:tcBorders>
            <w:shd w:val="clear" w:color="auto" w:fill="FFFF00"/>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2.4951</w:t>
            </w:r>
          </w:p>
        </w:tc>
      </w:tr>
      <w:tr w:rsidR="00900B10" w:rsidTr="00900B10">
        <w:tc>
          <w:tcPr>
            <w:tcW w:w="1528"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4PubHealth</w:t>
            </w:r>
          </w:p>
        </w:tc>
        <w:tc>
          <w:tcPr>
            <w:tcW w:w="1053"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54"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0.0001</w:t>
            </w:r>
          </w:p>
        </w:tc>
        <w:tc>
          <w:tcPr>
            <w:tcW w:w="1044"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0.0023</w:t>
            </w:r>
          </w:p>
        </w:tc>
        <w:tc>
          <w:tcPr>
            <w:tcW w:w="1150"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0.0044</w:t>
            </w:r>
          </w:p>
        </w:tc>
        <w:tc>
          <w:tcPr>
            <w:tcW w:w="1088"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88"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78"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250"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75"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75"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-0.0001</w:t>
            </w:r>
          </w:p>
        </w:tc>
        <w:tc>
          <w:tcPr>
            <w:tcW w:w="1079" w:type="dxa"/>
            <w:tcBorders>
              <w:left w:val="single" w:sz="18" w:space="0" w:color="595959" w:themeColor="text1" w:themeTint="A6"/>
            </w:tcBorders>
            <w:shd w:val="clear" w:color="auto" w:fill="FFFF00"/>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244.4013</w:t>
            </w:r>
          </w:p>
        </w:tc>
      </w:tr>
      <w:tr w:rsidR="00900B10" w:rsidTr="00900B10">
        <w:tc>
          <w:tcPr>
            <w:tcW w:w="1528"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Pr>
                <w:rFonts w:ascii="Times New Roman" w:hAnsi="Times New Roman" w:cs="Times New Roman"/>
                <w:sz w:val="20"/>
                <w:szCs w:val="20"/>
              </w:rPr>
              <w:t>5</w:t>
            </w:r>
            <w:r w:rsidRPr="000D7F28">
              <w:rPr>
                <w:rFonts w:ascii="Times New Roman" w:hAnsi="Times New Roman" w:cs="Times New Roman"/>
                <w:sz w:val="20"/>
                <w:szCs w:val="20"/>
              </w:rPr>
              <w:t>Acc</w:t>
            </w:r>
            <w:r>
              <w:rPr>
                <w:rFonts w:ascii="Times New Roman" w:hAnsi="Times New Roman" w:cs="Times New Roman"/>
                <w:sz w:val="20"/>
                <w:szCs w:val="20"/>
              </w:rPr>
              <w:t>omTarCity</w:t>
            </w:r>
          </w:p>
        </w:tc>
        <w:tc>
          <w:tcPr>
            <w:tcW w:w="1053"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0.0001</w:t>
            </w:r>
          </w:p>
        </w:tc>
        <w:tc>
          <w:tcPr>
            <w:tcW w:w="1054"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0.0001</w:t>
            </w:r>
          </w:p>
        </w:tc>
        <w:tc>
          <w:tcPr>
            <w:tcW w:w="1044"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0.0035</w:t>
            </w:r>
          </w:p>
        </w:tc>
        <w:tc>
          <w:tcPr>
            <w:tcW w:w="1150"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0.0053</w:t>
            </w:r>
          </w:p>
        </w:tc>
        <w:tc>
          <w:tcPr>
            <w:tcW w:w="1088"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88"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78"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0.0003</w:t>
            </w:r>
          </w:p>
        </w:tc>
        <w:tc>
          <w:tcPr>
            <w:tcW w:w="1250"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0.0002</w:t>
            </w:r>
          </w:p>
        </w:tc>
        <w:tc>
          <w:tcPr>
            <w:tcW w:w="1075"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-0.0001</w:t>
            </w:r>
          </w:p>
        </w:tc>
        <w:tc>
          <w:tcPr>
            <w:tcW w:w="1075"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-0.0002</w:t>
            </w:r>
          </w:p>
        </w:tc>
        <w:tc>
          <w:tcPr>
            <w:tcW w:w="1079" w:type="dxa"/>
            <w:tcBorders>
              <w:left w:val="single" w:sz="18" w:space="0" w:color="595959" w:themeColor="text1" w:themeTint="A6"/>
            </w:tcBorders>
            <w:shd w:val="clear" w:color="auto" w:fill="FFFF00"/>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r>
      <w:tr w:rsidR="00900B10" w:rsidTr="00900B10">
        <w:tc>
          <w:tcPr>
            <w:tcW w:w="1528"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6</w:t>
            </w:r>
            <w:r>
              <w:rPr>
                <w:rFonts w:ascii="Times New Roman" w:hAnsi="Times New Roman" w:cs="Times New Roman"/>
                <w:sz w:val="20"/>
                <w:szCs w:val="20"/>
              </w:rPr>
              <w:t>AccOutsideTC</w:t>
            </w:r>
          </w:p>
        </w:tc>
        <w:tc>
          <w:tcPr>
            <w:tcW w:w="1053"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0.0085</w:t>
            </w:r>
          </w:p>
        </w:tc>
        <w:tc>
          <w:tcPr>
            <w:tcW w:w="1054"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0.0129</w:t>
            </w:r>
          </w:p>
        </w:tc>
        <w:tc>
          <w:tcPr>
            <w:tcW w:w="1044"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0.0018</w:t>
            </w:r>
          </w:p>
        </w:tc>
        <w:tc>
          <w:tcPr>
            <w:tcW w:w="1150"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0.0041</w:t>
            </w:r>
          </w:p>
        </w:tc>
        <w:tc>
          <w:tcPr>
            <w:tcW w:w="1088"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88"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78"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-0.0001</w:t>
            </w:r>
          </w:p>
        </w:tc>
        <w:tc>
          <w:tcPr>
            <w:tcW w:w="1250"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75"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-0.0231</w:t>
            </w:r>
          </w:p>
        </w:tc>
        <w:tc>
          <w:tcPr>
            <w:tcW w:w="1075"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-0.0324</w:t>
            </w:r>
          </w:p>
        </w:tc>
        <w:tc>
          <w:tcPr>
            <w:tcW w:w="1079" w:type="dxa"/>
            <w:tcBorders>
              <w:left w:val="single" w:sz="18" w:space="0" w:color="595959" w:themeColor="text1" w:themeTint="A6"/>
            </w:tcBorders>
            <w:shd w:val="clear" w:color="auto" w:fill="FFFF00"/>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r>
      <w:tr w:rsidR="00900B10" w:rsidTr="00900B10">
        <w:tc>
          <w:tcPr>
            <w:tcW w:w="1528"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7</w:t>
            </w:r>
            <w:r>
              <w:rPr>
                <w:rFonts w:ascii="Times New Roman" w:hAnsi="Times New Roman" w:cs="Times New Roman"/>
                <w:sz w:val="20"/>
                <w:szCs w:val="20"/>
              </w:rPr>
              <w:t>Lost</w:t>
            </w:r>
            <w:r w:rsidRPr="000D7F28">
              <w:rPr>
                <w:rFonts w:ascii="Times New Roman" w:hAnsi="Times New Roman" w:cs="Times New Roman"/>
                <w:sz w:val="20"/>
                <w:szCs w:val="20"/>
              </w:rPr>
              <w:t>Fgn</w:t>
            </w:r>
            <w:r>
              <w:rPr>
                <w:rFonts w:ascii="Times New Roman" w:hAnsi="Times New Roman" w:cs="Times New Roman"/>
                <w:sz w:val="20"/>
                <w:szCs w:val="20"/>
              </w:rPr>
              <w:t>VisTC</w:t>
            </w:r>
          </w:p>
        </w:tc>
        <w:tc>
          <w:tcPr>
            <w:tcW w:w="1053"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-0.0002</w:t>
            </w:r>
          </w:p>
        </w:tc>
        <w:tc>
          <w:tcPr>
            <w:tcW w:w="1054"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-0.0003</w:t>
            </w:r>
          </w:p>
        </w:tc>
        <w:tc>
          <w:tcPr>
            <w:tcW w:w="1044"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-0.0089</w:t>
            </w:r>
          </w:p>
        </w:tc>
        <w:tc>
          <w:tcPr>
            <w:tcW w:w="1150"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-0.0115</w:t>
            </w:r>
          </w:p>
        </w:tc>
        <w:tc>
          <w:tcPr>
            <w:tcW w:w="1088"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88"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78"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-0.0002</w:t>
            </w:r>
          </w:p>
        </w:tc>
        <w:tc>
          <w:tcPr>
            <w:tcW w:w="1250"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-0.0001</w:t>
            </w:r>
          </w:p>
        </w:tc>
        <w:tc>
          <w:tcPr>
            <w:tcW w:w="1075"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-0.0004</w:t>
            </w:r>
          </w:p>
        </w:tc>
        <w:tc>
          <w:tcPr>
            <w:tcW w:w="1075"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-0.0005</w:t>
            </w:r>
          </w:p>
        </w:tc>
        <w:tc>
          <w:tcPr>
            <w:tcW w:w="1079" w:type="dxa"/>
            <w:tcBorders>
              <w:left w:val="single" w:sz="18" w:space="0" w:color="595959" w:themeColor="text1" w:themeTint="A6"/>
            </w:tcBorders>
            <w:shd w:val="clear" w:color="auto" w:fill="FFFF00"/>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50.7424</w:t>
            </w:r>
          </w:p>
        </w:tc>
      </w:tr>
      <w:tr w:rsidR="00900B10" w:rsidTr="00900B10">
        <w:tc>
          <w:tcPr>
            <w:tcW w:w="1528"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8</w:t>
            </w:r>
            <w:r>
              <w:rPr>
                <w:rFonts w:ascii="Times New Roman" w:hAnsi="Times New Roman" w:cs="Times New Roman"/>
                <w:sz w:val="20"/>
                <w:szCs w:val="20"/>
              </w:rPr>
              <w:t>Lost</w:t>
            </w:r>
            <w:r w:rsidRPr="000D7F28">
              <w:rPr>
                <w:rFonts w:ascii="Times New Roman" w:hAnsi="Times New Roman" w:cs="Times New Roman"/>
                <w:sz w:val="20"/>
                <w:szCs w:val="20"/>
              </w:rPr>
              <w:t>Fgn</w:t>
            </w:r>
            <w:r>
              <w:rPr>
                <w:rFonts w:ascii="Times New Roman" w:hAnsi="Times New Roman" w:cs="Times New Roman"/>
                <w:sz w:val="20"/>
                <w:szCs w:val="20"/>
              </w:rPr>
              <w:t>VisOuTC</w:t>
            </w:r>
          </w:p>
        </w:tc>
        <w:tc>
          <w:tcPr>
            <w:tcW w:w="1053"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-0.0020</w:t>
            </w:r>
          </w:p>
        </w:tc>
        <w:tc>
          <w:tcPr>
            <w:tcW w:w="1054"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-0.0029</w:t>
            </w:r>
          </w:p>
        </w:tc>
        <w:tc>
          <w:tcPr>
            <w:tcW w:w="1044"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-0.0020</w:t>
            </w:r>
          </w:p>
        </w:tc>
        <w:tc>
          <w:tcPr>
            <w:tcW w:w="1150"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-0.0039</w:t>
            </w:r>
          </w:p>
        </w:tc>
        <w:tc>
          <w:tcPr>
            <w:tcW w:w="1088"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88"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78"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0.0001</w:t>
            </w:r>
          </w:p>
        </w:tc>
        <w:tc>
          <w:tcPr>
            <w:tcW w:w="1250"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75"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-0.0040</w:t>
            </w:r>
          </w:p>
        </w:tc>
        <w:tc>
          <w:tcPr>
            <w:tcW w:w="1075"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-0.0045</w:t>
            </w:r>
          </w:p>
        </w:tc>
        <w:tc>
          <w:tcPr>
            <w:tcW w:w="1079" w:type="dxa"/>
            <w:tcBorders>
              <w:left w:val="single" w:sz="18" w:space="0" w:color="595959" w:themeColor="text1" w:themeTint="A6"/>
            </w:tcBorders>
            <w:shd w:val="clear" w:color="auto" w:fill="FFFF00"/>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25.3712</w:t>
            </w:r>
          </w:p>
        </w:tc>
      </w:tr>
      <w:tr w:rsidR="00900B10" w:rsidTr="00900B10">
        <w:tc>
          <w:tcPr>
            <w:tcW w:w="1528"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9</w:t>
            </w:r>
            <w:r>
              <w:rPr>
                <w:rFonts w:ascii="Times New Roman" w:hAnsi="Times New Roman" w:cs="Times New Roman"/>
                <w:sz w:val="20"/>
                <w:szCs w:val="20"/>
              </w:rPr>
              <w:t>LostDomVisTC</w:t>
            </w:r>
          </w:p>
        </w:tc>
        <w:tc>
          <w:tcPr>
            <w:tcW w:w="1053"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54"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44"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-0.0182</w:t>
            </w:r>
          </w:p>
        </w:tc>
        <w:tc>
          <w:tcPr>
            <w:tcW w:w="1150"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-0.0218</w:t>
            </w:r>
          </w:p>
        </w:tc>
        <w:tc>
          <w:tcPr>
            <w:tcW w:w="1088"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88"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78"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-0.0002</w:t>
            </w:r>
          </w:p>
        </w:tc>
        <w:tc>
          <w:tcPr>
            <w:tcW w:w="1250"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75"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75"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79" w:type="dxa"/>
            <w:tcBorders>
              <w:left w:val="single" w:sz="18" w:space="0" w:color="595959" w:themeColor="text1" w:themeTint="A6"/>
            </w:tcBorders>
            <w:shd w:val="clear" w:color="auto" w:fill="FFFF00"/>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0.0773</w:t>
            </w:r>
          </w:p>
        </w:tc>
      </w:tr>
      <w:tr w:rsidR="00900B10" w:rsidTr="00900B10">
        <w:tc>
          <w:tcPr>
            <w:tcW w:w="1528"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10</w:t>
            </w:r>
            <w:r>
              <w:rPr>
                <w:rFonts w:ascii="Times New Roman" w:hAnsi="Times New Roman" w:cs="Times New Roman"/>
                <w:sz w:val="20"/>
                <w:szCs w:val="20"/>
              </w:rPr>
              <w:t>LostDomVisOutTC</w:t>
            </w:r>
          </w:p>
        </w:tc>
        <w:tc>
          <w:tcPr>
            <w:tcW w:w="1053"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-0.0044</w:t>
            </w:r>
          </w:p>
        </w:tc>
        <w:tc>
          <w:tcPr>
            <w:tcW w:w="1054"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-0.0064</w:t>
            </w:r>
          </w:p>
        </w:tc>
        <w:tc>
          <w:tcPr>
            <w:tcW w:w="1044"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-0.0019</w:t>
            </w:r>
          </w:p>
        </w:tc>
        <w:tc>
          <w:tcPr>
            <w:tcW w:w="1150"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-0.0054</w:t>
            </w:r>
          </w:p>
        </w:tc>
        <w:tc>
          <w:tcPr>
            <w:tcW w:w="1088"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0.0002</w:t>
            </w:r>
          </w:p>
        </w:tc>
        <w:tc>
          <w:tcPr>
            <w:tcW w:w="1088"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78"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0.0002</w:t>
            </w:r>
          </w:p>
        </w:tc>
        <w:tc>
          <w:tcPr>
            <w:tcW w:w="1250"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75"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-0.0125</w:t>
            </w:r>
          </w:p>
        </w:tc>
        <w:tc>
          <w:tcPr>
            <w:tcW w:w="1075"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-0.0102</w:t>
            </w:r>
          </w:p>
        </w:tc>
        <w:tc>
          <w:tcPr>
            <w:tcW w:w="1079" w:type="dxa"/>
            <w:tcBorders>
              <w:left w:val="single" w:sz="18" w:space="0" w:color="595959" w:themeColor="text1" w:themeTint="A6"/>
            </w:tcBorders>
            <w:shd w:val="clear" w:color="auto" w:fill="FFFF00"/>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r>
      <w:tr w:rsidR="00900B10" w:rsidTr="00900B10">
        <w:tc>
          <w:tcPr>
            <w:tcW w:w="1528"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11</w:t>
            </w:r>
            <w:r>
              <w:rPr>
                <w:rFonts w:ascii="Times New Roman" w:hAnsi="Times New Roman" w:cs="Times New Roman"/>
                <w:sz w:val="20"/>
                <w:szCs w:val="20"/>
              </w:rPr>
              <w:t>Lost</w:t>
            </w:r>
            <w:r w:rsidRPr="000D7F28">
              <w:rPr>
                <w:rFonts w:ascii="Times New Roman" w:hAnsi="Times New Roman" w:cs="Times New Roman"/>
                <w:sz w:val="20"/>
                <w:szCs w:val="20"/>
              </w:rPr>
              <w:t>Food</w:t>
            </w:r>
            <w:r>
              <w:rPr>
                <w:rFonts w:ascii="Times New Roman" w:hAnsi="Times New Roman" w:cs="Times New Roman"/>
                <w:sz w:val="20"/>
                <w:szCs w:val="20"/>
              </w:rPr>
              <w:t>Tar</w:t>
            </w:r>
            <w:r w:rsidRPr="000D7F28">
              <w:rPr>
                <w:rFonts w:ascii="Times New Roman" w:hAnsi="Times New Roman" w:cs="Times New Roman"/>
                <w:sz w:val="20"/>
                <w:szCs w:val="20"/>
              </w:rPr>
              <w:t>St</w:t>
            </w:r>
            <w:r>
              <w:rPr>
                <w:rFonts w:ascii="Times New Roman" w:hAnsi="Times New Roman" w:cs="Times New Roman"/>
                <w:sz w:val="20"/>
                <w:szCs w:val="20"/>
              </w:rPr>
              <w:t>aste</w:t>
            </w:r>
          </w:p>
        </w:tc>
        <w:tc>
          <w:tcPr>
            <w:tcW w:w="1053"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-0.0013</w:t>
            </w:r>
          </w:p>
        </w:tc>
        <w:tc>
          <w:tcPr>
            <w:tcW w:w="1054"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-0.0011</w:t>
            </w:r>
          </w:p>
        </w:tc>
        <w:tc>
          <w:tcPr>
            <w:tcW w:w="1044"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-0.0133</w:t>
            </w:r>
          </w:p>
        </w:tc>
        <w:tc>
          <w:tcPr>
            <w:tcW w:w="1150"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-0.0101</w:t>
            </w:r>
          </w:p>
        </w:tc>
        <w:tc>
          <w:tcPr>
            <w:tcW w:w="1088"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88"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78"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250"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75"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-0.0002</w:t>
            </w:r>
          </w:p>
        </w:tc>
        <w:tc>
          <w:tcPr>
            <w:tcW w:w="1075"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-0.0002</w:t>
            </w:r>
          </w:p>
        </w:tc>
        <w:tc>
          <w:tcPr>
            <w:tcW w:w="1079" w:type="dxa"/>
            <w:tcBorders>
              <w:left w:val="single" w:sz="18" w:space="0" w:color="595959" w:themeColor="text1" w:themeTint="A6"/>
            </w:tcBorders>
            <w:shd w:val="clear" w:color="auto" w:fill="FFFF00"/>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r>
      <w:tr w:rsidR="00900B10" w:rsidTr="00900B10">
        <w:tc>
          <w:tcPr>
            <w:tcW w:w="1528"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12</w:t>
            </w:r>
            <w:r>
              <w:rPr>
                <w:rFonts w:ascii="Times New Roman" w:hAnsi="Times New Roman" w:cs="Times New Roman"/>
                <w:sz w:val="20"/>
                <w:szCs w:val="20"/>
              </w:rPr>
              <w:t>Lost</w:t>
            </w:r>
            <w:r w:rsidRPr="000D7F28">
              <w:rPr>
                <w:rFonts w:ascii="Times New Roman" w:hAnsi="Times New Roman" w:cs="Times New Roman"/>
                <w:sz w:val="20"/>
                <w:szCs w:val="20"/>
              </w:rPr>
              <w:t>FoodNat</w:t>
            </w:r>
            <w:r>
              <w:rPr>
                <w:rFonts w:ascii="Times New Roman" w:hAnsi="Times New Roman" w:cs="Times New Roman"/>
                <w:sz w:val="20"/>
                <w:szCs w:val="20"/>
              </w:rPr>
              <w:t>ion</w:t>
            </w:r>
          </w:p>
        </w:tc>
        <w:tc>
          <w:tcPr>
            <w:tcW w:w="1053"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-0.0539</w:t>
            </w:r>
          </w:p>
        </w:tc>
        <w:tc>
          <w:tcPr>
            <w:tcW w:w="1054"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-0.0373</w:t>
            </w:r>
          </w:p>
        </w:tc>
        <w:tc>
          <w:tcPr>
            <w:tcW w:w="1044"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-0.0208</w:t>
            </w:r>
          </w:p>
        </w:tc>
        <w:tc>
          <w:tcPr>
            <w:tcW w:w="1150"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-0.0479</w:t>
            </w:r>
          </w:p>
        </w:tc>
        <w:tc>
          <w:tcPr>
            <w:tcW w:w="1088"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0.0003</w:t>
            </w:r>
          </w:p>
        </w:tc>
        <w:tc>
          <w:tcPr>
            <w:tcW w:w="1088"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78"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0.0012</w:t>
            </w:r>
          </w:p>
        </w:tc>
        <w:tc>
          <w:tcPr>
            <w:tcW w:w="1250"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-0.0001</w:t>
            </w:r>
          </w:p>
        </w:tc>
        <w:tc>
          <w:tcPr>
            <w:tcW w:w="1075"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-0.0631</w:t>
            </w:r>
          </w:p>
        </w:tc>
        <w:tc>
          <w:tcPr>
            <w:tcW w:w="1075"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-0.0655</w:t>
            </w:r>
          </w:p>
        </w:tc>
        <w:tc>
          <w:tcPr>
            <w:tcW w:w="1079" w:type="dxa"/>
            <w:tcBorders>
              <w:left w:val="single" w:sz="18" w:space="0" w:color="595959" w:themeColor="text1" w:themeTint="A6"/>
            </w:tcBorders>
            <w:shd w:val="clear" w:color="auto" w:fill="FFFF00"/>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r>
      <w:tr w:rsidR="00900B10" w:rsidTr="00900B10">
        <w:trPr>
          <w:trHeight w:val="224"/>
        </w:trPr>
        <w:tc>
          <w:tcPr>
            <w:tcW w:w="1528"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13</w:t>
            </w:r>
            <w:r>
              <w:rPr>
                <w:rFonts w:ascii="Times New Roman" w:hAnsi="Times New Roman" w:cs="Times New Roman"/>
                <w:sz w:val="20"/>
                <w:szCs w:val="20"/>
              </w:rPr>
              <w:t>Lost</w:t>
            </w:r>
            <w:r w:rsidRPr="000D7F28">
              <w:rPr>
                <w:rFonts w:ascii="Times New Roman" w:hAnsi="Times New Roman" w:cs="Times New Roman"/>
                <w:sz w:val="20"/>
                <w:szCs w:val="20"/>
              </w:rPr>
              <w:t>Nat</w:t>
            </w:r>
            <w:r>
              <w:rPr>
                <w:rFonts w:ascii="Times New Roman" w:hAnsi="Times New Roman" w:cs="Times New Roman"/>
                <w:sz w:val="20"/>
                <w:szCs w:val="20"/>
              </w:rPr>
              <w:t>ion</w:t>
            </w:r>
            <w:r w:rsidRPr="000D7F28">
              <w:rPr>
                <w:rFonts w:ascii="Times New Roman" w:hAnsi="Times New Roman" w:cs="Times New Roman"/>
                <w:sz w:val="20"/>
                <w:szCs w:val="20"/>
              </w:rPr>
              <w:t>Lab</w:t>
            </w:r>
          </w:p>
        </w:tc>
        <w:tc>
          <w:tcPr>
            <w:tcW w:w="1053"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-0.2086</w:t>
            </w:r>
          </w:p>
        </w:tc>
        <w:tc>
          <w:tcPr>
            <w:tcW w:w="1054"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-0.3564</w:t>
            </w:r>
          </w:p>
        </w:tc>
        <w:tc>
          <w:tcPr>
            <w:tcW w:w="1044"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-19.8407</w:t>
            </w:r>
          </w:p>
        </w:tc>
        <w:tc>
          <w:tcPr>
            <w:tcW w:w="1150"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-33.3864</w:t>
            </w:r>
          </w:p>
        </w:tc>
        <w:tc>
          <w:tcPr>
            <w:tcW w:w="1088"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-0.9552</w:t>
            </w:r>
          </w:p>
        </w:tc>
        <w:tc>
          <w:tcPr>
            <w:tcW w:w="1088"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-0.9910</w:t>
            </w:r>
          </w:p>
        </w:tc>
        <w:tc>
          <w:tcPr>
            <w:tcW w:w="1078" w:type="dxa"/>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-0.0145</w:t>
            </w:r>
          </w:p>
        </w:tc>
        <w:tc>
          <w:tcPr>
            <w:tcW w:w="1250"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-0.0099</w:t>
            </w:r>
          </w:p>
        </w:tc>
        <w:tc>
          <w:tcPr>
            <w:tcW w:w="1075" w:type="dxa"/>
            <w:tcBorders>
              <w:lef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-298.6014</w:t>
            </w:r>
          </w:p>
        </w:tc>
        <w:tc>
          <w:tcPr>
            <w:tcW w:w="1075" w:type="dxa"/>
            <w:tcBorders>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-307.2679</w:t>
            </w:r>
          </w:p>
        </w:tc>
        <w:tc>
          <w:tcPr>
            <w:tcW w:w="1079" w:type="dxa"/>
            <w:tcBorders>
              <w:left w:val="single" w:sz="18" w:space="0" w:color="595959" w:themeColor="text1" w:themeTint="A6"/>
            </w:tcBorders>
            <w:shd w:val="clear" w:color="auto" w:fill="FFFF00"/>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0.0119</w:t>
            </w:r>
          </w:p>
        </w:tc>
      </w:tr>
      <w:tr w:rsidR="00900B10" w:rsidTr="00900B10">
        <w:tc>
          <w:tcPr>
            <w:tcW w:w="1528" w:type="dxa"/>
            <w:tcBorders>
              <w:bottom w:val="single" w:sz="18" w:space="0" w:color="595959" w:themeColor="text1" w:themeTint="A6"/>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14</w:t>
            </w:r>
            <w:r>
              <w:rPr>
                <w:rFonts w:ascii="Times New Roman" w:hAnsi="Times New Roman" w:cs="Times New Roman"/>
                <w:sz w:val="20"/>
                <w:szCs w:val="20"/>
              </w:rPr>
              <w:t>AversionToTarReg</w:t>
            </w:r>
          </w:p>
        </w:tc>
        <w:tc>
          <w:tcPr>
            <w:tcW w:w="1053" w:type="dxa"/>
            <w:tcBorders>
              <w:left w:val="single" w:sz="18" w:space="0" w:color="595959" w:themeColor="text1" w:themeTint="A6"/>
              <w:bottom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54" w:type="dxa"/>
            <w:tcBorders>
              <w:bottom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44" w:type="dxa"/>
            <w:tcBorders>
              <w:bottom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-0.1478</w:t>
            </w:r>
          </w:p>
        </w:tc>
        <w:tc>
          <w:tcPr>
            <w:tcW w:w="1150" w:type="dxa"/>
            <w:tcBorders>
              <w:bottom w:val="single" w:sz="18" w:space="0" w:color="595959" w:themeColor="text1" w:themeTint="A6"/>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-0.2488</w:t>
            </w:r>
          </w:p>
        </w:tc>
        <w:tc>
          <w:tcPr>
            <w:tcW w:w="1088" w:type="dxa"/>
            <w:tcBorders>
              <w:left w:val="single" w:sz="18" w:space="0" w:color="595959" w:themeColor="text1" w:themeTint="A6"/>
              <w:bottom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88" w:type="dxa"/>
            <w:tcBorders>
              <w:bottom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78" w:type="dxa"/>
            <w:tcBorders>
              <w:bottom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-0.8142</w:t>
            </w:r>
          </w:p>
        </w:tc>
        <w:tc>
          <w:tcPr>
            <w:tcW w:w="1250" w:type="dxa"/>
            <w:tcBorders>
              <w:bottom w:val="single" w:sz="18" w:space="0" w:color="595959" w:themeColor="text1" w:themeTint="A6"/>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-0.8930</w:t>
            </w:r>
          </w:p>
        </w:tc>
        <w:tc>
          <w:tcPr>
            <w:tcW w:w="1075" w:type="dxa"/>
            <w:tcBorders>
              <w:left w:val="single" w:sz="18" w:space="0" w:color="595959" w:themeColor="text1" w:themeTint="A6"/>
              <w:bottom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75" w:type="dxa"/>
            <w:tcBorders>
              <w:bottom w:val="single" w:sz="18" w:space="0" w:color="595959" w:themeColor="text1" w:themeTint="A6"/>
              <w:right w:val="single" w:sz="18" w:space="0" w:color="595959" w:themeColor="text1" w:themeTint="A6"/>
            </w:tcBorders>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c>
          <w:tcPr>
            <w:tcW w:w="1079" w:type="dxa"/>
            <w:tcBorders>
              <w:left w:val="single" w:sz="18" w:space="0" w:color="595959" w:themeColor="text1" w:themeTint="A6"/>
              <w:bottom w:val="single" w:sz="18" w:space="0" w:color="595959" w:themeColor="text1" w:themeTint="A6"/>
            </w:tcBorders>
            <w:shd w:val="clear" w:color="auto" w:fill="FFFF00"/>
            <w:vAlign w:val="bottom"/>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w:t>
            </w:r>
          </w:p>
        </w:tc>
      </w:tr>
      <w:tr w:rsidR="00900B10" w:rsidTr="00900B10">
        <w:tc>
          <w:tcPr>
            <w:tcW w:w="1528" w:type="dxa"/>
            <w:tcBorders>
              <w:top w:val="single" w:sz="18" w:space="0" w:color="595959" w:themeColor="text1" w:themeTint="A6"/>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p>
        </w:tc>
        <w:tc>
          <w:tcPr>
            <w:tcW w:w="10955" w:type="dxa"/>
            <w:gridSpan w:val="10"/>
            <w:tcBorders>
              <w:top w:val="single" w:sz="18" w:space="0" w:color="595959" w:themeColor="text1" w:themeTint="A6"/>
              <w:left w:val="single" w:sz="18" w:space="0" w:color="595959" w:themeColor="text1" w:themeTint="A6"/>
              <w:right w:val="single" w:sz="18" w:space="0" w:color="595959" w:themeColor="text1" w:themeTint="A6"/>
            </w:tcBorders>
            <w:vAlign w:val="bottom"/>
          </w:tcPr>
          <w:p w:rsidR="00900B10" w:rsidRPr="00BB567A" w:rsidRDefault="00900B10" w:rsidP="00900B10">
            <w:pPr>
              <w:spacing w:before="0"/>
              <w:jc w:val="center"/>
              <w:rPr>
                <w:rFonts w:ascii="Times New Roman" w:hAnsi="Times New Roman" w:cs="Times New Roman"/>
                <w:color w:val="000000"/>
                <w:sz w:val="20"/>
                <w:szCs w:val="20"/>
              </w:rPr>
            </w:pPr>
            <w:r>
              <w:rPr>
                <w:rFonts w:ascii="Times New Roman" w:hAnsi="Times New Roman" w:cs="Times New Roman"/>
                <w:b/>
                <w:color w:val="000000"/>
                <w:sz w:val="20"/>
                <w:szCs w:val="20"/>
              </w:rPr>
              <w:t>Contributions of shocks</w:t>
            </w:r>
          </w:p>
        </w:tc>
        <w:tc>
          <w:tcPr>
            <w:tcW w:w="1079" w:type="dxa"/>
            <w:tcBorders>
              <w:top w:val="single" w:sz="18" w:space="0" w:color="595959" w:themeColor="text1" w:themeTint="A6"/>
              <w:left w:val="single" w:sz="18" w:space="0" w:color="595959" w:themeColor="text1" w:themeTint="A6"/>
            </w:tcBorders>
            <w:vAlign w:val="bottom"/>
          </w:tcPr>
          <w:p w:rsidR="00900B10" w:rsidRPr="00BB567A" w:rsidRDefault="00900B10" w:rsidP="00900B10">
            <w:pPr>
              <w:spacing w:before="0"/>
              <w:rPr>
                <w:rFonts w:ascii="Times New Roman" w:hAnsi="Times New Roman" w:cs="Times New Roman"/>
                <w:color w:val="000000"/>
                <w:sz w:val="20"/>
                <w:szCs w:val="20"/>
              </w:rPr>
            </w:pPr>
          </w:p>
        </w:tc>
      </w:tr>
      <w:tr w:rsidR="00900B10" w:rsidTr="00900B10">
        <w:tc>
          <w:tcPr>
            <w:tcW w:w="1528"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1KDestruct</w:t>
            </w:r>
          </w:p>
        </w:tc>
        <w:tc>
          <w:tcPr>
            <w:tcW w:w="1053"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54"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44"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150"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88"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88"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8"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250"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5"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5"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9" w:type="dxa"/>
            <w:tcBorders>
              <w:left w:val="single" w:sz="18" w:space="0" w:color="595959" w:themeColor="text1" w:themeTint="A6"/>
            </w:tcBorders>
            <w:vAlign w:val="center"/>
          </w:tcPr>
          <w:p w:rsidR="00900B10" w:rsidRPr="00BB567A" w:rsidRDefault="00900B10" w:rsidP="00900B10">
            <w:pPr>
              <w:spacing w:before="0"/>
              <w:rPr>
                <w:rFonts w:ascii="Times New Roman" w:hAnsi="Times New Roman" w:cs="Times New Roman"/>
                <w:color w:val="000000"/>
                <w:sz w:val="20"/>
                <w:szCs w:val="20"/>
              </w:rPr>
            </w:pPr>
          </w:p>
        </w:tc>
      </w:tr>
      <w:tr w:rsidR="00900B10" w:rsidTr="00900B10">
        <w:tc>
          <w:tcPr>
            <w:tcW w:w="1528"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2K</w:t>
            </w:r>
            <w:r>
              <w:rPr>
                <w:rFonts w:ascii="Times New Roman" w:hAnsi="Times New Roman" w:cs="Times New Roman"/>
                <w:sz w:val="20"/>
                <w:szCs w:val="20"/>
              </w:rPr>
              <w:t>Return</w:t>
            </w:r>
          </w:p>
        </w:tc>
        <w:tc>
          <w:tcPr>
            <w:tcW w:w="1053"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54"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44"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150"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88"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88"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8"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250"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5"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5"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9" w:type="dxa"/>
            <w:tcBorders>
              <w:left w:val="single" w:sz="18" w:space="0" w:color="595959" w:themeColor="text1" w:themeTint="A6"/>
            </w:tcBorders>
            <w:vAlign w:val="center"/>
          </w:tcPr>
          <w:p w:rsidR="00900B10" w:rsidRPr="00BB567A" w:rsidRDefault="00900B10" w:rsidP="00900B10">
            <w:pPr>
              <w:spacing w:before="0"/>
              <w:rPr>
                <w:rFonts w:ascii="Times New Roman" w:hAnsi="Times New Roman" w:cs="Times New Roman"/>
                <w:color w:val="000000"/>
                <w:sz w:val="20"/>
                <w:szCs w:val="20"/>
              </w:rPr>
            </w:pPr>
          </w:p>
        </w:tc>
      </w:tr>
      <w:tr w:rsidR="00900B10" w:rsidTr="00900B10">
        <w:tc>
          <w:tcPr>
            <w:tcW w:w="1528"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3CleanUp</w:t>
            </w:r>
          </w:p>
        </w:tc>
        <w:tc>
          <w:tcPr>
            <w:tcW w:w="1053"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0.00165</w:t>
            </w:r>
          </w:p>
        </w:tc>
        <w:tc>
          <w:tcPr>
            <w:tcW w:w="1054"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0.00324</w:t>
            </w:r>
          </w:p>
        </w:tc>
        <w:tc>
          <w:tcPr>
            <w:tcW w:w="1044"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0.05269</w:t>
            </w:r>
          </w:p>
        </w:tc>
        <w:tc>
          <w:tcPr>
            <w:tcW w:w="1150"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0.10726</w:t>
            </w:r>
          </w:p>
        </w:tc>
        <w:tc>
          <w:tcPr>
            <w:tcW w:w="1088"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-0.00003</w:t>
            </w:r>
          </w:p>
        </w:tc>
        <w:tc>
          <w:tcPr>
            <w:tcW w:w="1088"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0.00001</w:t>
            </w:r>
          </w:p>
        </w:tc>
        <w:tc>
          <w:tcPr>
            <w:tcW w:w="1078"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-0.00227</w:t>
            </w:r>
          </w:p>
        </w:tc>
        <w:tc>
          <w:tcPr>
            <w:tcW w:w="1250"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-0.00063</w:t>
            </w:r>
          </w:p>
        </w:tc>
        <w:tc>
          <w:tcPr>
            <w:tcW w:w="1075"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-0.00138</w:t>
            </w:r>
          </w:p>
        </w:tc>
        <w:tc>
          <w:tcPr>
            <w:tcW w:w="1075"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-0.00234</w:t>
            </w:r>
          </w:p>
        </w:tc>
        <w:tc>
          <w:tcPr>
            <w:tcW w:w="1079" w:type="dxa"/>
            <w:tcBorders>
              <w:left w:val="single" w:sz="18" w:space="0" w:color="595959" w:themeColor="text1" w:themeTint="A6"/>
            </w:tcBorders>
            <w:vAlign w:val="center"/>
          </w:tcPr>
          <w:p w:rsidR="00900B10" w:rsidRPr="00BB567A" w:rsidRDefault="00900B10" w:rsidP="00900B10">
            <w:pPr>
              <w:spacing w:before="0"/>
              <w:rPr>
                <w:rFonts w:ascii="Times New Roman" w:hAnsi="Times New Roman" w:cs="Times New Roman"/>
                <w:color w:val="000000"/>
                <w:sz w:val="20"/>
                <w:szCs w:val="20"/>
              </w:rPr>
            </w:pPr>
          </w:p>
        </w:tc>
      </w:tr>
      <w:tr w:rsidR="00900B10" w:rsidTr="00900B10">
        <w:tc>
          <w:tcPr>
            <w:tcW w:w="1528"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4PubHealth</w:t>
            </w:r>
          </w:p>
        </w:tc>
        <w:tc>
          <w:tcPr>
            <w:tcW w:w="1053"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0.00855</w:t>
            </w:r>
          </w:p>
        </w:tc>
        <w:tc>
          <w:tcPr>
            <w:tcW w:w="1054"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0.01564</w:t>
            </w:r>
          </w:p>
        </w:tc>
        <w:tc>
          <w:tcPr>
            <w:tcW w:w="1044"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0.57361</w:t>
            </w:r>
          </w:p>
        </w:tc>
        <w:tc>
          <w:tcPr>
            <w:tcW w:w="1150"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1.08661</w:t>
            </w:r>
          </w:p>
        </w:tc>
        <w:tc>
          <w:tcPr>
            <w:tcW w:w="1088"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88"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8"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0.00660</w:t>
            </w:r>
          </w:p>
        </w:tc>
        <w:tc>
          <w:tcPr>
            <w:tcW w:w="1250"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-0.00855</w:t>
            </w:r>
          </w:p>
        </w:tc>
        <w:tc>
          <w:tcPr>
            <w:tcW w:w="1075"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-0.00953</w:t>
            </w:r>
          </w:p>
        </w:tc>
        <w:tc>
          <w:tcPr>
            <w:tcW w:w="1075"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-0.01466</w:t>
            </w:r>
          </w:p>
        </w:tc>
        <w:tc>
          <w:tcPr>
            <w:tcW w:w="1079" w:type="dxa"/>
            <w:tcBorders>
              <w:left w:val="single" w:sz="18" w:space="0" w:color="595959" w:themeColor="text1" w:themeTint="A6"/>
            </w:tcBorders>
            <w:vAlign w:val="center"/>
          </w:tcPr>
          <w:p w:rsidR="00900B10" w:rsidRPr="00BB567A" w:rsidRDefault="00900B10" w:rsidP="00900B10">
            <w:pPr>
              <w:spacing w:before="0"/>
              <w:rPr>
                <w:rFonts w:ascii="Times New Roman" w:hAnsi="Times New Roman" w:cs="Times New Roman"/>
                <w:color w:val="000000"/>
                <w:sz w:val="20"/>
                <w:szCs w:val="20"/>
              </w:rPr>
            </w:pPr>
          </w:p>
        </w:tc>
      </w:tr>
      <w:tr w:rsidR="00900B10" w:rsidTr="00900B10">
        <w:tc>
          <w:tcPr>
            <w:tcW w:w="1528"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Pr>
                <w:rFonts w:ascii="Times New Roman" w:hAnsi="Times New Roman" w:cs="Times New Roman"/>
                <w:sz w:val="20"/>
                <w:szCs w:val="20"/>
              </w:rPr>
              <w:t>5</w:t>
            </w:r>
            <w:r w:rsidRPr="000D7F28">
              <w:rPr>
                <w:rFonts w:ascii="Times New Roman" w:hAnsi="Times New Roman" w:cs="Times New Roman"/>
                <w:sz w:val="20"/>
                <w:szCs w:val="20"/>
              </w:rPr>
              <w:t>Acc</w:t>
            </w:r>
            <w:r>
              <w:rPr>
                <w:rFonts w:ascii="Times New Roman" w:hAnsi="Times New Roman" w:cs="Times New Roman"/>
                <w:sz w:val="20"/>
                <w:szCs w:val="20"/>
              </w:rPr>
              <w:t>omTarCity</w:t>
            </w:r>
          </w:p>
        </w:tc>
        <w:tc>
          <w:tcPr>
            <w:tcW w:w="1053"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54"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44"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150"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88"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88"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8"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250"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5"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5"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9" w:type="dxa"/>
            <w:tcBorders>
              <w:left w:val="single" w:sz="18" w:space="0" w:color="595959" w:themeColor="text1" w:themeTint="A6"/>
            </w:tcBorders>
            <w:vAlign w:val="center"/>
          </w:tcPr>
          <w:p w:rsidR="00900B10" w:rsidRPr="00BB567A" w:rsidRDefault="00900B10" w:rsidP="00900B10">
            <w:pPr>
              <w:spacing w:before="0"/>
              <w:rPr>
                <w:rFonts w:ascii="Times New Roman" w:hAnsi="Times New Roman" w:cs="Times New Roman"/>
                <w:color w:val="000000"/>
                <w:sz w:val="20"/>
                <w:szCs w:val="20"/>
              </w:rPr>
            </w:pPr>
          </w:p>
        </w:tc>
      </w:tr>
      <w:tr w:rsidR="00900B10" w:rsidTr="00900B10">
        <w:tc>
          <w:tcPr>
            <w:tcW w:w="1528"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6</w:t>
            </w:r>
            <w:r>
              <w:rPr>
                <w:rFonts w:ascii="Times New Roman" w:hAnsi="Times New Roman" w:cs="Times New Roman"/>
                <w:sz w:val="20"/>
                <w:szCs w:val="20"/>
              </w:rPr>
              <w:t>AccOutsideTC</w:t>
            </w:r>
          </w:p>
        </w:tc>
        <w:tc>
          <w:tcPr>
            <w:tcW w:w="1053"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54"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44"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150"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88"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88"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8"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250"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5"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5"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9" w:type="dxa"/>
            <w:tcBorders>
              <w:left w:val="single" w:sz="18" w:space="0" w:color="595959" w:themeColor="text1" w:themeTint="A6"/>
            </w:tcBorders>
            <w:vAlign w:val="center"/>
          </w:tcPr>
          <w:p w:rsidR="00900B10" w:rsidRPr="00BB567A" w:rsidRDefault="00900B10" w:rsidP="00900B10">
            <w:pPr>
              <w:spacing w:before="0"/>
              <w:rPr>
                <w:rFonts w:ascii="Times New Roman" w:hAnsi="Times New Roman" w:cs="Times New Roman"/>
                <w:color w:val="000000"/>
                <w:sz w:val="20"/>
                <w:szCs w:val="20"/>
              </w:rPr>
            </w:pPr>
          </w:p>
        </w:tc>
      </w:tr>
      <w:tr w:rsidR="00900B10" w:rsidTr="00900B10">
        <w:tc>
          <w:tcPr>
            <w:tcW w:w="1528"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7</w:t>
            </w:r>
            <w:r>
              <w:rPr>
                <w:rFonts w:ascii="Times New Roman" w:hAnsi="Times New Roman" w:cs="Times New Roman"/>
                <w:sz w:val="20"/>
                <w:szCs w:val="20"/>
              </w:rPr>
              <w:t>Lost</w:t>
            </w:r>
            <w:r w:rsidRPr="000D7F28">
              <w:rPr>
                <w:rFonts w:ascii="Times New Roman" w:hAnsi="Times New Roman" w:cs="Times New Roman"/>
                <w:sz w:val="20"/>
                <w:szCs w:val="20"/>
              </w:rPr>
              <w:t>Fgn</w:t>
            </w:r>
            <w:r>
              <w:rPr>
                <w:rFonts w:ascii="Times New Roman" w:hAnsi="Times New Roman" w:cs="Times New Roman"/>
                <w:sz w:val="20"/>
                <w:szCs w:val="20"/>
              </w:rPr>
              <w:t>VisTC</w:t>
            </w:r>
          </w:p>
        </w:tc>
        <w:tc>
          <w:tcPr>
            <w:tcW w:w="1053"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-0.00969</w:t>
            </w:r>
          </w:p>
        </w:tc>
        <w:tc>
          <w:tcPr>
            <w:tcW w:w="1054"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-0.01385</w:t>
            </w:r>
          </w:p>
        </w:tc>
        <w:tc>
          <w:tcPr>
            <w:tcW w:w="1044"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-0.45049</w:t>
            </w:r>
          </w:p>
        </w:tc>
        <w:tc>
          <w:tcPr>
            <w:tcW w:w="1150"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-0.58455</w:t>
            </w:r>
          </w:p>
        </w:tc>
        <w:tc>
          <w:tcPr>
            <w:tcW w:w="1088"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0.00030</w:t>
            </w:r>
          </w:p>
        </w:tc>
        <w:tc>
          <w:tcPr>
            <w:tcW w:w="1088"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0.00036</w:t>
            </w:r>
          </w:p>
        </w:tc>
        <w:tc>
          <w:tcPr>
            <w:tcW w:w="1078"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-0.00827</w:t>
            </w:r>
          </w:p>
        </w:tc>
        <w:tc>
          <w:tcPr>
            <w:tcW w:w="1250"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-0.00335</w:t>
            </w:r>
          </w:p>
        </w:tc>
        <w:tc>
          <w:tcPr>
            <w:tcW w:w="1075"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-0.01984</w:t>
            </w:r>
          </w:p>
        </w:tc>
        <w:tc>
          <w:tcPr>
            <w:tcW w:w="1075"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-0.02299</w:t>
            </w:r>
          </w:p>
        </w:tc>
        <w:tc>
          <w:tcPr>
            <w:tcW w:w="1079" w:type="dxa"/>
            <w:tcBorders>
              <w:left w:val="single" w:sz="18" w:space="0" w:color="595959" w:themeColor="text1" w:themeTint="A6"/>
            </w:tcBorders>
            <w:vAlign w:val="center"/>
          </w:tcPr>
          <w:p w:rsidR="00900B10" w:rsidRPr="00BB567A" w:rsidRDefault="00900B10" w:rsidP="00900B10">
            <w:pPr>
              <w:spacing w:before="0"/>
              <w:rPr>
                <w:rFonts w:ascii="Times New Roman" w:hAnsi="Times New Roman" w:cs="Times New Roman"/>
                <w:color w:val="000000"/>
                <w:sz w:val="20"/>
                <w:szCs w:val="20"/>
              </w:rPr>
            </w:pPr>
          </w:p>
        </w:tc>
      </w:tr>
      <w:tr w:rsidR="00900B10" w:rsidTr="00900B10">
        <w:tc>
          <w:tcPr>
            <w:tcW w:w="1528"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8</w:t>
            </w:r>
            <w:r>
              <w:rPr>
                <w:rFonts w:ascii="Times New Roman" w:hAnsi="Times New Roman" w:cs="Times New Roman"/>
                <w:sz w:val="20"/>
                <w:szCs w:val="20"/>
              </w:rPr>
              <w:t>Lost</w:t>
            </w:r>
            <w:r w:rsidRPr="000D7F28">
              <w:rPr>
                <w:rFonts w:ascii="Times New Roman" w:hAnsi="Times New Roman" w:cs="Times New Roman"/>
                <w:sz w:val="20"/>
                <w:szCs w:val="20"/>
              </w:rPr>
              <w:t>Fgn</w:t>
            </w:r>
            <w:r>
              <w:rPr>
                <w:rFonts w:ascii="Times New Roman" w:hAnsi="Times New Roman" w:cs="Times New Roman"/>
                <w:sz w:val="20"/>
                <w:szCs w:val="20"/>
              </w:rPr>
              <w:t>VisOuTC</w:t>
            </w:r>
          </w:p>
        </w:tc>
        <w:tc>
          <w:tcPr>
            <w:tcW w:w="1053"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-0.05143</w:t>
            </w:r>
          </w:p>
        </w:tc>
        <w:tc>
          <w:tcPr>
            <w:tcW w:w="1054"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-0.07416</w:t>
            </w:r>
          </w:p>
        </w:tc>
        <w:tc>
          <w:tcPr>
            <w:tcW w:w="1044"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-0.05056</w:t>
            </w:r>
          </w:p>
        </w:tc>
        <w:tc>
          <w:tcPr>
            <w:tcW w:w="1150"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-0.09798</w:t>
            </w:r>
          </w:p>
        </w:tc>
        <w:tc>
          <w:tcPr>
            <w:tcW w:w="1088"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0.00104</w:t>
            </w:r>
          </w:p>
        </w:tc>
        <w:tc>
          <w:tcPr>
            <w:tcW w:w="1088"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0.00015</w:t>
            </w:r>
          </w:p>
        </w:tc>
        <w:tc>
          <w:tcPr>
            <w:tcW w:w="1078"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0.00198</w:t>
            </w:r>
          </w:p>
        </w:tc>
        <w:tc>
          <w:tcPr>
            <w:tcW w:w="1250"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0.00030</w:t>
            </w:r>
          </w:p>
        </w:tc>
        <w:tc>
          <w:tcPr>
            <w:tcW w:w="1075"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-0.10128</w:t>
            </w:r>
          </w:p>
        </w:tc>
        <w:tc>
          <w:tcPr>
            <w:tcW w:w="1075"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-0.11371</w:t>
            </w:r>
          </w:p>
        </w:tc>
        <w:tc>
          <w:tcPr>
            <w:tcW w:w="1079" w:type="dxa"/>
            <w:tcBorders>
              <w:left w:val="single" w:sz="18" w:space="0" w:color="595959" w:themeColor="text1" w:themeTint="A6"/>
            </w:tcBorders>
            <w:vAlign w:val="center"/>
          </w:tcPr>
          <w:p w:rsidR="00900B10" w:rsidRPr="00BB567A" w:rsidRDefault="00900B10" w:rsidP="00900B10">
            <w:pPr>
              <w:spacing w:before="0"/>
              <w:rPr>
                <w:rFonts w:ascii="Times New Roman" w:hAnsi="Times New Roman" w:cs="Times New Roman"/>
                <w:color w:val="000000"/>
                <w:sz w:val="20"/>
                <w:szCs w:val="20"/>
              </w:rPr>
            </w:pPr>
          </w:p>
        </w:tc>
      </w:tr>
      <w:tr w:rsidR="00900B10" w:rsidTr="00900B10">
        <w:tc>
          <w:tcPr>
            <w:tcW w:w="1528"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9</w:t>
            </w:r>
            <w:r>
              <w:rPr>
                <w:rFonts w:ascii="Times New Roman" w:hAnsi="Times New Roman" w:cs="Times New Roman"/>
                <w:sz w:val="20"/>
                <w:szCs w:val="20"/>
              </w:rPr>
              <w:t>LostDomVisTC</w:t>
            </w:r>
          </w:p>
        </w:tc>
        <w:tc>
          <w:tcPr>
            <w:tcW w:w="1053"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54"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44"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-0.00140</w:t>
            </w:r>
          </w:p>
        </w:tc>
        <w:tc>
          <w:tcPr>
            <w:tcW w:w="1150"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-0.00169</w:t>
            </w:r>
          </w:p>
        </w:tc>
        <w:tc>
          <w:tcPr>
            <w:tcW w:w="1088"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88"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8"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-0.00001</w:t>
            </w:r>
          </w:p>
        </w:tc>
        <w:tc>
          <w:tcPr>
            <w:tcW w:w="1250"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5"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5"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9" w:type="dxa"/>
            <w:tcBorders>
              <w:left w:val="single" w:sz="18" w:space="0" w:color="595959" w:themeColor="text1" w:themeTint="A6"/>
            </w:tcBorders>
            <w:vAlign w:val="center"/>
          </w:tcPr>
          <w:p w:rsidR="00900B10" w:rsidRPr="00BB567A" w:rsidRDefault="00900B10" w:rsidP="00900B10">
            <w:pPr>
              <w:spacing w:before="0"/>
              <w:rPr>
                <w:rFonts w:ascii="Times New Roman" w:hAnsi="Times New Roman" w:cs="Times New Roman"/>
                <w:color w:val="000000"/>
                <w:sz w:val="20"/>
                <w:szCs w:val="20"/>
              </w:rPr>
            </w:pPr>
          </w:p>
        </w:tc>
      </w:tr>
      <w:tr w:rsidR="00900B10" w:rsidTr="00900B10">
        <w:tc>
          <w:tcPr>
            <w:tcW w:w="1528"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10</w:t>
            </w:r>
            <w:r>
              <w:rPr>
                <w:rFonts w:ascii="Times New Roman" w:hAnsi="Times New Roman" w:cs="Times New Roman"/>
                <w:sz w:val="20"/>
                <w:szCs w:val="20"/>
              </w:rPr>
              <w:t>LostDomVisOutTC</w:t>
            </w:r>
          </w:p>
        </w:tc>
        <w:tc>
          <w:tcPr>
            <w:tcW w:w="1053"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54"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44"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150"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88"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88"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8"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250"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5"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5"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9" w:type="dxa"/>
            <w:tcBorders>
              <w:left w:val="single" w:sz="18" w:space="0" w:color="595959" w:themeColor="text1" w:themeTint="A6"/>
            </w:tcBorders>
            <w:vAlign w:val="center"/>
          </w:tcPr>
          <w:p w:rsidR="00900B10" w:rsidRPr="00BB567A" w:rsidRDefault="00900B10" w:rsidP="00900B10">
            <w:pPr>
              <w:spacing w:before="0"/>
              <w:rPr>
                <w:rFonts w:ascii="Times New Roman" w:hAnsi="Times New Roman" w:cs="Times New Roman"/>
                <w:color w:val="000000"/>
                <w:sz w:val="20"/>
                <w:szCs w:val="20"/>
              </w:rPr>
            </w:pPr>
          </w:p>
        </w:tc>
      </w:tr>
      <w:tr w:rsidR="00900B10" w:rsidTr="00900B10">
        <w:tc>
          <w:tcPr>
            <w:tcW w:w="1528"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11</w:t>
            </w:r>
            <w:r>
              <w:rPr>
                <w:rFonts w:ascii="Times New Roman" w:hAnsi="Times New Roman" w:cs="Times New Roman"/>
                <w:sz w:val="20"/>
                <w:szCs w:val="20"/>
              </w:rPr>
              <w:t>Lost</w:t>
            </w:r>
            <w:r w:rsidRPr="000D7F28">
              <w:rPr>
                <w:rFonts w:ascii="Times New Roman" w:hAnsi="Times New Roman" w:cs="Times New Roman"/>
                <w:sz w:val="20"/>
                <w:szCs w:val="20"/>
              </w:rPr>
              <w:t>Food</w:t>
            </w:r>
            <w:r>
              <w:rPr>
                <w:rFonts w:ascii="Times New Roman" w:hAnsi="Times New Roman" w:cs="Times New Roman"/>
                <w:sz w:val="20"/>
                <w:szCs w:val="20"/>
              </w:rPr>
              <w:t>Tar</w:t>
            </w:r>
            <w:r w:rsidRPr="000D7F28">
              <w:rPr>
                <w:rFonts w:ascii="Times New Roman" w:hAnsi="Times New Roman" w:cs="Times New Roman"/>
                <w:sz w:val="20"/>
                <w:szCs w:val="20"/>
              </w:rPr>
              <w:t>St</w:t>
            </w:r>
            <w:r>
              <w:rPr>
                <w:rFonts w:ascii="Times New Roman" w:hAnsi="Times New Roman" w:cs="Times New Roman"/>
                <w:sz w:val="20"/>
                <w:szCs w:val="20"/>
              </w:rPr>
              <w:t>aste</w:t>
            </w:r>
          </w:p>
        </w:tc>
        <w:tc>
          <w:tcPr>
            <w:tcW w:w="1053"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54"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44"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150"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88"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88"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8"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250"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5"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5"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9" w:type="dxa"/>
            <w:tcBorders>
              <w:left w:val="single" w:sz="18" w:space="0" w:color="595959" w:themeColor="text1" w:themeTint="A6"/>
            </w:tcBorders>
            <w:vAlign w:val="center"/>
          </w:tcPr>
          <w:p w:rsidR="00900B10" w:rsidRPr="00BB567A" w:rsidRDefault="00900B10" w:rsidP="00900B10">
            <w:pPr>
              <w:spacing w:before="0"/>
              <w:rPr>
                <w:rFonts w:ascii="Times New Roman" w:hAnsi="Times New Roman" w:cs="Times New Roman"/>
                <w:color w:val="000000"/>
                <w:sz w:val="20"/>
                <w:szCs w:val="20"/>
              </w:rPr>
            </w:pPr>
          </w:p>
        </w:tc>
      </w:tr>
      <w:tr w:rsidR="00900B10" w:rsidTr="00900B10">
        <w:tc>
          <w:tcPr>
            <w:tcW w:w="1528"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12</w:t>
            </w:r>
            <w:r>
              <w:rPr>
                <w:rFonts w:ascii="Times New Roman" w:hAnsi="Times New Roman" w:cs="Times New Roman"/>
                <w:sz w:val="20"/>
                <w:szCs w:val="20"/>
              </w:rPr>
              <w:t>Lost</w:t>
            </w:r>
            <w:r w:rsidRPr="000D7F28">
              <w:rPr>
                <w:rFonts w:ascii="Times New Roman" w:hAnsi="Times New Roman" w:cs="Times New Roman"/>
                <w:sz w:val="20"/>
                <w:szCs w:val="20"/>
              </w:rPr>
              <w:t>FoodNat</w:t>
            </w:r>
            <w:r>
              <w:rPr>
                <w:rFonts w:ascii="Times New Roman" w:hAnsi="Times New Roman" w:cs="Times New Roman"/>
                <w:sz w:val="20"/>
                <w:szCs w:val="20"/>
              </w:rPr>
              <w:t>ion</w:t>
            </w:r>
          </w:p>
        </w:tc>
        <w:tc>
          <w:tcPr>
            <w:tcW w:w="1053"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54"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44"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150"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88"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88"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8"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250"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5"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5"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9" w:type="dxa"/>
            <w:tcBorders>
              <w:left w:val="single" w:sz="18" w:space="0" w:color="595959" w:themeColor="text1" w:themeTint="A6"/>
            </w:tcBorders>
            <w:vAlign w:val="center"/>
          </w:tcPr>
          <w:p w:rsidR="00900B10" w:rsidRPr="00BB567A" w:rsidRDefault="00900B10" w:rsidP="00900B10">
            <w:pPr>
              <w:spacing w:before="0"/>
              <w:rPr>
                <w:rFonts w:ascii="Times New Roman" w:hAnsi="Times New Roman" w:cs="Times New Roman"/>
                <w:color w:val="000000"/>
                <w:sz w:val="20"/>
                <w:szCs w:val="20"/>
              </w:rPr>
            </w:pPr>
          </w:p>
        </w:tc>
      </w:tr>
      <w:tr w:rsidR="00900B10" w:rsidTr="00900B10">
        <w:tc>
          <w:tcPr>
            <w:tcW w:w="1528" w:type="dxa"/>
            <w:tcBorders>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13</w:t>
            </w:r>
            <w:r>
              <w:rPr>
                <w:rFonts w:ascii="Times New Roman" w:hAnsi="Times New Roman" w:cs="Times New Roman"/>
                <w:sz w:val="20"/>
                <w:szCs w:val="20"/>
              </w:rPr>
              <w:t>Lost</w:t>
            </w:r>
            <w:r w:rsidRPr="000D7F28">
              <w:rPr>
                <w:rFonts w:ascii="Times New Roman" w:hAnsi="Times New Roman" w:cs="Times New Roman"/>
                <w:sz w:val="20"/>
                <w:szCs w:val="20"/>
              </w:rPr>
              <w:t>Nat</w:t>
            </w:r>
            <w:r>
              <w:rPr>
                <w:rFonts w:ascii="Times New Roman" w:hAnsi="Times New Roman" w:cs="Times New Roman"/>
                <w:sz w:val="20"/>
                <w:szCs w:val="20"/>
              </w:rPr>
              <w:t>ion</w:t>
            </w:r>
            <w:r w:rsidRPr="000D7F28">
              <w:rPr>
                <w:rFonts w:ascii="Times New Roman" w:hAnsi="Times New Roman" w:cs="Times New Roman"/>
                <w:sz w:val="20"/>
                <w:szCs w:val="20"/>
              </w:rPr>
              <w:t>Lab</w:t>
            </w:r>
          </w:p>
        </w:tc>
        <w:tc>
          <w:tcPr>
            <w:tcW w:w="1053"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-0.00249</w:t>
            </w:r>
          </w:p>
        </w:tc>
        <w:tc>
          <w:tcPr>
            <w:tcW w:w="1054"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-0.00425</w:t>
            </w:r>
          </w:p>
        </w:tc>
        <w:tc>
          <w:tcPr>
            <w:tcW w:w="1044"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-0.23674</w:t>
            </w:r>
          </w:p>
        </w:tc>
        <w:tc>
          <w:tcPr>
            <w:tcW w:w="1150"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-0.39837</w:t>
            </w:r>
          </w:p>
        </w:tc>
        <w:tc>
          <w:tcPr>
            <w:tcW w:w="1088"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-0.01140</w:t>
            </w:r>
          </w:p>
        </w:tc>
        <w:tc>
          <w:tcPr>
            <w:tcW w:w="1088"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-0.01182</w:t>
            </w:r>
          </w:p>
        </w:tc>
        <w:tc>
          <w:tcPr>
            <w:tcW w:w="1078" w:type="dxa"/>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-0.00017</w:t>
            </w:r>
          </w:p>
        </w:tc>
        <w:tc>
          <w:tcPr>
            <w:tcW w:w="1250"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-0.00012</w:t>
            </w:r>
          </w:p>
        </w:tc>
        <w:tc>
          <w:tcPr>
            <w:tcW w:w="1075" w:type="dxa"/>
            <w:tcBorders>
              <w:lef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-3.56291</w:t>
            </w:r>
          </w:p>
        </w:tc>
        <w:tc>
          <w:tcPr>
            <w:tcW w:w="1075" w:type="dxa"/>
            <w:tcBorders>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-3.66632</w:t>
            </w:r>
          </w:p>
        </w:tc>
        <w:tc>
          <w:tcPr>
            <w:tcW w:w="1079" w:type="dxa"/>
            <w:tcBorders>
              <w:left w:val="single" w:sz="18" w:space="0" w:color="595959" w:themeColor="text1" w:themeTint="A6"/>
            </w:tcBorders>
            <w:vAlign w:val="center"/>
          </w:tcPr>
          <w:p w:rsidR="00900B10" w:rsidRPr="00BB567A" w:rsidRDefault="00900B10" w:rsidP="00900B10">
            <w:pPr>
              <w:spacing w:before="0"/>
              <w:rPr>
                <w:rFonts w:ascii="Times New Roman" w:hAnsi="Times New Roman" w:cs="Times New Roman"/>
                <w:color w:val="000000"/>
                <w:sz w:val="20"/>
                <w:szCs w:val="20"/>
              </w:rPr>
            </w:pPr>
          </w:p>
        </w:tc>
      </w:tr>
      <w:tr w:rsidR="00900B10" w:rsidTr="00900B10">
        <w:tc>
          <w:tcPr>
            <w:tcW w:w="1528" w:type="dxa"/>
            <w:tcBorders>
              <w:bottom w:val="single" w:sz="18" w:space="0" w:color="595959" w:themeColor="text1" w:themeTint="A6"/>
              <w:right w:val="single" w:sz="18" w:space="0" w:color="595959" w:themeColor="text1" w:themeTint="A6"/>
            </w:tcBorders>
            <w:vAlign w:val="bottom"/>
          </w:tcPr>
          <w:p w:rsidR="00900B10" w:rsidRPr="000D7F28" w:rsidRDefault="00900B10" w:rsidP="00900B10">
            <w:pPr>
              <w:spacing w:before="0"/>
              <w:rPr>
                <w:rFonts w:ascii="Times New Roman" w:hAnsi="Times New Roman" w:cs="Times New Roman"/>
                <w:sz w:val="20"/>
                <w:szCs w:val="20"/>
              </w:rPr>
            </w:pPr>
            <w:r w:rsidRPr="000D7F28">
              <w:rPr>
                <w:rFonts w:ascii="Times New Roman" w:hAnsi="Times New Roman" w:cs="Times New Roman"/>
                <w:sz w:val="20"/>
                <w:szCs w:val="20"/>
              </w:rPr>
              <w:t>14</w:t>
            </w:r>
            <w:r>
              <w:rPr>
                <w:rFonts w:ascii="Times New Roman" w:hAnsi="Times New Roman" w:cs="Times New Roman"/>
                <w:sz w:val="20"/>
                <w:szCs w:val="20"/>
              </w:rPr>
              <w:t>AversionToTarReg</w:t>
            </w:r>
          </w:p>
        </w:tc>
        <w:tc>
          <w:tcPr>
            <w:tcW w:w="1053" w:type="dxa"/>
            <w:tcBorders>
              <w:left w:val="single" w:sz="18" w:space="0" w:color="595959" w:themeColor="text1" w:themeTint="A6"/>
              <w:bottom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54" w:type="dxa"/>
            <w:tcBorders>
              <w:bottom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44" w:type="dxa"/>
            <w:tcBorders>
              <w:bottom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150" w:type="dxa"/>
            <w:tcBorders>
              <w:bottom w:val="single" w:sz="18" w:space="0" w:color="595959" w:themeColor="text1" w:themeTint="A6"/>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88" w:type="dxa"/>
            <w:tcBorders>
              <w:left w:val="single" w:sz="18" w:space="0" w:color="595959" w:themeColor="text1" w:themeTint="A6"/>
              <w:bottom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88" w:type="dxa"/>
            <w:tcBorders>
              <w:bottom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8" w:type="dxa"/>
            <w:tcBorders>
              <w:bottom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250" w:type="dxa"/>
            <w:tcBorders>
              <w:bottom w:val="single" w:sz="18" w:space="0" w:color="595959" w:themeColor="text1" w:themeTint="A6"/>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5" w:type="dxa"/>
            <w:tcBorders>
              <w:left w:val="single" w:sz="18" w:space="0" w:color="595959" w:themeColor="text1" w:themeTint="A6"/>
              <w:bottom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5" w:type="dxa"/>
            <w:tcBorders>
              <w:bottom w:val="single" w:sz="18" w:space="0" w:color="595959" w:themeColor="text1" w:themeTint="A6"/>
              <w:right w:val="single" w:sz="18" w:space="0" w:color="595959" w:themeColor="text1" w:themeTint="A6"/>
            </w:tcBorders>
            <w:vAlign w:val="center"/>
          </w:tcPr>
          <w:p w:rsidR="00900B10" w:rsidRPr="00BB567A" w:rsidRDefault="00900B10" w:rsidP="00900B10">
            <w:pPr>
              <w:spacing w:before="0"/>
              <w:jc w:val="right"/>
              <w:rPr>
                <w:rFonts w:ascii="Times New Roman" w:hAnsi="Times New Roman" w:cs="Times New Roman"/>
                <w:color w:val="000000"/>
                <w:sz w:val="20"/>
                <w:szCs w:val="20"/>
              </w:rPr>
            </w:pPr>
            <w:r w:rsidRPr="00BB567A">
              <w:rPr>
                <w:rFonts w:ascii="Times New Roman" w:hAnsi="Times New Roman" w:cs="Times New Roman"/>
                <w:color w:val="000000"/>
                <w:sz w:val="20"/>
                <w:szCs w:val="20"/>
              </w:rPr>
              <w:t>0.00000</w:t>
            </w:r>
          </w:p>
        </w:tc>
        <w:tc>
          <w:tcPr>
            <w:tcW w:w="1079" w:type="dxa"/>
            <w:tcBorders>
              <w:left w:val="single" w:sz="18" w:space="0" w:color="595959" w:themeColor="text1" w:themeTint="A6"/>
              <w:bottom w:val="single" w:sz="18" w:space="0" w:color="595959" w:themeColor="text1" w:themeTint="A6"/>
            </w:tcBorders>
            <w:vAlign w:val="center"/>
          </w:tcPr>
          <w:p w:rsidR="00900B10" w:rsidRPr="00BB567A" w:rsidRDefault="00900B10" w:rsidP="00900B10">
            <w:pPr>
              <w:spacing w:before="0"/>
              <w:rPr>
                <w:rFonts w:ascii="Times New Roman" w:hAnsi="Times New Roman" w:cs="Times New Roman"/>
                <w:color w:val="000000"/>
                <w:sz w:val="20"/>
                <w:szCs w:val="20"/>
              </w:rPr>
            </w:pPr>
            <w:r w:rsidRPr="00BB567A">
              <w:rPr>
                <w:rFonts w:ascii="Times New Roman" w:hAnsi="Times New Roman" w:cs="Times New Roman"/>
                <w:color w:val="000000"/>
                <w:sz w:val="20"/>
                <w:szCs w:val="20"/>
              </w:rPr>
              <w:t> </w:t>
            </w:r>
          </w:p>
        </w:tc>
      </w:tr>
      <w:tr w:rsidR="00900B10" w:rsidTr="00900B10">
        <w:tc>
          <w:tcPr>
            <w:tcW w:w="1528" w:type="dxa"/>
            <w:tcBorders>
              <w:top w:val="single" w:sz="18" w:space="0" w:color="595959" w:themeColor="text1" w:themeTint="A6"/>
              <w:bottom w:val="single" w:sz="18" w:space="0" w:color="595959" w:themeColor="text1" w:themeTint="A6"/>
              <w:right w:val="single" w:sz="18" w:space="0" w:color="595959" w:themeColor="text1" w:themeTint="A6"/>
            </w:tcBorders>
            <w:shd w:val="clear" w:color="auto" w:fill="FFFF00"/>
            <w:vAlign w:val="bottom"/>
          </w:tcPr>
          <w:p w:rsidR="00900B10" w:rsidRPr="000D7F28" w:rsidRDefault="00900B10" w:rsidP="00900B10">
            <w:pPr>
              <w:spacing w:before="0"/>
              <w:rPr>
                <w:rFonts w:ascii="Times New Roman" w:hAnsi="Times New Roman" w:cs="Times New Roman"/>
                <w:b/>
                <w:sz w:val="20"/>
                <w:szCs w:val="20"/>
              </w:rPr>
            </w:pPr>
            <w:r w:rsidRPr="000D7F28">
              <w:rPr>
                <w:rFonts w:ascii="Times New Roman" w:hAnsi="Times New Roman" w:cs="Times New Roman"/>
                <w:b/>
                <w:sz w:val="20"/>
                <w:szCs w:val="20"/>
              </w:rPr>
              <w:t xml:space="preserve">Total effects </w:t>
            </w:r>
          </w:p>
        </w:tc>
        <w:tc>
          <w:tcPr>
            <w:tcW w:w="1053" w:type="dxa"/>
            <w:tcBorders>
              <w:top w:val="single" w:sz="18" w:space="0" w:color="595959" w:themeColor="text1" w:themeTint="A6"/>
              <w:left w:val="single" w:sz="18" w:space="0" w:color="595959" w:themeColor="text1" w:themeTint="A6"/>
              <w:bottom w:val="single" w:sz="18" w:space="0" w:color="595959" w:themeColor="text1" w:themeTint="A6"/>
            </w:tcBorders>
            <w:shd w:val="clear" w:color="auto" w:fill="FFFF00"/>
            <w:vAlign w:val="center"/>
          </w:tcPr>
          <w:p w:rsidR="00900B10" w:rsidRPr="00BB567A" w:rsidRDefault="00900B10" w:rsidP="00900B10">
            <w:pPr>
              <w:spacing w:before="0"/>
              <w:jc w:val="right"/>
              <w:rPr>
                <w:rFonts w:ascii="Times New Roman" w:hAnsi="Times New Roman" w:cs="Times New Roman"/>
                <w:b/>
                <w:bCs/>
                <w:color w:val="000000"/>
                <w:sz w:val="20"/>
                <w:szCs w:val="20"/>
              </w:rPr>
            </w:pPr>
            <w:r w:rsidRPr="00BB567A">
              <w:rPr>
                <w:rFonts w:ascii="Times New Roman" w:hAnsi="Times New Roman" w:cs="Times New Roman"/>
                <w:b/>
                <w:bCs/>
                <w:color w:val="000000"/>
                <w:sz w:val="20"/>
                <w:szCs w:val="20"/>
              </w:rPr>
              <w:t>-0.05340</w:t>
            </w:r>
          </w:p>
        </w:tc>
        <w:tc>
          <w:tcPr>
            <w:tcW w:w="1054" w:type="dxa"/>
            <w:tcBorders>
              <w:top w:val="single" w:sz="18" w:space="0" w:color="595959" w:themeColor="text1" w:themeTint="A6"/>
              <w:bottom w:val="single" w:sz="18" w:space="0" w:color="595959" w:themeColor="text1" w:themeTint="A6"/>
            </w:tcBorders>
            <w:shd w:val="clear" w:color="auto" w:fill="FFFF00"/>
            <w:vAlign w:val="center"/>
          </w:tcPr>
          <w:p w:rsidR="00900B10" w:rsidRPr="00BB567A" w:rsidRDefault="00900B10" w:rsidP="00900B10">
            <w:pPr>
              <w:spacing w:before="0"/>
              <w:jc w:val="right"/>
              <w:rPr>
                <w:rFonts w:ascii="Times New Roman" w:hAnsi="Times New Roman" w:cs="Times New Roman"/>
                <w:b/>
                <w:bCs/>
                <w:color w:val="000000"/>
                <w:sz w:val="20"/>
                <w:szCs w:val="20"/>
              </w:rPr>
            </w:pPr>
            <w:r w:rsidRPr="00BB567A">
              <w:rPr>
                <w:rFonts w:ascii="Times New Roman" w:hAnsi="Times New Roman" w:cs="Times New Roman"/>
                <w:b/>
                <w:bCs/>
                <w:color w:val="000000"/>
                <w:sz w:val="20"/>
                <w:szCs w:val="20"/>
              </w:rPr>
              <w:t>-0.07339</w:t>
            </w:r>
          </w:p>
        </w:tc>
        <w:tc>
          <w:tcPr>
            <w:tcW w:w="1044" w:type="dxa"/>
            <w:tcBorders>
              <w:top w:val="single" w:sz="18" w:space="0" w:color="595959" w:themeColor="text1" w:themeTint="A6"/>
              <w:bottom w:val="single" w:sz="18" w:space="0" w:color="595959" w:themeColor="text1" w:themeTint="A6"/>
            </w:tcBorders>
            <w:shd w:val="clear" w:color="auto" w:fill="FFFF00"/>
            <w:vAlign w:val="center"/>
          </w:tcPr>
          <w:p w:rsidR="00900B10" w:rsidRPr="00BB567A" w:rsidRDefault="00900B10" w:rsidP="00900B10">
            <w:pPr>
              <w:spacing w:before="0"/>
              <w:jc w:val="right"/>
              <w:rPr>
                <w:rFonts w:ascii="Times New Roman" w:hAnsi="Times New Roman" w:cs="Times New Roman"/>
                <w:b/>
                <w:bCs/>
                <w:color w:val="000000"/>
                <w:sz w:val="20"/>
                <w:szCs w:val="20"/>
              </w:rPr>
            </w:pPr>
            <w:r w:rsidRPr="00BB567A">
              <w:rPr>
                <w:rFonts w:ascii="Times New Roman" w:hAnsi="Times New Roman" w:cs="Times New Roman"/>
                <w:b/>
                <w:bCs/>
                <w:color w:val="000000"/>
                <w:sz w:val="20"/>
                <w:szCs w:val="20"/>
              </w:rPr>
              <w:t>-0.11290</w:t>
            </w:r>
          </w:p>
        </w:tc>
        <w:tc>
          <w:tcPr>
            <w:tcW w:w="1150" w:type="dxa"/>
            <w:tcBorders>
              <w:top w:val="single" w:sz="18" w:space="0" w:color="595959" w:themeColor="text1" w:themeTint="A6"/>
              <w:bottom w:val="single" w:sz="18" w:space="0" w:color="595959" w:themeColor="text1" w:themeTint="A6"/>
              <w:right w:val="single" w:sz="18" w:space="0" w:color="595959" w:themeColor="text1" w:themeTint="A6"/>
            </w:tcBorders>
            <w:shd w:val="clear" w:color="auto" w:fill="FFFF00"/>
            <w:vAlign w:val="center"/>
          </w:tcPr>
          <w:p w:rsidR="00900B10" w:rsidRPr="00BB567A" w:rsidRDefault="00900B10" w:rsidP="00900B10">
            <w:pPr>
              <w:spacing w:before="0"/>
              <w:jc w:val="right"/>
              <w:rPr>
                <w:rFonts w:ascii="Times New Roman" w:hAnsi="Times New Roman" w:cs="Times New Roman"/>
                <w:b/>
                <w:bCs/>
                <w:color w:val="000000"/>
                <w:sz w:val="20"/>
                <w:szCs w:val="20"/>
              </w:rPr>
            </w:pPr>
            <w:r w:rsidRPr="00BB567A">
              <w:rPr>
                <w:rFonts w:ascii="Times New Roman" w:hAnsi="Times New Roman" w:cs="Times New Roman"/>
                <w:b/>
                <w:bCs/>
                <w:color w:val="000000"/>
                <w:sz w:val="20"/>
                <w:szCs w:val="20"/>
              </w:rPr>
              <w:t>0.11128</w:t>
            </w:r>
          </w:p>
        </w:tc>
        <w:tc>
          <w:tcPr>
            <w:tcW w:w="1088" w:type="dxa"/>
            <w:tcBorders>
              <w:top w:val="single" w:sz="18" w:space="0" w:color="595959" w:themeColor="text1" w:themeTint="A6"/>
              <w:left w:val="single" w:sz="18" w:space="0" w:color="595959" w:themeColor="text1" w:themeTint="A6"/>
              <w:bottom w:val="single" w:sz="18" w:space="0" w:color="595959" w:themeColor="text1" w:themeTint="A6"/>
            </w:tcBorders>
            <w:shd w:val="clear" w:color="auto" w:fill="FFFF00"/>
            <w:vAlign w:val="center"/>
          </w:tcPr>
          <w:p w:rsidR="00900B10" w:rsidRPr="00BB567A" w:rsidRDefault="00900B10" w:rsidP="00900B10">
            <w:pPr>
              <w:spacing w:before="0"/>
              <w:jc w:val="right"/>
              <w:rPr>
                <w:rFonts w:ascii="Times New Roman" w:hAnsi="Times New Roman" w:cs="Times New Roman"/>
                <w:b/>
                <w:bCs/>
                <w:color w:val="000000"/>
                <w:sz w:val="20"/>
                <w:szCs w:val="20"/>
              </w:rPr>
            </w:pPr>
            <w:r w:rsidRPr="00BB567A">
              <w:rPr>
                <w:rFonts w:ascii="Times New Roman" w:hAnsi="Times New Roman" w:cs="Times New Roman"/>
                <w:b/>
                <w:bCs/>
                <w:color w:val="000000"/>
                <w:sz w:val="20"/>
                <w:szCs w:val="20"/>
              </w:rPr>
              <w:t>-0.01008</w:t>
            </w:r>
          </w:p>
        </w:tc>
        <w:tc>
          <w:tcPr>
            <w:tcW w:w="1088" w:type="dxa"/>
            <w:tcBorders>
              <w:top w:val="single" w:sz="18" w:space="0" w:color="595959" w:themeColor="text1" w:themeTint="A6"/>
              <w:bottom w:val="single" w:sz="18" w:space="0" w:color="595959" w:themeColor="text1" w:themeTint="A6"/>
            </w:tcBorders>
            <w:shd w:val="clear" w:color="auto" w:fill="FFFF00"/>
            <w:vAlign w:val="center"/>
          </w:tcPr>
          <w:p w:rsidR="00900B10" w:rsidRPr="00BB567A" w:rsidRDefault="00900B10" w:rsidP="00900B10">
            <w:pPr>
              <w:spacing w:before="0"/>
              <w:jc w:val="right"/>
              <w:rPr>
                <w:rFonts w:ascii="Times New Roman" w:hAnsi="Times New Roman" w:cs="Times New Roman"/>
                <w:b/>
                <w:bCs/>
                <w:color w:val="000000"/>
                <w:sz w:val="20"/>
                <w:szCs w:val="20"/>
              </w:rPr>
            </w:pPr>
            <w:r w:rsidRPr="00BB567A">
              <w:rPr>
                <w:rFonts w:ascii="Times New Roman" w:hAnsi="Times New Roman" w:cs="Times New Roman"/>
                <w:b/>
                <w:bCs/>
                <w:color w:val="000000"/>
                <w:sz w:val="20"/>
                <w:szCs w:val="20"/>
              </w:rPr>
              <w:t>-0.01130</w:t>
            </w:r>
          </w:p>
        </w:tc>
        <w:tc>
          <w:tcPr>
            <w:tcW w:w="1078" w:type="dxa"/>
            <w:tcBorders>
              <w:top w:val="single" w:sz="18" w:space="0" w:color="595959" w:themeColor="text1" w:themeTint="A6"/>
              <w:bottom w:val="single" w:sz="18" w:space="0" w:color="595959" w:themeColor="text1" w:themeTint="A6"/>
            </w:tcBorders>
            <w:shd w:val="clear" w:color="auto" w:fill="FFFF00"/>
            <w:vAlign w:val="center"/>
          </w:tcPr>
          <w:p w:rsidR="00900B10" w:rsidRPr="00BB567A" w:rsidRDefault="00900B10" w:rsidP="00900B10">
            <w:pPr>
              <w:spacing w:before="0"/>
              <w:jc w:val="right"/>
              <w:rPr>
                <w:rFonts w:ascii="Times New Roman" w:hAnsi="Times New Roman" w:cs="Times New Roman"/>
                <w:b/>
                <w:bCs/>
                <w:color w:val="000000"/>
                <w:sz w:val="20"/>
                <w:szCs w:val="20"/>
              </w:rPr>
            </w:pPr>
            <w:r w:rsidRPr="00BB567A">
              <w:rPr>
                <w:rFonts w:ascii="Times New Roman" w:hAnsi="Times New Roman" w:cs="Times New Roman"/>
                <w:b/>
                <w:bCs/>
                <w:color w:val="000000"/>
                <w:sz w:val="20"/>
                <w:szCs w:val="20"/>
              </w:rPr>
              <w:t>-0.00215</w:t>
            </w:r>
          </w:p>
        </w:tc>
        <w:tc>
          <w:tcPr>
            <w:tcW w:w="1250" w:type="dxa"/>
            <w:tcBorders>
              <w:top w:val="single" w:sz="18" w:space="0" w:color="595959" w:themeColor="text1" w:themeTint="A6"/>
              <w:bottom w:val="single" w:sz="18" w:space="0" w:color="595959" w:themeColor="text1" w:themeTint="A6"/>
              <w:right w:val="single" w:sz="18" w:space="0" w:color="595959" w:themeColor="text1" w:themeTint="A6"/>
            </w:tcBorders>
            <w:shd w:val="clear" w:color="auto" w:fill="FFFF00"/>
            <w:vAlign w:val="center"/>
          </w:tcPr>
          <w:p w:rsidR="00900B10" w:rsidRPr="00BB567A" w:rsidRDefault="00900B10" w:rsidP="00900B10">
            <w:pPr>
              <w:spacing w:before="0"/>
              <w:jc w:val="right"/>
              <w:rPr>
                <w:rFonts w:ascii="Times New Roman" w:hAnsi="Times New Roman" w:cs="Times New Roman"/>
                <w:b/>
                <w:bCs/>
                <w:color w:val="000000"/>
                <w:sz w:val="20"/>
                <w:szCs w:val="20"/>
              </w:rPr>
            </w:pPr>
            <w:r w:rsidRPr="00BB567A">
              <w:rPr>
                <w:rFonts w:ascii="Times New Roman" w:hAnsi="Times New Roman" w:cs="Times New Roman"/>
                <w:b/>
                <w:bCs/>
                <w:color w:val="000000"/>
                <w:sz w:val="20"/>
                <w:szCs w:val="20"/>
              </w:rPr>
              <w:t>-0.01235</w:t>
            </w:r>
          </w:p>
        </w:tc>
        <w:tc>
          <w:tcPr>
            <w:tcW w:w="1075" w:type="dxa"/>
            <w:tcBorders>
              <w:top w:val="single" w:sz="18" w:space="0" w:color="595959" w:themeColor="text1" w:themeTint="A6"/>
              <w:left w:val="single" w:sz="18" w:space="0" w:color="595959" w:themeColor="text1" w:themeTint="A6"/>
              <w:bottom w:val="single" w:sz="18" w:space="0" w:color="595959" w:themeColor="text1" w:themeTint="A6"/>
            </w:tcBorders>
            <w:shd w:val="clear" w:color="auto" w:fill="FFFF00"/>
            <w:vAlign w:val="center"/>
          </w:tcPr>
          <w:p w:rsidR="00900B10" w:rsidRPr="00BB567A" w:rsidRDefault="00900B10" w:rsidP="00900B10">
            <w:pPr>
              <w:spacing w:before="0"/>
              <w:jc w:val="right"/>
              <w:rPr>
                <w:rFonts w:ascii="Times New Roman" w:hAnsi="Times New Roman" w:cs="Times New Roman"/>
                <w:b/>
                <w:bCs/>
                <w:color w:val="000000"/>
                <w:sz w:val="20"/>
                <w:szCs w:val="20"/>
              </w:rPr>
            </w:pPr>
            <w:r w:rsidRPr="00BB567A">
              <w:rPr>
                <w:rFonts w:ascii="Times New Roman" w:hAnsi="Times New Roman" w:cs="Times New Roman"/>
                <w:b/>
                <w:bCs/>
                <w:color w:val="000000"/>
                <w:sz w:val="20"/>
                <w:szCs w:val="20"/>
              </w:rPr>
              <w:t>-3.69495</w:t>
            </w:r>
          </w:p>
        </w:tc>
        <w:tc>
          <w:tcPr>
            <w:tcW w:w="1075" w:type="dxa"/>
            <w:tcBorders>
              <w:top w:val="single" w:sz="18" w:space="0" w:color="595959" w:themeColor="text1" w:themeTint="A6"/>
              <w:bottom w:val="single" w:sz="18" w:space="0" w:color="595959" w:themeColor="text1" w:themeTint="A6"/>
              <w:right w:val="single" w:sz="18" w:space="0" w:color="595959" w:themeColor="text1" w:themeTint="A6"/>
            </w:tcBorders>
            <w:shd w:val="clear" w:color="auto" w:fill="FFFF00"/>
            <w:vAlign w:val="center"/>
          </w:tcPr>
          <w:p w:rsidR="00900B10" w:rsidRPr="00BB567A" w:rsidRDefault="00900B10" w:rsidP="00900B10">
            <w:pPr>
              <w:spacing w:before="0"/>
              <w:jc w:val="right"/>
              <w:rPr>
                <w:rFonts w:ascii="Times New Roman" w:hAnsi="Times New Roman" w:cs="Times New Roman"/>
                <w:b/>
                <w:bCs/>
                <w:color w:val="000000"/>
                <w:sz w:val="20"/>
                <w:szCs w:val="20"/>
              </w:rPr>
            </w:pPr>
            <w:r w:rsidRPr="00BB567A">
              <w:rPr>
                <w:rFonts w:ascii="Times New Roman" w:hAnsi="Times New Roman" w:cs="Times New Roman"/>
                <w:b/>
                <w:bCs/>
                <w:color w:val="000000"/>
                <w:sz w:val="20"/>
                <w:szCs w:val="20"/>
              </w:rPr>
              <w:t>-3.82002</w:t>
            </w:r>
          </w:p>
        </w:tc>
        <w:tc>
          <w:tcPr>
            <w:tcW w:w="1079" w:type="dxa"/>
            <w:tcBorders>
              <w:top w:val="single" w:sz="18" w:space="0" w:color="595959" w:themeColor="text1" w:themeTint="A6"/>
              <w:left w:val="single" w:sz="18" w:space="0" w:color="595959" w:themeColor="text1" w:themeTint="A6"/>
              <w:bottom w:val="single" w:sz="18" w:space="0" w:color="595959" w:themeColor="text1" w:themeTint="A6"/>
            </w:tcBorders>
            <w:vAlign w:val="center"/>
          </w:tcPr>
          <w:p w:rsidR="00900B10" w:rsidRPr="00BB567A" w:rsidRDefault="00900B10" w:rsidP="00900B10">
            <w:pPr>
              <w:spacing w:before="0"/>
              <w:rPr>
                <w:rFonts w:ascii="Times New Roman" w:hAnsi="Times New Roman" w:cs="Times New Roman"/>
                <w:color w:val="000000"/>
                <w:sz w:val="20"/>
                <w:szCs w:val="20"/>
              </w:rPr>
            </w:pPr>
            <w:r w:rsidRPr="00BB567A">
              <w:rPr>
                <w:rFonts w:ascii="Times New Roman" w:hAnsi="Times New Roman" w:cs="Times New Roman"/>
                <w:color w:val="000000"/>
                <w:sz w:val="20"/>
                <w:szCs w:val="20"/>
              </w:rPr>
              <w:t> </w:t>
            </w:r>
          </w:p>
        </w:tc>
      </w:tr>
    </w:tbl>
    <w:p w:rsidR="00900B10" w:rsidRDefault="00900B10" w:rsidP="00900B10">
      <w:pPr>
        <w:rPr>
          <w:rFonts w:ascii="Times New Roman" w:hAnsi="Times New Roman" w:cs="Times New Roman"/>
          <w:sz w:val="24"/>
          <w:szCs w:val="24"/>
        </w:rPr>
      </w:pPr>
    </w:p>
    <w:p w:rsidR="00900B10" w:rsidRDefault="00900B10" w:rsidP="00591671">
      <w:pPr>
        <w:pStyle w:val="ListParagraph"/>
        <w:ind w:left="0"/>
        <w:contextualSpacing w:val="0"/>
        <w:rPr>
          <w:rFonts w:ascii="Times New Roman" w:hAnsi="Times New Roman" w:cs="Times New Roman"/>
          <w:sz w:val="24"/>
          <w:szCs w:val="24"/>
        </w:rPr>
        <w:sectPr w:rsidR="00900B10" w:rsidSect="00900B10">
          <w:pgSz w:w="16838" w:h="11906" w:orient="landscape"/>
          <w:pgMar w:top="1440" w:right="1440" w:bottom="1440" w:left="1440" w:header="708" w:footer="708" w:gutter="0"/>
          <w:cols w:space="708"/>
          <w:docGrid w:linePitch="360"/>
        </w:sectPr>
      </w:pPr>
    </w:p>
    <w:p w:rsidR="00AF31A9" w:rsidRDefault="00614267" w:rsidP="00591671">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lastRenderedPageBreak/>
        <w:t xml:space="preserve">magnification effect as we go from Neoclassical to Keynes of about 2.  The Foreign visitor contribution </w:t>
      </w:r>
      <w:r w:rsidR="001A0DD9">
        <w:rPr>
          <w:rFonts w:ascii="Times New Roman" w:hAnsi="Times New Roman" w:cs="Times New Roman"/>
          <w:sz w:val="24"/>
          <w:szCs w:val="24"/>
        </w:rPr>
        <w:t xml:space="preserve">is -0.58455 </w:t>
      </w:r>
      <w:r>
        <w:rPr>
          <w:rFonts w:ascii="Times New Roman" w:hAnsi="Times New Roman" w:cs="Times New Roman"/>
          <w:sz w:val="24"/>
          <w:szCs w:val="24"/>
        </w:rPr>
        <w:t xml:space="preserve">in Table 7.5 compared </w:t>
      </w:r>
      <w:r w:rsidR="007D5EC0">
        <w:rPr>
          <w:rFonts w:ascii="Times New Roman" w:hAnsi="Times New Roman" w:cs="Times New Roman"/>
          <w:sz w:val="24"/>
          <w:szCs w:val="24"/>
        </w:rPr>
        <w:t>with</w:t>
      </w:r>
      <w:r>
        <w:rPr>
          <w:rFonts w:ascii="Times New Roman" w:hAnsi="Times New Roman" w:cs="Times New Roman"/>
          <w:sz w:val="24"/>
          <w:szCs w:val="24"/>
        </w:rPr>
        <w:t xml:space="preserve"> -2.03736 in Table 7.4</w:t>
      </w:r>
      <w:r w:rsidR="007D5EC0">
        <w:rPr>
          <w:rFonts w:ascii="Times New Roman" w:hAnsi="Times New Roman" w:cs="Times New Roman"/>
          <w:sz w:val="24"/>
          <w:szCs w:val="24"/>
        </w:rPr>
        <w:t>,</w:t>
      </w:r>
      <w:r>
        <w:rPr>
          <w:rFonts w:ascii="Times New Roman" w:hAnsi="Times New Roman" w:cs="Times New Roman"/>
          <w:sz w:val="24"/>
          <w:szCs w:val="24"/>
        </w:rPr>
        <w:t xml:space="preserve"> a magnification of about </w:t>
      </w:r>
      <w:r w:rsidR="001A0DD9">
        <w:rPr>
          <w:rFonts w:ascii="Times New Roman" w:hAnsi="Times New Roman" w:cs="Times New Roman"/>
          <w:sz w:val="24"/>
          <w:szCs w:val="24"/>
        </w:rPr>
        <w:t>3.5</w:t>
      </w:r>
      <w:r>
        <w:rPr>
          <w:rFonts w:ascii="Times New Roman" w:hAnsi="Times New Roman" w:cs="Times New Roman"/>
          <w:sz w:val="24"/>
          <w:szCs w:val="24"/>
        </w:rPr>
        <w:t xml:space="preserve">.  </w:t>
      </w:r>
      <w:r w:rsidR="001A0DD9">
        <w:rPr>
          <w:rFonts w:ascii="Times New Roman" w:hAnsi="Times New Roman" w:cs="Times New Roman"/>
          <w:sz w:val="24"/>
          <w:szCs w:val="24"/>
        </w:rPr>
        <w:t xml:space="preserve">By magnifying the bad news by more than the good news, the adoption of Keynesian assumptions turns the year-1 employment effect for FL24 from positive to negative.  </w:t>
      </w:r>
    </w:p>
    <w:p w:rsidR="00ED7E6C" w:rsidRDefault="00C56957" w:rsidP="00591671">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The Epidemic scenario has very little effect on economic activity in the long run</w:t>
      </w:r>
      <w:r w:rsidR="00ED7E6C">
        <w:rPr>
          <w:rFonts w:ascii="Times New Roman" w:hAnsi="Times New Roman" w:cs="Times New Roman"/>
          <w:sz w:val="24"/>
          <w:szCs w:val="24"/>
        </w:rPr>
        <w:t xml:space="preserve"> under either Keynesian or Neoclassical assumptions.  </w:t>
      </w:r>
      <w:r>
        <w:rPr>
          <w:rFonts w:ascii="Times New Roman" w:hAnsi="Times New Roman" w:cs="Times New Roman"/>
          <w:sz w:val="24"/>
          <w:szCs w:val="24"/>
        </w:rPr>
        <w:t>For year 20</w:t>
      </w:r>
      <w:r w:rsidR="007D5EC0">
        <w:rPr>
          <w:rFonts w:ascii="Times New Roman" w:hAnsi="Times New Roman" w:cs="Times New Roman"/>
          <w:sz w:val="24"/>
          <w:szCs w:val="24"/>
        </w:rPr>
        <w:t>,</w:t>
      </w:r>
      <w:r>
        <w:rPr>
          <w:rFonts w:ascii="Times New Roman" w:hAnsi="Times New Roman" w:cs="Times New Roman"/>
          <w:sz w:val="24"/>
          <w:szCs w:val="24"/>
        </w:rPr>
        <w:t xml:space="preserve"> Tables 7.4 and 7.5 show total effects for national and regional output and employment that are smaller in absolute size than 0.01235 per cent.  The only sustained negative effect in the long run flows from the reduction in population.  </w:t>
      </w:r>
      <w:r w:rsidR="00ED7E6C">
        <w:rPr>
          <w:rFonts w:ascii="Times New Roman" w:hAnsi="Times New Roman" w:cs="Times New Roman"/>
          <w:sz w:val="24"/>
          <w:szCs w:val="24"/>
        </w:rPr>
        <w:t xml:space="preserve">This contributes nearly all of the year-20 effects on GDP and national employment, row 13 in the contribution matrices. Recall that the epidemic kills 38,181 people which is about 0.012 per cent of the population.   </w:t>
      </w:r>
    </w:p>
    <w:p w:rsidR="00705032" w:rsidRDefault="007D5EC0" w:rsidP="00705032">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 xml:space="preserve">The 38,181 deaths make the overwhelmingly dominant contribution to the welfare effect of the Epidemic scenario.  With a discount rate of 0.05 and Keynesian assumptions, this contribution is -3.56334 per cent of a year’s consumption </w:t>
      </w:r>
      <w:r w:rsidR="00705032">
        <w:rPr>
          <w:rFonts w:ascii="Times New Roman" w:hAnsi="Times New Roman" w:cs="Times New Roman"/>
          <w:sz w:val="24"/>
          <w:szCs w:val="24"/>
        </w:rPr>
        <w:t xml:space="preserve">which is 93.1 per cent of the total welfare effect (=100*3.56334/3.82643).  With a discount rate of 0.02 and Keynesian assumptions, deaths contribute 92.9 per cent of the total welfare effect (=100*3.66693/3.94871).  These contribution shares are even higher under </w:t>
      </w:r>
      <w:r w:rsidR="000F4C55">
        <w:rPr>
          <w:rFonts w:ascii="Times New Roman" w:hAnsi="Times New Roman" w:cs="Times New Roman"/>
          <w:sz w:val="24"/>
          <w:szCs w:val="24"/>
        </w:rPr>
        <w:t>N</w:t>
      </w:r>
      <w:r w:rsidR="00705032">
        <w:rPr>
          <w:rFonts w:ascii="Times New Roman" w:hAnsi="Times New Roman" w:cs="Times New Roman"/>
          <w:sz w:val="24"/>
          <w:szCs w:val="24"/>
        </w:rPr>
        <w:t>eoclassical assumptions, 96.4 per</w:t>
      </w:r>
      <w:r w:rsidR="000F4C55">
        <w:rPr>
          <w:rFonts w:ascii="Times New Roman" w:hAnsi="Times New Roman" w:cs="Times New Roman"/>
          <w:sz w:val="24"/>
          <w:szCs w:val="24"/>
        </w:rPr>
        <w:t xml:space="preserve"> </w:t>
      </w:r>
      <w:r w:rsidR="00705032">
        <w:rPr>
          <w:rFonts w:ascii="Times New Roman" w:hAnsi="Times New Roman" w:cs="Times New Roman"/>
          <w:sz w:val="24"/>
          <w:szCs w:val="24"/>
        </w:rPr>
        <w:t xml:space="preserve">cent </w:t>
      </w:r>
      <w:r w:rsidR="000F4C55">
        <w:rPr>
          <w:rFonts w:ascii="Times New Roman" w:hAnsi="Times New Roman" w:cs="Times New Roman"/>
          <w:sz w:val="24"/>
          <w:szCs w:val="24"/>
        </w:rPr>
        <w:t xml:space="preserve">when the discount rate is 0.05 and 96.0 per cent when the discount rate is 0.02.  </w:t>
      </w:r>
      <w:r w:rsidR="00705032">
        <w:rPr>
          <w:rFonts w:ascii="Times New Roman" w:hAnsi="Times New Roman" w:cs="Times New Roman"/>
          <w:sz w:val="24"/>
          <w:szCs w:val="24"/>
        </w:rPr>
        <w:t xml:space="preserve">  </w:t>
      </w:r>
    </w:p>
    <w:p w:rsidR="003D4685" w:rsidRDefault="000F4C55" w:rsidP="00AD3749">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 xml:space="preserve">A notable aspect of the contributions to welfare </w:t>
      </w:r>
      <w:r w:rsidR="00AE3B9A">
        <w:rPr>
          <w:rFonts w:ascii="Times New Roman" w:hAnsi="Times New Roman" w:cs="Times New Roman"/>
          <w:sz w:val="24"/>
          <w:szCs w:val="24"/>
        </w:rPr>
        <w:t xml:space="preserve">in the Epidemic scenario </w:t>
      </w:r>
      <w:r>
        <w:rPr>
          <w:rFonts w:ascii="Times New Roman" w:hAnsi="Times New Roman" w:cs="Times New Roman"/>
          <w:sz w:val="24"/>
          <w:szCs w:val="24"/>
        </w:rPr>
        <w:t xml:space="preserve">under both Keynesian and Neoclassical assumptions and both discount rates is that they are negative for all the non-zero shocks.  </w:t>
      </w:r>
      <w:r w:rsidR="00AE3B9A">
        <w:rPr>
          <w:rFonts w:ascii="Times New Roman" w:hAnsi="Times New Roman" w:cs="Times New Roman"/>
          <w:sz w:val="24"/>
          <w:szCs w:val="24"/>
        </w:rPr>
        <w:t xml:space="preserve">This is true even for Clean-up and Public health (rows 3 and 4) which show positive year-1 effects for output and employment.  </w:t>
      </w:r>
      <w:r w:rsidR="00AD3749">
        <w:rPr>
          <w:rFonts w:ascii="Times New Roman" w:hAnsi="Times New Roman" w:cs="Times New Roman"/>
          <w:sz w:val="24"/>
          <w:szCs w:val="24"/>
        </w:rPr>
        <w:t xml:space="preserve">As explained in </w:t>
      </w:r>
      <w:r w:rsidR="00B6529C">
        <w:rPr>
          <w:rFonts w:ascii="Times New Roman" w:hAnsi="Times New Roman" w:cs="Times New Roman"/>
          <w:sz w:val="24"/>
          <w:szCs w:val="24"/>
        </w:rPr>
        <w:t>s</w:t>
      </w:r>
      <w:r w:rsidR="00AD3749">
        <w:rPr>
          <w:rFonts w:ascii="Times New Roman" w:hAnsi="Times New Roman" w:cs="Times New Roman"/>
          <w:sz w:val="24"/>
          <w:szCs w:val="24"/>
        </w:rPr>
        <w:t xml:space="preserve">ection 5, following a serious terrorism or other disruptive shock, there is </w:t>
      </w:r>
      <w:r w:rsidR="00AD3749" w:rsidRPr="003D4685">
        <w:rPr>
          <w:rFonts w:ascii="Times New Roman" w:hAnsi="Times New Roman" w:cs="Times New Roman"/>
          <w:sz w:val="24"/>
          <w:szCs w:val="24"/>
        </w:rPr>
        <w:t xml:space="preserve">an initial blow-out in </w:t>
      </w:r>
      <w:r w:rsidR="003D4685">
        <w:rPr>
          <w:rFonts w:ascii="Times New Roman" w:hAnsi="Times New Roman" w:cs="Times New Roman"/>
          <w:sz w:val="24"/>
          <w:szCs w:val="24"/>
        </w:rPr>
        <w:t>public e</w:t>
      </w:r>
      <w:r w:rsidR="00AD3749" w:rsidRPr="003D4685">
        <w:rPr>
          <w:rFonts w:ascii="Times New Roman" w:hAnsi="Times New Roman" w:cs="Times New Roman"/>
          <w:sz w:val="24"/>
          <w:szCs w:val="24"/>
        </w:rPr>
        <w:t xml:space="preserve">xpenditures (clean-up and health in the Epidemic scenario).  This is followed by contraction as public and foreign debt </w:t>
      </w:r>
      <w:r w:rsidR="00B6529C">
        <w:rPr>
          <w:rFonts w:ascii="Times New Roman" w:hAnsi="Times New Roman" w:cs="Times New Roman"/>
          <w:sz w:val="24"/>
          <w:szCs w:val="24"/>
        </w:rPr>
        <w:t>are</w:t>
      </w:r>
      <w:r w:rsidR="00AD3749" w:rsidRPr="003D4685">
        <w:rPr>
          <w:rFonts w:ascii="Times New Roman" w:hAnsi="Times New Roman" w:cs="Times New Roman"/>
          <w:sz w:val="24"/>
          <w:szCs w:val="24"/>
        </w:rPr>
        <w:t xml:space="preserve"> reined in.  </w:t>
      </w:r>
      <w:r w:rsidR="003D4685">
        <w:rPr>
          <w:rFonts w:ascii="Times New Roman" w:hAnsi="Times New Roman" w:cs="Times New Roman"/>
          <w:sz w:val="24"/>
          <w:szCs w:val="24"/>
        </w:rPr>
        <w:t>With the initial expenditures being of a non-welfare</w:t>
      </w:r>
      <w:r w:rsidR="004B40A3">
        <w:rPr>
          <w:rFonts w:ascii="Times New Roman" w:hAnsi="Times New Roman" w:cs="Times New Roman"/>
          <w:sz w:val="24"/>
          <w:szCs w:val="24"/>
        </w:rPr>
        <w:t>-</w:t>
      </w:r>
      <w:r w:rsidR="003D4685">
        <w:rPr>
          <w:rFonts w:ascii="Times New Roman" w:hAnsi="Times New Roman" w:cs="Times New Roman"/>
          <w:sz w:val="24"/>
          <w:szCs w:val="24"/>
        </w:rPr>
        <w:t xml:space="preserve">creating nature, the required subsequent contraction in consumption causes the accumulated welfare effect to be negative.    </w:t>
      </w:r>
    </w:p>
    <w:p w:rsidR="00ED3AE5" w:rsidRDefault="004E31E0" w:rsidP="00AD3749">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 xml:space="preserve">Table 7.6 shows welfare effects for all three scenarios with the target regions being FL24 and CA34.  </w:t>
      </w:r>
      <w:r w:rsidR="00245ED7">
        <w:rPr>
          <w:rFonts w:ascii="Times New Roman" w:hAnsi="Times New Roman" w:cs="Times New Roman"/>
          <w:sz w:val="24"/>
          <w:szCs w:val="24"/>
        </w:rPr>
        <w:t>The</w:t>
      </w:r>
      <w:r>
        <w:rPr>
          <w:rFonts w:ascii="Times New Roman" w:hAnsi="Times New Roman" w:cs="Times New Roman"/>
          <w:sz w:val="24"/>
          <w:szCs w:val="24"/>
        </w:rPr>
        <w:t xml:space="preserve"> FL24 results were calculated with the elasticity matri</w:t>
      </w:r>
      <w:r w:rsidR="00245ED7">
        <w:rPr>
          <w:rFonts w:ascii="Times New Roman" w:hAnsi="Times New Roman" w:cs="Times New Roman"/>
          <w:sz w:val="24"/>
          <w:szCs w:val="24"/>
        </w:rPr>
        <w:t>ces</w:t>
      </w:r>
      <w:r>
        <w:rPr>
          <w:rFonts w:ascii="Times New Roman" w:hAnsi="Times New Roman" w:cs="Times New Roman"/>
          <w:sz w:val="24"/>
          <w:szCs w:val="24"/>
        </w:rPr>
        <w:t xml:space="preserve"> from Table 6.2</w:t>
      </w:r>
      <w:r w:rsidR="00245ED7">
        <w:rPr>
          <w:rFonts w:ascii="Times New Roman" w:hAnsi="Times New Roman" w:cs="Times New Roman"/>
          <w:sz w:val="24"/>
          <w:szCs w:val="24"/>
        </w:rPr>
        <w:t xml:space="preserve"> and 6.3 and the percentage shocks from Table 7.2.  The CA34 results were calculated with the elasticity matrices from Table 6.4 and 6.5</w:t>
      </w:r>
      <w:r w:rsidR="00245ED7" w:rsidRPr="00245ED7">
        <w:rPr>
          <w:rFonts w:ascii="Times New Roman" w:hAnsi="Times New Roman" w:cs="Times New Roman"/>
          <w:sz w:val="24"/>
          <w:szCs w:val="24"/>
        </w:rPr>
        <w:t xml:space="preserve"> </w:t>
      </w:r>
      <w:r w:rsidR="00245ED7">
        <w:rPr>
          <w:rFonts w:ascii="Times New Roman" w:hAnsi="Times New Roman" w:cs="Times New Roman"/>
          <w:sz w:val="24"/>
          <w:szCs w:val="24"/>
        </w:rPr>
        <w:t xml:space="preserve">and the percentage shocks from Table 7.3.  </w:t>
      </w:r>
    </w:p>
    <w:p w:rsidR="00876BB9" w:rsidRDefault="00ED3AE5" w:rsidP="00AD3749">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 xml:space="preserve">There are </w:t>
      </w:r>
      <w:r w:rsidR="005F27D3">
        <w:rPr>
          <w:rFonts w:ascii="Times New Roman" w:hAnsi="Times New Roman" w:cs="Times New Roman"/>
          <w:sz w:val="24"/>
          <w:szCs w:val="24"/>
        </w:rPr>
        <w:t>four</w:t>
      </w:r>
      <w:r>
        <w:rPr>
          <w:rFonts w:ascii="Times New Roman" w:hAnsi="Times New Roman" w:cs="Times New Roman"/>
          <w:sz w:val="24"/>
          <w:szCs w:val="24"/>
        </w:rPr>
        <w:t xml:space="preserve"> outstanding features of Table 7.6.  First, the target region makes almost no difference to the results.  What this result means is that </w:t>
      </w:r>
      <w:r w:rsidR="00876BB9">
        <w:rPr>
          <w:rFonts w:ascii="Times New Roman" w:hAnsi="Times New Roman" w:cs="Times New Roman"/>
          <w:sz w:val="24"/>
          <w:szCs w:val="24"/>
        </w:rPr>
        <w:t xml:space="preserve">the $ amount of the shocks and the number of deaths is just about all that counts in national welfare.  Where the shocks are delivered is unimportant from a national welfare point of view.  </w:t>
      </w:r>
    </w:p>
    <w:p w:rsidR="002F789C" w:rsidRDefault="00876BB9" w:rsidP="00AD3749">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 xml:space="preserve">Second, </w:t>
      </w:r>
      <w:r w:rsidR="002F789C">
        <w:rPr>
          <w:rFonts w:ascii="Times New Roman" w:hAnsi="Times New Roman" w:cs="Times New Roman"/>
          <w:sz w:val="24"/>
          <w:szCs w:val="24"/>
        </w:rPr>
        <w:t xml:space="preserve">the Epidemic scenario is easily the worst.  Analysis of contribution results quickly shows that the welfare effect of the 38,181 deaths in the Epidemic scenario in the dominant factor. </w:t>
      </w:r>
    </w:p>
    <w:p w:rsidR="0021748C" w:rsidRDefault="00204F70" w:rsidP="0021748C">
      <w:pPr>
        <w:pStyle w:val="ListParagraph"/>
        <w:ind w:left="0"/>
        <w:contextualSpacing w:val="0"/>
        <w:rPr>
          <w:rFonts w:ascii="Times New Roman" w:hAnsi="Times New Roman" w:cs="Times New Roman"/>
          <w:b/>
          <w:i/>
          <w:sz w:val="24"/>
          <w:szCs w:val="24"/>
        </w:rPr>
      </w:pPr>
      <w:r>
        <w:rPr>
          <w:rFonts w:ascii="Times New Roman" w:hAnsi="Times New Roman" w:cs="Times New Roman"/>
          <w:sz w:val="24"/>
          <w:szCs w:val="24"/>
        </w:rPr>
        <w:t xml:space="preserve">Third, the state of the economy (Keynes versus Neoclassical) at the time of the event can make a </w:t>
      </w:r>
      <w:r w:rsidR="00017372">
        <w:rPr>
          <w:rFonts w:ascii="Times New Roman" w:hAnsi="Times New Roman" w:cs="Times New Roman"/>
          <w:sz w:val="24"/>
          <w:szCs w:val="24"/>
        </w:rPr>
        <w:t>notic</w:t>
      </w:r>
      <w:r w:rsidR="003144C0">
        <w:rPr>
          <w:rFonts w:ascii="Times New Roman" w:hAnsi="Times New Roman" w:cs="Times New Roman"/>
          <w:sz w:val="24"/>
          <w:szCs w:val="24"/>
        </w:rPr>
        <w:t>e</w:t>
      </w:r>
      <w:r w:rsidR="00017372">
        <w:rPr>
          <w:rFonts w:ascii="Times New Roman" w:hAnsi="Times New Roman" w:cs="Times New Roman"/>
          <w:sz w:val="24"/>
          <w:szCs w:val="24"/>
        </w:rPr>
        <w:t>able</w:t>
      </w:r>
      <w:r>
        <w:rPr>
          <w:rFonts w:ascii="Times New Roman" w:hAnsi="Times New Roman" w:cs="Times New Roman"/>
          <w:sz w:val="24"/>
          <w:szCs w:val="24"/>
        </w:rPr>
        <w:t xml:space="preserve"> difference to the eventual welfare result.  </w:t>
      </w:r>
      <w:r w:rsidR="00453D59">
        <w:rPr>
          <w:rFonts w:ascii="Times New Roman" w:hAnsi="Times New Roman" w:cs="Times New Roman"/>
          <w:sz w:val="24"/>
          <w:szCs w:val="24"/>
        </w:rPr>
        <w:t xml:space="preserve">For the Epidemic scenario we </w:t>
      </w:r>
      <w:r w:rsidR="0021748C">
        <w:rPr>
          <w:rFonts w:ascii="Times New Roman" w:hAnsi="Times New Roman" w:cs="Times New Roman"/>
          <w:sz w:val="24"/>
          <w:szCs w:val="24"/>
        </w:rPr>
        <w:t>saw that the year-1 effects were relatively negative under Keynesian assumptions.  This was explained by a larger magnification factor,</w:t>
      </w:r>
      <w:r w:rsidR="0021748C" w:rsidRPr="00B6529C">
        <w:rPr>
          <w:rFonts w:ascii="Times New Roman" w:hAnsi="Times New Roman" w:cs="Times New Roman"/>
          <w:sz w:val="24"/>
          <w:szCs w:val="24"/>
        </w:rPr>
        <w:t xml:space="preserve"> </w:t>
      </w:r>
      <w:r w:rsidR="0021748C">
        <w:rPr>
          <w:rFonts w:ascii="Times New Roman" w:hAnsi="Times New Roman" w:cs="Times New Roman"/>
          <w:sz w:val="24"/>
          <w:szCs w:val="24"/>
        </w:rPr>
        <w:t xml:space="preserve">as we go from Neoclassical to Keynes, for the negative visitor effects than for the positive public expenditure effects.  Reflecting the contributions to welfare of the year-1 effects, the Epidemic scenario shows larger negative </w:t>
      </w:r>
      <w:r w:rsidR="0021748C">
        <w:rPr>
          <w:rFonts w:ascii="Times New Roman" w:hAnsi="Times New Roman" w:cs="Times New Roman"/>
          <w:sz w:val="24"/>
          <w:szCs w:val="24"/>
        </w:rPr>
        <w:br/>
      </w:r>
    </w:p>
    <w:p w:rsidR="00900B10" w:rsidRPr="00480C38" w:rsidRDefault="00900B10" w:rsidP="00900B10">
      <w:pPr>
        <w:jc w:val="center"/>
        <w:rPr>
          <w:rFonts w:ascii="Times New Roman" w:hAnsi="Times New Roman" w:cs="Times New Roman"/>
          <w:b/>
          <w:i/>
          <w:sz w:val="24"/>
          <w:szCs w:val="24"/>
        </w:rPr>
      </w:pPr>
      <w:r>
        <w:rPr>
          <w:rFonts w:ascii="Times New Roman" w:hAnsi="Times New Roman" w:cs="Times New Roman"/>
          <w:b/>
          <w:i/>
          <w:sz w:val="24"/>
          <w:szCs w:val="24"/>
        </w:rPr>
        <w:lastRenderedPageBreak/>
        <w:t>Table 7.6.  Three example scenarios: welfare effects measured as percentage loss in a year’s consumption</w:t>
      </w:r>
    </w:p>
    <w:tbl>
      <w:tblPr>
        <w:tblStyle w:val="TableGrid"/>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76"/>
        <w:gridCol w:w="1245"/>
        <w:gridCol w:w="1134"/>
        <w:gridCol w:w="1165"/>
        <w:gridCol w:w="992"/>
        <w:gridCol w:w="1134"/>
        <w:gridCol w:w="882"/>
      </w:tblGrid>
      <w:tr w:rsidR="00900B10" w:rsidTr="00900B10">
        <w:trPr>
          <w:trHeight w:val="597"/>
        </w:trPr>
        <w:tc>
          <w:tcPr>
            <w:tcW w:w="2376" w:type="dxa"/>
            <w:tcBorders>
              <w:top w:val="single" w:sz="18" w:space="0" w:color="7F7F7F" w:themeColor="text1" w:themeTint="80"/>
              <w:right w:val="single" w:sz="18" w:space="0" w:color="7F7F7F" w:themeColor="text1" w:themeTint="80"/>
            </w:tcBorders>
          </w:tcPr>
          <w:p w:rsidR="00900B10" w:rsidRPr="003F32A9" w:rsidRDefault="00900B10" w:rsidP="00900B10">
            <w:pPr>
              <w:rPr>
                <w:rFonts w:ascii="Times New Roman" w:hAnsi="Times New Roman" w:cs="Times New Roman"/>
                <w:b/>
              </w:rPr>
            </w:pPr>
            <w:r w:rsidRPr="003F32A9">
              <w:rPr>
                <w:rFonts w:ascii="Times New Roman" w:hAnsi="Times New Roman" w:cs="Times New Roman"/>
                <w:b/>
              </w:rPr>
              <w:t>Target region &amp; macro assumption</w:t>
            </w:r>
          </w:p>
        </w:tc>
        <w:tc>
          <w:tcPr>
            <w:tcW w:w="2379" w:type="dxa"/>
            <w:gridSpan w:val="2"/>
            <w:tcBorders>
              <w:top w:val="single" w:sz="18" w:space="0" w:color="7F7F7F" w:themeColor="text1" w:themeTint="80"/>
              <w:left w:val="single" w:sz="18" w:space="0" w:color="7F7F7F" w:themeColor="text1" w:themeTint="80"/>
              <w:right w:val="single" w:sz="18" w:space="0" w:color="7F7F7F" w:themeColor="text1" w:themeTint="80"/>
            </w:tcBorders>
          </w:tcPr>
          <w:p w:rsidR="00900B10" w:rsidRDefault="00900B10" w:rsidP="00900B10">
            <w:pPr>
              <w:ind w:right="-108"/>
              <w:rPr>
                <w:rFonts w:ascii="Times New Roman" w:hAnsi="Times New Roman" w:cs="Times New Roman"/>
                <w:b/>
              </w:rPr>
            </w:pPr>
            <w:r w:rsidRPr="003F32A9">
              <w:rPr>
                <w:rFonts w:ascii="Times New Roman" w:hAnsi="Times New Roman" w:cs="Times New Roman"/>
                <w:b/>
              </w:rPr>
              <w:t xml:space="preserve">S1: </w:t>
            </w:r>
            <w:r>
              <w:rPr>
                <w:rFonts w:ascii="Times New Roman" w:hAnsi="Times New Roman" w:cs="Times New Roman"/>
                <w:b/>
              </w:rPr>
              <w:t>Epidemic</w:t>
            </w:r>
          </w:p>
          <w:p w:rsidR="00900B10" w:rsidRDefault="00900B10" w:rsidP="00900B10">
            <w:pPr>
              <w:ind w:right="-108"/>
              <w:rPr>
                <w:rFonts w:ascii="Times New Roman" w:hAnsi="Times New Roman" w:cs="Times New Roman"/>
                <w:b/>
              </w:rPr>
            </w:pPr>
            <w:r>
              <w:rPr>
                <w:rFonts w:ascii="Times New Roman" w:hAnsi="Times New Roman" w:cs="Times New Roman"/>
                <w:b/>
              </w:rPr>
              <w:t>(</w:t>
            </w:r>
            <w:r w:rsidRPr="003F32A9">
              <w:rPr>
                <w:rFonts w:ascii="Times New Roman" w:hAnsi="Times New Roman" w:cs="Times New Roman"/>
                <w:b/>
                <w:i/>
                <w:sz w:val="20"/>
                <w:szCs w:val="20"/>
              </w:rPr>
              <w:t>death, health &amp; tourism scare</w:t>
            </w:r>
            <w:r>
              <w:rPr>
                <w:rFonts w:ascii="Times New Roman" w:hAnsi="Times New Roman" w:cs="Times New Roman"/>
                <w:b/>
              </w:rPr>
              <w:t>)</w:t>
            </w:r>
          </w:p>
          <w:p w:rsidR="00900B10" w:rsidRPr="003F32A9" w:rsidRDefault="00900B10" w:rsidP="00900B10">
            <w:pPr>
              <w:ind w:right="-108"/>
              <w:rPr>
                <w:rFonts w:ascii="Times New Roman" w:hAnsi="Times New Roman" w:cs="Times New Roman"/>
                <w:b/>
                <w:sz w:val="24"/>
                <w:szCs w:val="24"/>
              </w:rPr>
            </w:pPr>
          </w:p>
        </w:tc>
        <w:tc>
          <w:tcPr>
            <w:tcW w:w="2157" w:type="dxa"/>
            <w:gridSpan w:val="2"/>
            <w:tcBorders>
              <w:top w:val="single" w:sz="18" w:space="0" w:color="7F7F7F" w:themeColor="text1" w:themeTint="80"/>
              <w:left w:val="single" w:sz="18" w:space="0" w:color="7F7F7F" w:themeColor="text1" w:themeTint="80"/>
              <w:right w:val="single" w:sz="18" w:space="0" w:color="7F7F7F" w:themeColor="text1" w:themeTint="80"/>
            </w:tcBorders>
          </w:tcPr>
          <w:p w:rsidR="00900B10" w:rsidRDefault="00900B10" w:rsidP="00900B10">
            <w:pPr>
              <w:rPr>
                <w:rFonts w:ascii="Times New Roman" w:hAnsi="Times New Roman" w:cs="Times New Roman"/>
                <w:b/>
                <w:sz w:val="24"/>
                <w:szCs w:val="24"/>
              </w:rPr>
            </w:pPr>
            <w:r w:rsidRPr="003F32A9">
              <w:rPr>
                <w:rFonts w:ascii="Times New Roman" w:hAnsi="Times New Roman" w:cs="Times New Roman"/>
                <w:b/>
                <w:sz w:val="24"/>
                <w:szCs w:val="24"/>
              </w:rPr>
              <w:t>S</w:t>
            </w:r>
            <w:r>
              <w:rPr>
                <w:rFonts w:ascii="Times New Roman" w:hAnsi="Times New Roman" w:cs="Times New Roman"/>
                <w:b/>
                <w:sz w:val="24"/>
                <w:szCs w:val="24"/>
              </w:rPr>
              <w:t>2</w:t>
            </w:r>
            <w:r w:rsidRPr="003F32A9">
              <w:rPr>
                <w:rFonts w:ascii="Times New Roman" w:hAnsi="Times New Roman" w:cs="Times New Roman"/>
                <w:b/>
                <w:sz w:val="24"/>
                <w:szCs w:val="24"/>
              </w:rPr>
              <w:t>:</w:t>
            </w:r>
            <w:r>
              <w:rPr>
                <w:rFonts w:ascii="Times New Roman" w:hAnsi="Times New Roman" w:cs="Times New Roman"/>
                <w:b/>
                <w:sz w:val="24"/>
                <w:szCs w:val="24"/>
              </w:rPr>
              <w:t xml:space="preserve">  Dirty bomb</w:t>
            </w:r>
          </w:p>
          <w:p w:rsidR="00900B10" w:rsidRDefault="00900B10" w:rsidP="00900B10">
            <w:pPr>
              <w:rPr>
                <w:rFonts w:ascii="Times New Roman" w:hAnsi="Times New Roman" w:cs="Times New Roman"/>
                <w:b/>
              </w:rPr>
            </w:pPr>
            <w:r>
              <w:rPr>
                <w:rFonts w:ascii="Times New Roman" w:hAnsi="Times New Roman" w:cs="Times New Roman"/>
                <w:b/>
                <w:sz w:val="24"/>
                <w:szCs w:val="24"/>
              </w:rPr>
              <w:t>(</w:t>
            </w:r>
            <w:r w:rsidRPr="003F32A9">
              <w:rPr>
                <w:rFonts w:ascii="Times New Roman" w:hAnsi="Times New Roman" w:cs="Times New Roman"/>
                <w:b/>
                <w:i/>
                <w:sz w:val="20"/>
                <w:szCs w:val="20"/>
              </w:rPr>
              <w:t>decontamination  &amp; aversion</w:t>
            </w:r>
            <w:r>
              <w:rPr>
                <w:rFonts w:ascii="Times New Roman" w:hAnsi="Times New Roman" w:cs="Times New Roman"/>
                <w:b/>
                <w:sz w:val="24"/>
                <w:szCs w:val="24"/>
              </w:rPr>
              <w:t>)</w:t>
            </w:r>
          </w:p>
        </w:tc>
        <w:tc>
          <w:tcPr>
            <w:tcW w:w="2016" w:type="dxa"/>
            <w:gridSpan w:val="2"/>
            <w:tcBorders>
              <w:top w:val="single" w:sz="18" w:space="0" w:color="7F7F7F" w:themeColor="text1" w:themeTint="80"/>
              <w:left w:val="single" w:sz="18" w:space="0" w:color="7F7F7F" w:themeColor="text1" w:themeTint="80"/>
            </w:tcBorders>
          </w:tcPr>
          <w:p w:rsidR="00900B10" w:rsidRDefault="00900B10" w:rsidP="00900B10">
            <w:pPr>
              <w:tabs>
                <w:tab w:val="decimal" w:pos="885"/>
              </w:tabs>
              <w:rPr>
                <w:rFonts w:ascii="Times New Roman" w:hAnsi="Times New Roman" w:cs="Times New Roman"/>
                <w:b/>
              </w:rPr>
            </w:pPr>
            <w:r>
              <w:rPr>
                <w:rFonts w:ascii="Times New Roman" w:hAnsi="Times New Roman" w:cs="Times New Roman"/>
                <w:b/>
              </w:rPr>
              <w:t>S3: Food contamination</w:t>
            </w:r>
          </w:p>
        </w:tc>
      </w:tr>
      <w:tr w:rsidR="00900B10" w:rsidTr="00900B10">
        <w:trPr>
          <w:trHeight w:val="597"/>
        </w:trPr>
        <w:tc>
          <w:tcPr>
            <w:tcW w:w="2376" w:type="dxa"/>
            <w:tcBorders>
              <w:top w:val="single" w:sz="18" w:space="0" w:color="7F7F7F" w:themeColor="text1" w:themeTint="80"/>
              <w:right w:val="single" w:sz="18" w:space="0" w:color="7F7F7F" w:themeColor="text1" w:themeTint="80"/>
            </w:tcBorders>
          </w:tcPr>
          <w:p w:rsidR="00900B10" w:rsidRPr="003F32A9" w:rsidRDefault="00900B10" w:rsidP="00900B10">
            <w:pPr>
              <w:jc w:val="right"/>
              <w:rPr>
                <w:rFonts w:ascii="Times New Roman" w:hAnsi="Times New Roman" w:cs="Times New Roman"/>
                <w:b/>
              </w:rPr>
            </w:pPr>
            <w:r>
              <w:rPr>
                <w:rFonts w:ascii="Times New Roman" w:hAnsi="Times New Roman" w:cs="Times New Roman"/>
                <w:b/>
              </w:rPr>
              <w:t>Discount rate</w:t>
            </w:r>
          </w:p>
        </w:tc>
        <w:tc>
          <w:tcPr>
            <w:tcW w:w="1245" w:type="dxa"/>
            <w:tcBorders>
              <w:top w:val="single" w:sz="18" w:space="0" w:color="7F7F7F" w:themeColor="text1" w:themeTint="80"/>
              <w:left w:val="single" w:sz="18" w:space="0" w:color="7F7F7F" w:themeColor="text1" w:themeTint="80"/>
              <w:right w:val="single" w:sz="18" w:space="0" w:color="7F7F7F" w:themeColor="text1" w:themeTint="80"/>
            </w:tcBorders>
          </w:tcPr>
          <w:p w:rsidR="00900B10" w:rsidRPr="003F32A9" w:rsidRDefault="00900B10" w:rsidP="00900B10">
            <w:pPr>
              <w:ind w:right="-108"/>
              <w:jc w:val="center"/>
              <w:rPr>
                <w:rFonts w:ascii="Times New Roman" w:hAnsi="Times New Roman" w:cs="Times New Roman"/>
                <w:b/>
              </w:rPr>
            </w:pPr>
            <w:r>
              <w:rPr>
                <w:rFonts w:ascii="Times New Roman" w:hAnsi="Times New Roman" w:cs="Times New Roman"/>
                <w:b/>
              </w:rPr>
              <w:t>0.05</w:t>
            </w:r>
          </w:p>
        </w:tc>
        <w:tc>
          <w:tcPr>
            <w:tcW w:w="1134" w:type="dxa"/>
            <w:tcBorders>
              <w:top w:val="single" w:sz="18" w:space="0" w:color="7F7F7F" w:themeColor="text1" w:themeTint="80"/>
              <w:left w:val="single" w:sz="18" w:space="0" w:color="7F7F7F" w:themeColor="text1" w:themeTint="80"/>
              <w:right w:val="single" w:sz="18" w:space="0" w:color="7F7F7F" w:themeColor="text1" w:themeTint="80"/>
            </w:tcBorders>
          </w:tcPr>
          <w:p w:rsidR="00900B10" w:rsidRPr="003F32A9" w:rsidRDefault="00900B10" w:rsidP="00900B10">
            <w:pPr>
              <w:jc w:val="center"/>
              <w:rPr>
                <w:rFonts w:ascii="Times New Roman" w:hAnsi="Times New Roman" w:cs="Times New Roman"/>
                <w:b/>
                <w:sz w:val="24"/>
                <w:szCs w:val="24"/>
              </w:rPr>
            </w:pPr>
            <w:r>
              <w:rPr>
                <w:rFonts w:ascii="Times New Roman" w:hAnsi="Times New Roman" w:cs="Times New Roman"/>
                <w:b/>
                <w:sz w:val="24"/>
                <w:szCs w:val="24"/>
              </w:rPr>
              <w:t>0.02</w:t>
            </w:r>
          </w:p>
        </w:tc>
        <w:tc>
          <w:tcPr>
            <w:tcW w:w="1165" w:type="dxa"/>
            <w:tcBorders>
              <w:top w:val="single" w:sz="18" w:space="0" w:color="7F7F7F" w:themeColor="text1" w:themeTint="80"/>
              <w:left w:val="single" w:sz="18" w:space="0" w:color="7F7F7F" w:themeColor="text1" w:themeTint="80"/>
              <w:right w:val="single" w:sz="18" w:space="0" w:color="7F7F7F" w:themeColor="text1" w:themeTint="80"/>
            </w:tcBorders>
          </w:tcPr>
          <w:p w:rsidR="00900B10" w:rsidRPr="003F32A9" w:rsidRDefault="00900B10" w:rsidP="00900B10">
            <w:pPr>
              <w:ind w:right="-108"/>
              <w:jc w:val="center"/>
              <w:rPr>
                <w:rFonts w:ascii="Times New Roman" w:hAnsi="Times New Roman" w:cs="Times New Roman"/>
                <w:b/>
              </w:rPr>
            </w:pPr>
            <w:r>
              <w:rPr>
                <w:rFonts w:ascii="Times New Roman" w:hAnsi="Times New Roman" w:cs="Times New Roman"/>
                <w:b/>
              </w:rPr>
              <w:t>0.05</w:t>
            </w:r>
          </w:p>
        </w:tc>
        <w:tc>
          <w:tcPr>
            <w:tcW w:w="992" w:type="dxa"/>
            <w:tcBorders>
              <w:top w:val="single" w:sz="18" w:space="0" w:color="7F7F7F" w:themeColor="text1" w:themeTint="80"/>
              <w:left w:val="single" w:sz="18" w:space="0" w:color="7F7F7F" w:themeColor="text1" w:themeTint="80"/>
              <w:right w:val="single" w:sz="18" w:space="0" w:color="7F7F7F" w:themeColor="text1" w:themeTint="80"/>
            </w:tcBorders>
          </w:tcPr>
          <w:p w:rsidR="00900B10" w:rsidRPr="003F32A9" w:rsidRDefault="00900B10" w:rsidP="00900B10">
            <w:pPr>
              <w:jc w:val="center"/>
              <w:rPr>
                <w:rFonts w:ascii="Times New Roman" w:hAnsi="Times New Roman" w:cs="Times New Roman"/>
                <w:b/>
                <w:sz w:val="24"/>
                <w:szCs w:val="24"/>
              </w:rPr>
            </w:pPr>
            <w:r>
              <w:rPr>
                <w:rFonts w:ascii="Times New Roman" w:hAnsi="Times New Roman" w:cs="Times New Roman"/>
                <w:b/>
                <w:sz w:val="24"/>
                <w:szCs w:val="24"/>
              </w:rPr>
              <w:t>0.02</w:t>
            </w:r>
          </w:p>
        </w:tc>
        <w:tc>
          <w:tcPr>
            <w:tcW w:w="1134" w:type="dxa"/>
            <w:tcBorders>
              <w:top w:val="single" w:sz="18" w:space="0" w:color="7F7F7F" w:themeColor="text1" w:themeTint="80"/>
              <w:left w:val="single" w:sz="18" w:space="0" w:color="7F7F7F" w:themeColor="text1" w:themeTint="80"/>
            </w:tcBorders>
          </w:tcPr>
          <w:p w:rsidR="00900B10" w:rsidRPr="003F32A9" w:rsidRDefault="00900B10" w:rsidP="00900B10">
            <w:pPr>
              <w:ind w:right="-108"/>
              <w:jc w:val="center"/>
              <w:rPr>
                <w:rFonts w:ascii="Times New Roman" w:hAnsi="Times New Roman" w:cs="Times New Roman"/>
                <w:b/>
              </w:rPr>
            </w:pPr>
            <w:r>
              <w:rPr>
                <w:rFonts w:ascii="Times New Roman" w:hAnsi="Times New Roman" w:cs="Times New Roman"/>
                <w:b/>
              </w:rPr>
              <w:t>0.05</w:t>
            </w:r>
          </w:p>
        </w:tc>
        <w:tc>
          <w:tcPr>
            <w:tcW w:w="882" w:type="dxa"/>
            <w:tcBorders>
              <w:top w:val="single" w:sz="18" w:space="0" w:color="7F7F7F" w:themeColor="text1" w:themeTint="80"/>
              <w:left w:val="single" w:sz="18" w:space="0" w:color="7F7F7F" w:themeColor="text1" w:themeTint="80"/>
            </w:tcBorders>
          </w:tcPr>
          <w:p w:rsidR="00900B10" w:rsidRPr="003F32A9" w:rsidRDefault="00900B10" w:rsidP="00900B10">
            <w:pPr>
              <w:jc w:val="center"/>
              <w:rPr>
                <w:rFonts w:ascii="Times New Roman" w:hAnsi="Times New Roman" w:cs="Times New Roman"/>
                <w:b/>
                <w:sz w:val="24"/>
                <w:szCs w:val="24"/>
              </w:rPr>
            </w:pPr>
            <w:r>
              <w:rPr>
                <w:rFonts w:ascii="Times New Roman" w:hAnsi="Times New Roman" w:cs="Times New Roman"/>
                <w:b/>
                <w:sz w:val="24"/>
                <w:szCs w:val="24"/>
              </w:rPr>
              <w:t>0.02</w:t>
            </w:r>
          </w:p>
        </w:tc>
      </w:tr>
      <w:tr w:rsidR="00900B10" w:rsidTr="00900B10">
        <w:tc>
          <w:tcPr>
            <w:tcW w:w="2376" w:type="dxa"/>
            <w:tcBorders>
              <w:top w:val="single" w:sz="18" w:space="0" w:color="7F7F7F" w:themeColor="text1" w:themeTint="80"/>
              <w:right w:val="single" w:sz="18" w:space="0" w:color="7F7F7F" w:themeColor="text1" w:themeTint="80"/>
            </w:tcBorders>
          </w:tcPr>
          <w:p w:rsidR="00900B10" w:rsidRPr="0065310C" w:rsidRDefault="00900B10" w:rsidP="00900B10">
            <w:pPr>
              <w:rPr>
                <w:rFonts w:ascii="Times New Roman" w:hAnsi="Times New Roman" w:cs="Times New Roman"/>
                <w:b/>
                <w:i/>
                <w:sz w:val="20"/>
                <w:szCs w:val="20"/>
              </w:rPr>
            </w:pPr>
            <w:r w:rsidRPr="0065310C">
              <w:rPr>
                <w:rFonts w:ascii="Times New Roman" w:hAnsi="Times New Roman" w:cs="Times New Roman"/>
                <w:b/>
                <w:i/>
                <w:sz w:val="20"/>
                <w:szCs w:val="20"/>
              </w:rPr>
              <w:t>FL24 (Miami)</w:t>
            </w:r>
          </w:p>
        </w:tc>
        <w:tc>
          <w:tcPr>
            <w:tcW w:w="1245" w:type="dxa"/>
            <w:tcBorders>
              <w:top w:val="single" w:sz="18" w:space="0" w:color="7F7F7F" w:themeColor="text1" w:themeTint="80"/>
              <w:left w:val="single" w:sz="18" w:space="0" w:color="7F7F7F" w:themeColor="text1" w:themeTint="80"/>
              <w:right w:val="single" w:sz="18" w:space="0" w:color="7F7F7F" w:themeColor="text1" w:themeTint="80"/>
            </w:tcBorders>
            <w:vAlign w:val="bottom"/>
          </w:tcPr>
          <w:p w:rsidR="00900B10" w:rsidRPr="0065310C" w:rsidRDefault="00900B10" w:rsidP="00900B10">
            <w:pPr>
              <w:tabs>
                <w:tab w:val="decimal" w:pos="1092"/>
              </w:tabs>
              <w:ind w:right="-108"/>
              <w:rPr>
                <w:rFonts w:ascii="Times New Roman" w:hAnsi="Times New Roman" w:cs="Times New Roman"/>
                <w:color w:val="000000"/>
                <w:sz w:val="20"/>
                <w:szCs w:val="20"/>
              </w:rPr>
            </w:pPr>
          </w:p>
        </w:tc>
        <w:tc>
          <w:tcPr>
            <w:tcW w:w="1134" w:type="dxa"/>
            <w:tcBorders>
              <w:top w:val="single" w:sz="18" w:space="0" w:color="7F7F7F" w:themeColor="text1" w:themeTint="80"/>
              <w:left w:val="single" w:sz="18" w:space="0" w:color="7F7F7F" w:themeColor="text1" w:themeTint="80"/>
              <w:right w:val="single" w:sz="18" w:space="0" w:color="7F7F7F" w:themeColor="text1" w:themeTint="80"/>
            </w:tcBorders>
          </w:tcPr>
          <w:p w:rsidR="00900B10" w:rsidRPr="0065310C" w:rsidRDefault="00900B10" w:rsidP="00900B10">
            <w:pPr>
              <w:tabs>
                <w:tab w:val="decimal" w:pos="1092"/>
              </w:tabs>
              <w:rPr>
                <w:rFonts w:ascii="Times New Roman" w:hAnsi="Times New Roman" w:cs="Times New Roman"/>
                <w:color w:val="000000"/>
                <w:sz w:val="20"/>
                <w:szCs w:val="20"/>
              </w:rPr>
            </w:pPr>
          </w:p>
        </w:tc>
        <w:tc>
          <w:tcPr>
            <w:tcW w:w="1165" w:type="dxa"/>
            <w:tcBorders>
              <w:top w:val="single" w:sz="18" w:space="0" w:color="7F7F7F" w:themeColor="text1" w:themeTint="80"/>
              <w:left w:val="single" w:sz="18" w:space="0" w:color="7F7F7F" w:themeColor="text1" w:themeTint="80"/>
              <w:right w:val="single" w:sz="18" w:space="0" w:color="7F7F7F" w:themeColor="text1" w:themeTint="80"/>
            </w:tcBorders>
            <w:vAlign w:val="bottom"/>
          </w:tcPr>
          <w:p w:rsidR="00900B10" w:rsidRPr="0065310C" w:rsidRDefault="00900B10" w:rsidP="00900B10">
            <w:pPr>
              <w:tabs>
                <w:tab w:val="decimal" w:pos="1092"/>
              </w:tabs>
              <w:rPr>
                <w:rFonts w:ascii="Times New Roman" w:hAnsi="Times New Roman" w:cs="Times New Roman"/>
                <w:color w:val="000000"/>
                <w:sz w:val="20"/>
                <w:szCs w:val="20"/>
              </w:rPr>
            </w:pPr>
          </w:p>
        </w:tc>
        <w:tc>
          <w:tcPr>
            <w:tcW w:w="992" w:type="dxa"/>
            <w:tcBorders>
              <w:top w:val="single" w:sz="18" w:space="0" w:color="7F7F7F" w:themeColor="text1" w:themeTint="80"/>
              <w:left w:val="single" w:sz="18" w:space="0" w:color="7F7F7F" w:themeColor="text1" w:themeTint="80"/>
              <w:right w:val="single" w:sz="18" w:space="0" w:color="7F7F7F" w:themeColor="text1" w:themeTint="80"/>
            </w:tcBorders>
          </w:tcPr>
          <w:p w:rsidR="00900B10" w:rsidRPr="0065310C" w:rsidRDefault="00900B10" w:rsidP="00900B10">
            <w:pPr>
              <w:tabs>
                <w:tab w:val="decimal" w:pos="1092"/>
              </w:tabs>
              <w:rPr>
                <w:rFonts w:ascii="Times New Roman" w:hAnsi="Times New Roman" w:cs="Times New Roman"/>
                <w:color w:val="000000"/>
                <w:sz w:val="20"/>
                <w:szCs w:val="20"/>
              </w:rPr>
            </w:pPr>
          </w:p>
        </w:tc>
        <w:tc>
          <w:tcPr>
            <w:tcW w:w="1134" w:type="dxa"/>
            <w:tcBorders>
              <w:top w:val="single" w:sz="18" w:space="0" w:color="7F7F7F" w:themeColor="text1" w:themeTint="80"/>
              <w:left w:val="single" w:sz="18" w:space="0" w:color="7F7F7F" w:themeColor="text1" w:themeTint="80"/>
            </w:tcBorders>
            <w:vAlign w:val="bottom"/>
          </w:tcPr>
          <w:p w:rsidR="00900B10" w:rsidRPr="0065310C" w:rsidRDefault="00900B10" w:rsidP="00900B10">
            <w:pPr>
              <w:tabs>
                <w:tab w:val="decimal" w:pos="885"/>
                <w:tab w:val="decimal" w:pos="1092"/>
              </w:tabs>
              <w:rPr>
                <w:rFonts w:ascii="Times New Roman" w:hAnsi="Times New Roman" w:cs="Times New Roman"/>
                <w:color w:val="000000"/>
                <w:sz w:val="20"/>
                <w:szCs w:val="20"/>
              </w:rPr>
            </w:pPr>
          </w:p>
        </w:tc>
        <w:tc>
          <w:tcPr>
            <w:tcW w:w="882" w:type="dxa"/>
            <w:tcBorders>
              <w:top w:val="single" w:sz="18" w:space="0" w:color="7F7F7F" w:themeColor="text1" w:themeTint="80"/>
              <w:left w:val="single" w:sz="18" w:space="0" w:color="7F7F7F" w:themeColor="text1" w:themeTint="80"/>
            </w:tcBorders>
          </w:tcPr>
          <w:p w:rsidR="00900B10" w:rsidRPr="0065310C" w:rsidRDefault="00900B10" w:rsidP="00900B10">
            <w:pPr>
              <w:tabs>
                <w:tab w:val="decimal" w:pos="885"/>
                <w:tab w:val="decimal" w:pos="1092"/>
              </w:tabs>
              <w:rPr>
                <w:rFonts w:ascii="Times New Roman" w:hAnsi="Times New Roman" w:cs="Times New Roman"/>
                <w:color w:val="000000"/>
                <w:sz w:val="20"/>
                <w:szCs w:val="20"/>
              </w:rPr>
            </w:pPr>
          </w:p>
        </w:tc>
      </w:tr>
      <w:tr w:rsidR="00900B10" w:rsidTr="00900B10">
        <w:tc>
          <w:tcPr>
            <w:tcW w:w="2376" w:type="dxa"/>
            <w:tcBorders>
              <w:right w:val="single" w:sz="18" w:space="0" w:color="7F7F7F" w:themeColor="text1" w:themeTint="80"/>
            </w:tcBorders>
          </w:tcPr>
          <w:p w:rsidR="00900B10" w:rsidRPr="0065310C" w:rsidRDefault="00900B10" w:rsidP="00900B10">
            <w:pPr>
              <w:rPr>
                <w:rFonts w:ascii="Times New Roman" w:hAnsi="Times New Roman" w:cs="Times New Roman"/>
                <w:sz w:val="20"/>
                <w:szCs w:val="20"/>
              </w:rPr>
            </w:pPr>
            <w:r w:rsidRPr="0065310C">
              <w:rPr>
                <w:rFonts w:ascii="Times New Roman" w:hAnsi="Times New Roman" w:cs="Times New Roman"/>
                <w:sz w:val="20"/>
                <w:szCs w:val="20"/>
              </w:rPr>
              <w:t>Keynesian</w:t>
            </w:r>
          </w:p>
        </w:tc>
        <w:tc>
          <w:tcPr>
            <w:tcW w:w="1245" w:type="dxa"/>
            <w:tcBorders>
              <w:left w:val="single" w:sz="18" w:space="0" w:color="7F7F7F" w:themeColor="text1" w:themeTint="80"/>
              <w:right w:val="single" w:sz="18" w:space="0" w:color="7F7F7F" w:themeColor="text1" w:themeTint="80"/>
            </w:tcBorders>
            <w:vAlign w:val="bottom"/>
          </w:tcPr>
          <w:p w:rsidR="00900B10" w:rsidRPr="0065310C" w:rsidRDefault="00900B10" w:rsidP="00900B10">
            <w:pPr>
              <w:jc w:val="right"/>
              <w:rPr>
                <w:rFonts w:ascii="Times New Roman" w:hAnsi="Times New Roman" w:cs="Times New Roman"/>
                <w:color w:val="000000"/>
                <w:sz w:val="20"/>
                <w:szCs w:val="20"/>
              </w:rPr>
            </w:pPr>
            <w:r w:rsidRPr="0065310C">
              <w:rPr>
                <w:rFonts w:ascii="Times New Roman" w:hAnsi="Times New Roman" w:cs="Times New Roman"/>
                <w:color w:val="000000"/>
                <w:sz w:val="20"/>
                <w:szCs w:val="20"/>
              </w:rPr>
              <w:t>-3.8263</w:t>
            </w:r>
          </w:p>
        </w:tc>
        <w:tc>
          <w:tcPr>
            <w:tcW w:w="1134" w:type="dxa"/>
            <w:tcBorders>
              <w:left w:val="single" w:sz="18" w:space="0" w:color="7F7F7F" w:themeColor="text1" w:themeTint="80"/>
              <w:right w:val="single" w:sz="18" w:space="0" w:color="7F7F7F" w:themeColor="text1" w:themeTint="80"/>
            </w:tcBorders>
            <w:vAlign w:val="bottom"/>
          </w:tcPr>
          <w:p w:rsidR="00900B10" w:rsidRPr="0065310C" w:rsidRDefault="00900B10" w:rsidP="00900B10">
            <w:pPr>
              <w:jc w:val="right"/>
              <w:rPr>
                <w:rFonts w:ascii="Times New Roman" w:hAnsi="Times New Roman" w:cs="Times New Roman"/>
                <w:color w:val="000000"/>
                <w:sz w:val="20"/>
                <w:szCs w:val="20"/>
              </w:rPr>
            </w:pPr>
            <w:r w:rsidRPr="0065310C">
              <w:rPr>
                <w:rFonts w:ascii="Times New Roman" w:hAnsi="Times New Roman" w:cs="Times New Roman"/>
                <w:color w:val="000000"/>
                <w:sz w:val="20"/>
                <w:szCs w:val="20"/>
              </w:rPr>
              <w:t>-3.9485</w:t>
            </w:r>
          </w:p>
        </w:tc>
        <w:tc>
          <w:tcPr>
            <w:tcW w:w="1165" w:type="dxa"/>
            <w:tcBorders>
              <w:left w:val="single" w:sz="18" w:space="0" w:color="7F7F7F" w:themeColor="text1" w:themeTint="80"/>
              <w:right w:val="single" w:sz="18" w:space="0" w:color="7F7F7F" w:themeColor="text1" w:themeTint="80"/>
            </w:tcBorders>
            <w:vAlign w:val="bottom"/>
          </w:tcPr>
          <w:p w:rsidR="00900B10" w:rsidRPr="0065310C" w:rsidRDefault="00900B10" w:rsidP="00900B10">
            <w:pPr>
              <w:jc w:val="right"/>
              <w:rPr>
                <w:rFonts w:ascii="Times New Roman" w:hAnsi="Times New Roman" w:cs="Times New Roman"/>
                <w:color w:val="000000"/>
                <w:sz w:val="20"/>
                <w:szCs w:val="20"/>
              </w:rPr>
            </w:pPr>
            <w:r w:rsidRPr="0065310C">
              <w:rPr>
                <w:rFonts w:ascii="Times New Roman" w:hAnsi="Times New Roman" w:cs="Times New Roman"/>
                <w:color w:val="000000"/>
                <w:sz w:val="20"/>
                <w:szCs w:val="20"/>
              </w:rPr>
              <w:t>-0.3120</w:t>
            </w:r>
          </w:p>
        </w:tc>
        <w:tc>
          <w:tcPr>
            <w:tcW w:w="992" w:type="dxa"/>
            <w:tcBorders>
              <w:left w:val="single" w:sz="18" w:space="0" w:color="7F7F7F" w:themeColor="text1" w:themeTint="80"/>
              <w:right w:val="single" w:sz="18" w:space="0" w:color="7F7F7F" w:themeColor="text1" w:themeTint="80"/>
            </w:tcBorders>
            <w:vAlign w:val="bottom"/>
          </w:tcPr>
          <w:p w:rsidR="00900B10" w:rsidRPr="0065310C" w:rsidRDefault="00900B10" w:rsidP="00900B10">
            <w:pPr>
              <w:jc w:val="right"/>
              <w:rPr>
                <w:rFonts w:ascii="Times New Roman" w:hAnsi="Times New Roman" w:cs="Times New Roman"/>
                <w:color w:val="000000"/>
                <w:sz w:val="20"/>
                <w:szCs w:val="20"/>
              </w:rPr>
            </w:pPr>
            <w:r w:rsidRPr="0065310C">
              <w:rPr>
                <w:rFonts w:ascii="Times New Roman" w:hAnsi="Times New Roman" w:cs="Times New Roman"/>
                <w:color w:val="000000"/>
                <w:sz w:val="20"/>
                <w:szCs w:val="20"/>
              </w:rPr>
              <w:t>-0.5021</w:t>
            </w:r>
          </w:p>
        </w:tc>
        <w:tc>
          <w:tcPr>
            <w:tcW w:w="1134" w:type="dxa"/>
            <w:tcBorders>
              <w:left w:val="single" w:sz="18" w:space="0" w:color="7F7F7F" w:themeColor="text1" w:themeTint="80"/>
            </w:tcBorders>
            <w:vAlign w:val="bottom"/>
          </w:tcPr>
          <w:p w:rsidR="00900B10" w:rsidRPr="0065310C" w:rsidRDefault="00900B10" w:rsidP="00900B10">
            <w:pPr>
              <w:jc w:val="right"/>
              <w:rPr>
                <w:rFonts w:ascii="Times New Roman" w:hAnsi="Times New Roman" w:cs="Times New Roman"/>
                <w:color w:val="000000"/>
                <w:sz w:val="20"/>
                <w:szCs w:val="20"/>
              </w:rPr>
            </w:pPr>
            <w:r w:rsidRPr="0065310C">
              <w:rPr>
                <w:rFonts w:ascii="Times New Roman" w:hAnsi="Times New Roman" w:cs="Times New Roman"/>
                <w:color w:val="000000"/>
                <w:sz w:val="20"/>
                <w:szCs w:val="20"/>
              </w:rPr>
              <w:t>-0.1545</w:t>
            </w:r>
          </w:p>
        </w:tc>
        <w:tc>
          <w:tcPr>
            <w:tcW w:w="882" w:type="dxa"/>
            <w:tcBorders>
              <w:left w:val="single" w:sz="18" w:space="0" w:color="7F7F7F" w:themeColor="text1" w:themeTint="80"/>
            </w:tcBorders>
            <w:vAlign w:val="bottom"/>
          </w:tcPr>
          <w:p w:rsidR="00900B10" w:rsidRPr="0065310C" w:rsidRDefault="00900B10" w:rsidP="00900B10">
            <w:pPr>
              <w:jc w:val="right"/>
              <w:rPr>
                <w:rFonts w:ascii="Times New Roman" w:hAnsi="Times New Roman" w:cs="Times New Roman"/>
                <w:color w:val="000000"/>
                <w:sz w:val="20"/>
                <w:szCs w:val="20"/>
              </w:rPr>
            </w:pPr>
            <w:r w:rsidRPr="0065310C">
              <w:rPr>
                <w:rFonts w:ascii="Times New Roman" w:hAnsi="Times New Roman" w:cs="Times New Roman"/>
                <w:color w:val="000000"/>
                <w:sz w:val="20"/>
                <w:szCs w:val="20"/>
              </w:rPr>
              <w:t>-0.1607</w:t>
            </w:r>
          </w:p>
        </w:tc>
      </w:tr>
      <w:tr w:rsidR="00900B10" w:rsidTr="00900B10">
        <w:tc>
          <w:tcPr>
            <w:tcW w:w="2376" w:type="dxa"/>
            <w:tcBorders>
              <w:bottom w:val="single" w:sz="8" w:space="0" w:color="7F7F7F" w:themeColor="text1" w:themeTint="80"/>
              <w:right w:val="single" w:sz="18" w:space="0" w:color="7F7F7F" w:themeColor="text1" w:themeTint="80"/>
            </w:tcBorders>
          </w:tcPr>
          <w:p w:rsidR="00900B10" w:rsidRPr="0065310C" w:rsidRDefault="00900B10" w:rsidP="00900B10">
            <w:pPr>
              <w:rPr>
                <w:rFonts w:ascii="Times New Roman" w:hAnsi="Times New Roman" w:cs="Times New Roman"/>
                <w:sz w:val="20"/>
                <w:szCs w:val="20"/>
              </w:rPr>
            </w:pPr>
            <w:r w:rsidRPr="0065310C">
              <w:rPr>
                <w:rFonts w:ascii="Times New Roman" w:hAnsi="Times New Roman" w:cs="Times New Roman"/>
                <w:sz w:val="20"/>
                <w:szCs w:val="20"/>
              </w:rPr>
              <w:t>Neoclassical</w:t>
            </w:r>
          </w:p>
        </w:tc>
        <w:tc>
          <w:tcPr>
            <w:tcW w:w="1245" w:type="dxa"/>
            <w:tcBorders>
              <w:left w:val="single" w:sz="18" w:space="0" w:color="7F7F7F" w:themeColor="text1" w:themeTint="80"/>
              <w:bottom w:val="single" w:sz="8" w:space="0" w:color="7F7F7F" w:themeColor="text1" w:themeTint="80"/>
              <w:right w:val="single" w:sz="18" w:space="0" w:color="7F7F7F" w:themeColor="text1" w:themeTint="80"/>
            </w:tcBorders>
            <w:vAlign w:val="bottom"/>
          </w:tcPr>
          <w:p w:rsidR="00900B10" w:rsidRPr="0065310C" w:rsidRDefault="00900B10" w:rsidP="00900B10">
            <w:pPr>
              <w:jc w:val="right"/>
              <w:rPr>
                <w:rFonts w:ascii="Times New Roman" w:hAnsi="Times New Roman" w:cs="Times New Roman"/>
                <w:color w:val="000000"/>
                <w:sz w:val="20"/>
                <w:szCs w:val="20"/>
              </w:rPr>
            </w:pPr>
            <w:r w:rsidRPr="0065310C">
              <w:rPr>
                <w:rFonts w:ascii="Times New Roman" w:hAnsi="Times New Roman" w:cs="Times New Roman"/>
                <w:color w:val="000000"/>
                <w:sz w:val="20"/>
                <w:szCs w:val="20"/>
              </w:rPr>
              <w:t>-3.6947</w:t>
            </w:r>
          </w:p>
        </w:tc>
        <w:tc>
          <w:tcPr>
            <w:tcW w:w="1134" w:type="dxa"/>
            <w:tcBorders>
              <w:left w:val="single" w:sz="18" w:space="0" w:color="7F7F7F" w:themeColor="text1" w:themeTint="80"/>
              <w:bottom w:val="single" w:sz="8" w:space="0" w:color="7F7F7F" w:themeColor="text1" w:themeTint="80"/>
              <w:right w:val="single" w:sz="18" w:space="0" w:color="7F7F7F" w:themeColor="text1" w:themeTint="80"/>
            </w:tcBorders>
            <w:vAlign w:val="bottom"/>
          </w:tcPr>
          <w:p w:rsidR="00900B10" w:rsidRPr="0065310C" w:rsidRDefault="00900B10" w:rsidP="00900B10">
            <w:pPr>
              <w:jc w:val="right"/>
              <w:rPr>
                <w:rFonts w:ascii="Times New Roman" w:hAnsi="Times New Roman" w:cs="Times New Roman"/>
                <w:color w:val="000000"/>
                <w:sz w:val="20"/>
                <w:szCs w:val="20"/>
              </w:rPr>
            </w:pPr>
            <w:r w:rsidRPr="0065310C">
              <w:rPr>
                <w:rFonts w:ascii="Times New Roman" w:hAnsi="Times New Roman" w:cs="Times New Roman"/>
                <w:color w:val="000000"/>
                <w:sz w:val="20"/>
                <w:szCs w:val="20"/>
              </w:rPr>
              <w:t>-3.8198</w:t>
            </w:r>
          </w:p>
        </w:tc>
        <w:tc>
          <w:tcPr>
            <w:tcW w:w="1165" w:type="dxa"/>
            <w:tcBorders>
              <w:left w:val="single" w:sz="18" w:space="0" w:color="7F7F7F" w:themeColor="text1" w:themeTint="80"/>
              <w:bottom w:val="single" w:sz="8" w:space="0" w:color="7F7F7F" w:themeColor="text1" w:themeTint="80"/>
              <w:right w:val="single" w:sz="18" w:space="0" w:color="7F7F7F" w:themeColor="text1" w:themeTint="80"/>
            </w:tcBorders>
            <w:vAlign w:val="bottom"/>
          </w:tcPr>
          <w:p w:rsidR="00900B10" w:rsidRPr="0065310C" w:rsidRDefault="00900B10" w:rsidP="00900B10">
            <w:pPr>
              <w:jc w:val="right"/>
              <w:rPr>
                <w:rFonts w:ascii="Times New Roman" w:hAnsi="Times New Roman" w:cs="Times New Roman"/>
                <w:color w:val="000000"/>
                <w:sz w:val="20"/>
                <w:szCs w:val="20"/>
              </w:rPr>
            </w:pPr>
            <w:r w:rsidRPr="0065310C">
              <w:rPr>
                <w:rFonts w:ascii="Times New Roman" w:hAnsi="Times New Roman" w:cs="Times New Roman"/>
                <w:color w:val="000000"/>
                <w:sz w:val="20"/>
                <w:szCs w:val="20"/>
              </w:rPr>
              <w:t>-0.4396</w:t>
            </w:r>
          </w:p>
        </w:tc>
        <w:tc>
          <w:tcPr>
            <w:tcW w:w="992" w:type="dxa"/>
            <w:tcBorders>
              <w:left w:val="single" w:sz="18" w:space="0" w:color="7F7F7F" w:themeColor="text1" w:themeTint="80"/>
              <w:bottom w:val="single" w:sz="8" w:space="0" w:color="7F7F7F" w:themeColor="text1" w:themeTint="80"/>
              <w:right w:val="single" w:sz="18" w:space="0" w:color="7F7F7F" w:themeColor="text1" w:themeTint="80"/>
            </w:tcBorders>
            <w:vAlign w:val="bottom"/>
          </w:tcPr>
          <w:p w:rsidR="00900B10" w:rsidRPr="0065310C" w:rsidRDefault="00900B10" w:rsidP="00900B10">
            <w:pPr>
              <w:jc w:val="right"/>
              <w:rPr>
                <w:rFonts w:ascii="Times New Roman" w:hAnsi="Times New Roman" w:cs="Times New Roman"/>
                <w:color w:val="000000"/>
                <w:sz w:val="20"/>
                <w:szCs w:val="20"/>
              </w:rPr>
            </w:pPr>
            <w:r w:rsidRPr="0065310C">
              <w:rPr>
                <w:rFonts w:ascii="Times New Roman" w:hAnsi="Times New Roman" w:cs="Times New Roman"/>
                <w:color w:val="000000"/>
                <w:sz w:val="20"/>
                <w:szCs w:val="20"/>
              </w:rPr>
              <w:t>-0.6041</w:t>
            </w:r>
          </w:p>
        </w:tc>
        <w:tc>
          <w:tcPr>
            <w:tcW w:w="1134" w:type="dxa"/>
            <w:tcBorders>
              <w:left w:val="single" w:sz="18" w:space="0" w:color="7F7F7F" w:themeColor="text1" w:themeTint="80"/>
              <w:bottom w:val="single" w:sz="8" w:space="0" w:color="7F7F7F" w:themeColor="text1" w:themeTint="80"/>
            </w:tcBorders>
            <w:vAlign w:val="bottom"/>
          </w:tcPr>
          <w:p w:rsidR="00900B10" w:rsidRPr="0065310C" w:rsidRDefault="00900B10" w:rsidP="00900B10">
            <w:pPr>
              <w:jc w:val="right"/>
              <w:rPr>
                <w:rFonts w:ascii="Times New Roman" w:hAnsi="Times New Roman" w:cs="Times New Roman"/>
                <w:color w:val="000000"/>
                <w:sz w:val="20"/>
                <w:szCs w:val="20"/>
              </w:rPr>
            </w:pPr>
            <w:r w:rsidRPr="0065310C">
              <w:rPr>
                <w:rFonts w:ascii="Times New Roman" w:hAnsi="Times New Roman" w:cs="Times New Roman"/>
                <w:color w:val="000000"/>
                <w:sz w:val="20"/>
                <w:szCs w:val="20"/>
              </w:rPr>
              <w:t>-0.0968</w:t>
            </w:r>
          </w:p>
        </w:tc>
        <w:tc>
          <w:tcPr>
            <w:tcW w:w="882" w:type="dxa"/>
            <w:tcBorders>
              <w:left w:val="single" w:sz="18" w:space="0" w:color="7F7F7F" w:themeColor="text1" w:themeTint="80"/>
              <w:bottom w:val="single" w:sz="8" w:space="0" w:color="7F7F7F" w:themeColor="text1" w:themeTint="80"/>
            </w:tcBorders>
            <w:vAlign w:val="bottom"/>
          </w:tcPr>
          <w:p w:rsidR="00900B10" w:rsidRPr="0065310C" w:rsidRDefault="00900B10" w:rsidP="00900B10">
            <w:pPr>
              <w:jc w:val="right"/>
              <w:rPr>
                <w:rFonts w:ascii="Times New Roman" w:hAnsi="Times New Roman" w:cs="Times New Roman"/>
                <w:color w:val="000000"/>
                <w:sz w:val="20"/>
                <w:szCs w:val="20"/>
              </w:rPr>
            </w:pPr>
            <w:r w:rsidRPr="0065310C">
              <w:rPr>
                <w:rFonts w:ascii="Times New Roman" w:hAnsi="Times New Roman" w:cs="Times New Roman"/>
                <w:color w:val="000000"/>
                <w:sz w:val="20"/>
                <w:szCs w:val="20"/>
              </w:rPr>
              <w:t>-0.1048</w:t>
            </w:r>
          </w:p>
        </w:tc>
      </w:tr>
      <w:tr w:rsidR="00900B10" w:rsidTr="00900B10">
        <w:tc>
          <w:tcPr>
            <w:tcW w:w="2376" w:type="dxa"/>
            <w:tcBorders>
              <w:top w:val="single" w:sz="8" w:space="0" w:color="7F7F7F" w:themeColor="text1" w:themeTint="80"/>
              <w:right w:val="single" w:sz="18" w:space="0" w:color="7F7F7F" w:themeColor="text1" w:themeTint="80"/>
            </w:tcBorders>
          </w:tcPr>
          <w:p w:rsidR="00900B10" w:rsidRPr="0065310C" w:rsidRDefault="00900B10" w:rsidP="00900B10">
            <w:pPr>
              <w:rPr>
                <w:rFonts w:ascii="Times New Roman" w:hAnsi="Times New Roman" w:cs="Times New Roman"/>
                <w:b/>
                <w:i/>
                <w:sz w:val="20"/>
                <w:szCs w:val="20"/>
              </w:rPr>
            </w:pPr>
            <w:r w:rsidRPr="0065310C">
              <w:rPr>
                <w:rFonts w:ascii="Times New Roman" w:hAnsi="Times New Roman" w:cs="Times New Roman"/>
                <w:b/>
                <w:i/>
                <w:sz w:val="20"/>
                <w:szCs w:val="20"/>
              </w:rPr>
              <w:t>CA34 (Los Angeles)</w:t>
            </w:r>
          </w:p>
        </w:tc>
        <w:tc>
          <w:tcPr>
            <w:tcW w:w="1245" w:type="dxa"/>
            <w:tcBorders>
              <w:top w:val="single" w:sz="8" w:space="0" w:color="7F7F7F" w:themeColor="text1" w:themeTint="80"/>
              <w:left w:val="single" w:sz="18" w:space="0" w:color="7F7F7F" w:themeColor="text1" w:themeTint="80"/>
              <w:right w:val="single" w:sz="18" w:space="0" w:color="7F7F7F" w:themeColor="text1" w:themeTint="80"/>
            </w:tcBorders>
            <w:vAlign w:val="bottom"/>
          </w:tcPr>
          <w:p w:rsidR="00900B10" w:rsidRPr="0065310C" w:rsidRDefault="00900B10" w:rsidP="00900B10">
            <w:pPr>
              <w:ind w:right="-108"/>
              <w:jc w:val="both"/>
              <w:rPr>
                <w:rFonts w:ascii="Times New Roman" w:hAnsi="Times New Roman" w:cs="Times New Roman"/>
                <w:color w:val="000000"/>
                <w:sz w:val="20"/>
                <w:szCs w:val="20"/>
              </w:rPr>
            </w:pPr>
          </w:p>
        </w:tc>
        <w:tc>
          <w:tcPr>
            <w:tcW w:w="1134" w:type="dxa"/>
            <w:tcBorders>
              <w:top w:val="single" w:sz="8" w:space="0" w:color="7F7F7F" w:themeColor="text1" w:themeTint="80"/>
              <w:left w:val="single" w:sz="18" w:space="0" w:color="7F7F7F" w:themeColor="text1" w:themeTint="80"/>
              <w:right w:val="single" w:sz="18" w:space="0" w:color="7F7F7F" w:themeColor="text1" w:themeTint="80"/>
            </w:tcBorders>
          </w:tcPr>
          <w:p w:rsidR="00900B10" w:rsidRPr="0065310C" w:rsidRDefault="00900B10" w:rsidP="00900B10">
            <w:pPr>
              <w:jc w:val="both"/>
              <w:rPr>
                <w:rFonts w:ascii="Times New Roman" w:hAnsi="Times New Roman" w:cs="Times New Roman"/>
                <w:color w:val="000000"/>
                <w:sz w:val="20"/>
                <w:szCs w:val="20"/>
              </w:rPr>
            </w:pPr>
          </w:p>
        </w:tc>
        <w:tc>
          <w:tcPr>
            <w:tcW w:w="1165" w:type="dxa"/>
            <w:tcBorders>
              <w:top w:val="single" w:sz="8" w:space="0" w:color="7F7F7F" w:themeColor="text1" w:themeTint="80"/>
              <w:left w:val="single" w:sz="18" w:space="0" w:color="7F7F7F" w:themeColor="text1" w:themeTint="80"/>
              <w:right w:val="single" w:sz="18" w:space="0" w:color="7F7F7F" w:themeColor="text1" w:themeTint="80"/>
            </w:tcBorders>
            <w:vAlign w:val="bottom"/>
          </w:tcPr>
          <w:p w:rsidR="00900B10" w:rsidRPr="0065310C" w:rsidRDefault="00900B10" w:rsidP="00900B10">
            <w:pPr>
              <w:jc w:val="both"/>
              <w:rPr>
                <w:rFonts w:ascii="Times New Roman" w:hAnsi="Times New Roman" w:cs="Times New Roman"/>
                <w:color w:val="000000"/>
                <w:sz w:val="20"/>
                <w:szCs w:val="20"/>
              </w:rPr>
            </w:pPr>
          </w:p>
        </w:tc>
        <w:tc>
          <w:tcPr>
            <w:tcW w:w="992" w:type="dxa"/>
            <w:tcBorders>
              <w:top w:val="single" w:sz="8" w:space="0" w:color="7F7F7F" w:themeColor="text1" w:themeTint="80"/>
              <w:left w:val="single" w:sz="18" w:space="0" w:color="7F7F7F" w:themeColor="text1" w:themeTint="80"/>
              <w:right w:val="single" w:sz="18" w:space="0" w:color="7F7F7F" w:themeColor="text1" w:themeTint="80"/>
            </w:tcBorders>
          </w:tcPr>
          <w:p w:rsidR="00900B10" w:rsidRPr="0065310C" w:rsidRDefault="00900B10" w:rsidP="00900B10">
            <w:pPr>
              <w:jc w:val="both"/>
              <w:rPr>
                <w:rFonts w:ascii="Times New Roman" w:hAnsi="Times New Roman" w:cs="Times New Roman"/>
                <w:color w:val="000000"/>
                <w:sz w:val="20"/>
                <w:szCs w:val="20"/>
              </w:rPr>
            </w:pPr>
          </w:p>
        </w:tc>
        <w:tc>
          <w:tcPr>
            <w:tcW w:w="1134" w:type="dxa"/>
            <w:tcBorders>
              <w:top w:val="single" w:sz="8" w:space="0" w:color="7F7F7F" w:themeColor="text1" w:themeTint="80"/>
              <w:left w:val="single" w:sz="18" w:space="0" w:color="7F7F7F" w:themeColor="text1" w:themeTint="80"/>
            </w:tcBorders>
            <w:vAlign w:val="bottom"/>
          </w:tcPr>
          <w:p w:rsidR="00900B10" w:rsidRPr="0065310C" w:rsidRDefault="00900B10" w:rsidP="00900B10">
            <w:pPr>
              <w:tabs>
                <w:tab w:val="decimal" w:pos="885"/>
              </w:tabs>
              <w:jc w:val="both"/>
              <w:rPr>
                <w:rFonts w:ascii="Times New Roman" w:hAnsi="Times New Roman" w:cs="Times New Roman"/>
                <w:color w:val="000000"/>
                <w:sz w:val="20"/>
                <w:szCs w:val="20"/>
              </w:rPr>
            </w:pPr>
          </w:p>
        </w:tc>
        <w:tc>
          <w:tcPr>
            <w:tcW w:w="882" w:type="dxa"/>
            <w:tcBorders>
              <w:top w:val="single" w:sz="8" w:space="0" w:color="7F7F7F" w:themeColor="text1" w:themeTint="80"/>
              <w:left w:val="single" w:sz="18" w:space="0" w:color="7F7F7F" w:themeColor="text1" w:themeTint="80"/>
            </w:tcBorders>
          </w:tcPr>
          <w:p w:rsidR="00900B10" w:rsidRPr="0065310C" w:rsidRDefault="00900B10" w:rsidP="00900B10">
            <w:pPr>
              <w:tabs>
                <w:tab w:val="decimal" w:pos="885"/>
              </w:tabs>
              <w:jc w:val="both"/>
              <w:rPr>
                <w:rFonts w:ascii="Times New Roman" w:hAnsi="Times New Roman" w:cs="Times New Roman"/>
                <w:color w:val="000000"/>
                <w:sz w:val="20"/>
                <w:szCs w:val="20"/>
              </w:rPr>
            </w:pPr>
          </w:p>
        </w:tc>
      </w:tr>
      <w:tr w:rsidR="00900B10" w:rsidTr="00900B10">
        <w:tc>
          <w:tcPr>
            <w:tcW w:w="2376" w:type="dxa"/>
            <w:tcBorders>
              <w:right w:val="single" w:sz="18" w:space="0" w:color="7F7F7F" w:themeColor="text1" w:themeTint="80"/>
            </w:tcBorders>
          </w:tcPr>
          <w:p w:rsidR="00900B10" w:rsidRPr="0065310C" w:rsidRDefault="00900B10" w:rsidP="00900B10">
            <w:pPr>
              <w:rPr>
                <w:rFonts w:ascii="Times New Roman" w:hAnsi="Times New Roman" w:cs="Times New Roman"/>
                <w:sz w:val="20"/>
                <w:szCs w:val="20"/>
              </w:rPr>
            </w:pPr>
            <w:r w:rsidRPr="0065310C">
              <w:rPr>
                <w:rFonts w:ascii="Times New Roman" w:hAnsi="Times New Roman" w:cs="Times New Roman"/>
                <w:sz w:val="20"/>
                <w:szCs w:val="20"/>
              </w:rPr>
              <w:t>Keynesian</w:t>
            </w:r>
          </w:p>
        </w:tc>
        <w:tc>
          <w:tcPr>
            <w:tcW w:w="1245" w:type="dxa"/>
            <w:tcBorders>
              <w:left w:val="single" w:sz="18" w:space="0" w:color="7F7F7F" w:themeColor="text1" w:themeTint="80"/>
              <w:right w:val="single" w:sz="18" w:space="0" w:color="7F7F7F" w:themeColor="text1" w:themeTint="80"/>
            </w:tcBorders>
            <w:vAlign w:val="bottom"/>
          </w:tcPr>
          <w:p w:rsidR="00900B10" w:rsidRPr="0065310C" w:rsidRDefault="00900B10" w:rsidP="00900B10">
            <w:pPr>
              <w:jc w:val="right"/>
              <w:rPr>
                <w:rFonts w:ascii="Times New Roman" w:hAnsi="Times New Roman" w:cs="Times New Roman"/>
                <w:color w:val="000000"/>
                <w:sz w:val="20"/>
                <w:szCs w:val="20"/>
              </w:rPr>
            </w:pPr>
            <w:r w:rsidRPr="0065310C">
              <w:rPr>
                <w:rFonts w:ascii="Times New Roman" w:hAnsi="Times New Roman" w:cs="Times New Roman"/>
                <w:color w:val="000000"/>
                <w:sz w:val="20"/>
                <w:szCs w:val="20"/>
              </w:rPr>
              <w:t>-3.8263</w:t>
            </w:r>
          </w:p>
        </w:tc>
        <w:tc>
          <w:tcPr>
            <w:tcW w:w="1134" w:type="dxa"/>
            <w:tcBorders>
              <w:left w:val="single" w:sz="18" w:space="0" w:color="7F7F7F" w:themeColor="text1" w:themeTint="80"/>
              <w:right w:val="single" w:sz="18" w:space="0" w:color="7F7F7F" w:themeColor="text1" w:themeTint="80"/>
            </w:tcBorders>
            <w:vAlign w:val="bottom"/>
          </w:tcPr>
          <w:p w:rsidR="00900B10" w:rsidRPr="0065310C" w:rsidRDefault="00900B10" w:rsidP="00900B10">
            <w:pPr>
              <w:jc w:val="right"/>
              <w:rPr>
                <w:rFonts w:ascii="Times New Roman" w:hAnsi="Times New Roman" w:cs="Times New Roman"/>
                <w:color w:val="000000"/>
                <w:sz w:val="20"/>
                <w:szCs w:val="20"/>
              </w:rPr>
            </w:pPr>
            <w:r w:rsidRPr="0065310C">
              <w:rPr>
                <w:rFonts w:ascii="Times New Roman" w:hAnsi="Times New Roman" w:cs="Times New Roman"/>
                <w:color w:val="000000"/>
                <w:sz w:val="20"/>
                <w:szCs w:val="20"/>
              </w:rPr>
              <w:t>-3.9485</w:t>
            </w:r>
          </w:p>
        </w:tc>
        <w:tc>
          <w:tcPr>
            <w:tcW w:w="1165" w:type="dxa"/>
            <w:tcBorders>
              <w:left w:val="single" w:sz="18" w:space="0" w:color="7F7F7F" w:themeColor="text1" w:themeTint="80"/>
              <w:right w:val="single" w:sz="18" w:space="0" w:color="7F7F7F" w:themeColor="text1" w:themeTint="80"/>
            </w:tcBorders>
            <w:vAlign w:val="bottom"/>
          </w:tcPr>
          <w:p w:rsidR="00900B10" w:rsidRPr="0065310C" w:rsidRDefault="00900B10" w:rsidP="00900B10">
            <w:pPr>
              <w:jc w:val="right"/>
              <w:rPr>
                <w:rFonts w:ascii="Times New Roman" w:hAnsi="Times New Roman" w:cs="Times New Roman"/>
                <w:color w:val="000000"/>
                <w:sz w:val="20"/>
                <w:szCs w:val="20"/>
              </w:rPr>
            </w:pPr>
            <w:r w:rsidRPr="0065310C">
              <w:rPr>
                <w:rFonts w:ascii="Times New Roman" w:hAnsi="Times New Roman" w:cs="Times New Roman"/>
                <w:color w:val="000000"/>
                <w:sz w:val="20"/>
                <w:szCs w:val="20"/>
              </w:rPr>
              <w:t>-0.3121</w:t>
            </w:r>
          </w:p>
        </w:tc>
        <w:tc>
          <w:tcPr>
            <w:tcW w:w="992" w:type="dxa"/>
            <w:tcBorders>
              <w:left w:val="single" w:sz="18" w:space="0" w:color="7F7F7F" w:themeColor="text1" w:themeTint="80"/>
              <w:right w:val="single" w:sz="18" w:space="0" w:color="7F7F7F" w:themeColor="text1" w:themeTint="80"/>
            </w:tcBorders>
            <w:vAlign w:val="bottom"/>
          </w:tcPr>
          <w:p w:rsidR="00900B10" w:rsidRPr="0065310C" w:rsidRDefault="00900B10" w:rsidP="00900B10">
            <w:pPr>
              <w:jc w:val="right"/>
              <w:rPr>
                <w:rFonts w:ascii="Times New Roman" w:hAnsi="Times New Roman" w:cs="Times New Roman"/>
                <w:color w:val="000000"/>
                <w:sz w:val="20"/>
                <w:szCs w:val="20"/>
              </w:rPr>
            </w:pPr>
            <w:r w:rsidRPr="0065310C">
              <w:rPr>
                <w:rFonts w:ascii="Times New Roman" w:hAnsi="Times New Roman" w:cs="Times New Roman"/>
                <w:color w:val="000000"/>
                <w:sz w:val="20"/>
                <w:szCs w:val="20"/>
              </w:rPr>
              <w:t>-0.5021</w:t>
            </w:r>
          </w:p>
        </w:tc>
        <w:tc>
          <w:tcPr>
            <w:tcW w:w="1134" w:type="dxa"/>
            <w:tcBorders>
              <w:left w:val="single" w:sz="18" w:space="0" w:color="7F7F7F" w:themeColor="text1" w:themeTint="80"/>
            </w:tcBorders>
            <w:vAlign w:val="bottom"/>
          </w:tcPr>
          <w:p w:rsidR="00900B10" w:rsidRPr="0065310C" w:rsidRDefault="00900B10" w:rsidP="00900B10">
            <w:pPr>
              <w:jc w:val="right"/>
              <w:rPr>
                <w:rFonts w:ascii="Times New Roman" w:hAnsi="Times New Roman" w:cs="Times New Roman"/>
                <w:color w:val="000000"/>
                <w:sz w:val="20"/>
                <w:szCs w:val="20"/>
              </w:rPr>
            </w:pPr>
            <w:r w:rsidRPr="0065310C">
              <w:rPr>
                <w:rFonts w:ascii="Times New Roman" w:hAnsi="Times New Roman" w:cs="Times New Roman"/>
                <w:color w:val="000000"/>
                <w:sz w:val="20"/>
                <w:szCs w:val="20"/>
              </w:rPr>
              <w:t>-0.1544</w:t>
            </w:r>
          </w:p>
        </w:tc>
        <w:tc>
          <w:tcPr>
            <w:tcW w:w="882" w:type="dxa"/>
            <w:tcBorders>
              <w:left w:val="single" w:sz="18" w:space="0" w:color="7F7F7F" w:themeColor="text1" w:themeTint="80"/>
            </w:tcBorders>
            <w:vAlign w:val="bottom"/>
          </w:tcPr>
          <w:p w:rsidR="00900B10" w:rsidRPr="0065310C" w:rsidRDefault="00900B10" w:rsidP="00900B10">
            <w:pPr>
              <w:jc w:val="right"/>
              <w:rPr>
                <w:rFonts w:ascii="Times New Roman" w:hAnsi="Times New Roman" w:cs="Times New Roman"/>
                <w:color w:val="000000"/>
                <w:sz w:val="20"/>
                <w:szCs w:val="20"/>
              </w:rPr>
            </w:pPr>
            <w:r w:rsidRPr="0065310C">
              <w:rPr>
                <w:rFonts w:ascii="Times New Roman" w:hAnsi="Times New Roman" w:cs="Times New Roman"/>
                <w:color w:val="000000"/>
                <w:sz w:val="20"/>
                <w:szCs w:val="20"/>
              </w:rPr>
              <w:t>-0.1606</w:t>
            </w:r>
          </w:p>
        </w:tc>
      </w:tr>
      <w:tr w:rsidR="00900B10" w:rsidTr="00900B10">
        <w:tc>
          <w:tcPr>
            <w:tcW w:w="2376" w:type="dxa"/>
            <w:tcBorders>
              <w:bottom w:val="single" w:sz="18" w:space="0" w:color="7F7F7F" w:themeColor="text1" w:themeTint="80"/>
              <w:right w:val="single" w:sz="18" w:space="0" w:color="7F7F7F" w:themeColor="text1" w:themeTint="80"/>
            </w:tcBorders>
          </w:tcPr>
          <w:p w:rsidR="00900B10" w:rsidRPr="0065310C" w:rsidRDefault="00900B10" w:rsidP="00900B10">
            <w:pPr>
              <w:rPr>
                <w:rFonts w:ascii="Times New Roman" w:hAnsi="Times New Roman" w:cs="Times New Roman"/>
                <w:sz w:val="20"/>
                <w:szCs w:val="20"/>
              </w:rPr>
            </w:pPr>
            <w:r w:rsidRPr="0065310C">
              <w:rPr>
                <w:rFonts w:ascii="Times New Roman" w:hAnsi="Times New Roman" w:cs="Times New Roman"/>
                <w:sz w:val="20"/>
                <w:szCs w:val="20"/>
              </w:rPr>
              <w:t>Neoclassical</w:t>
            </w:r>
          </w:p>
        </w:tc>
        <w:tc>
          <w:tcPr>
            <w:tcW w:w="1245" w:type="dxa"/>
            <w:tcBorders>
              <w:left w:val="single" w:sz="18" w:space="0" w:color="7F7F7F" w:themeColor="text1" w:themeTint="80"/>
              <w:bottom w:val="single" w:sz="18" w:space="0" w:color="7F7F7F" w:themeColor="text1" w:themeTint="80"/>
              <w:right w:val="single" w:sz="18" w:space="0" w:color="7F7F7F" w:themeColor="text1" w:themeTint="80"/>
            </w:tcBorders>
            <w:vAlign w:val="bottom"/>
          </w:tcPr>
          <w:p w:rsidR="00900B10" w:rsidRPr="0065310C" w:rsidRDefault="00900B10" w:rsidP="00900B10">
            <w:pPr>
              <w:jc w:val="right"/>
              <w:rPr>
                <w:rFonts w:ascii="Times New Roman" w:hAnsi="Times New Roman" w:cs="Times New Roman"/>
                <w:color w:val="000000"/>
                <w:sz w:val="20"/>
                <w:szCs w:val="20"/>
              </w:rPr>
            </w:pPr>
            <w:r w:rsidRPr="0065310C">
              <w:rPr>
                <w:rFonts w:ascii="Times New Roman" w:hAnsi="Times New Roman" w:cs="Times New Roman"/>
                <w:color w:val="000000"/>
                <w:sz w:val="20"/>
                <w:szCs w:val="20"/>
              </w:rPr>
              <w:t>-3.6947</w:t>
            </w:r>
          </w:p>
        </w:tc>
        <w:tc>
          <w:tcPr>
            <w:tcW w:w="1134" w:type="dxa"/>
            <w:tcBorders>
              <w:left w:val="single" w:sz="18" w:space="0" w:color="7F7F7F" w:themeColor="text1" w:themeTint="80"/>
              <w:bottom w:val="single" w:sz="18" w:space="0" w:color="7F7F7F" w:themeColor="text1" w:themeTint="80"/>
              <w:right w:val="single" w:sz="18" w:space="0" w:color="7F7F7F" w:themeColor="text1" w:themeTint="80"/>
            </w:tcBorders>
            <w:vAlign w:val="bottom"/>
          </w:tcPr>
          <w:p w:rsidR="00900B10" w:rsidRPr="0065310C" w:rsidRDefault="00900B10" w:rsidP="00900B10">
            <w:pPr>
              <w:jc w:val="right"/>
              <w:rPr>
                <w:rFonts w:ascii="Times New Roman" w:hAnsi="Times New Roman" w:cs="Times New Roman"/>
                <w:color w:val="000000"/>
                <w:sz w:val="20"/>
                <w:szCs w:val="20"/>
              </w:rPr>
            </w:pPr>
            <w:r w:rsidRPr="0065310C">
              <w:rPr>
                <w:rFonts w:ascii="Times New Roman" w:hAnsi="Times New Roman" w:cs="Times New Roman"/>
                <w:color w:val="000000"/>
                <w:sz w:val="20"/>
                <w:szCs w:val="20"/>
              </w:rPr>
              <w:t>-3.8198</w:t>
            </w:r>
          </w:p>
        </w:tc>
        <w:tc>
          <w:tcPr>
            <w:tcW w:w="1165" w:type="dxa"/>
            <w:tcBorders>
              <w:left w:val="single" w:sz="18" w:space="0" w:color="7F7F7F" w:themeColor="text1" w:themeTint="80"/>
              <w:bottom w:val="single" w:sz="18" w:space="0" w:color="7F7F7F" w:themeColor="text1" w:themeTint="80"/>
              <w:right w:val="single" w:sz="18" w:space="0" w:color="7F7F7F" w:themeColor="text1" w:themeTint="80"/>
            </w:tcBorders>
            <w:vAlign w:val="bottom"/>
          </w:tcPr>
          <w:p w:rsidR="00900B10" w:rsidRPr="0065310C" w:rsidRDefault="00900B10" w:rsidP="00900B10">
            <w:pPr>
              <w:jc w:val="right"/>
              <w:rPr>
                <w:rFonts w:ascii="Times New Roman" w:hAnsi="Times New Roman" w:cs="Times New Roman"/>
                <w:color w:val="000000"/>
                <w:sz w:val="20"/>
                <w:szCs w:val="20"/>
              </w:rPr>
            </w:pPr>
            <w:r w:rsidRPr="0065310C">
              <w:rPr>
                <w:rFonts w:ascii="Times New Roman" w:hAnsi="Times New Roman" w:cs="Times New Roman"/>
                <w:color w:val="000000"/>
                <w:sz w:val="20"/>
                <w:szCs w:val="20"/>
              </w:rPr>
              <w:t>-0.4397</w:t>
            </w:r>
          </w:p>
        </w:tc>
        <w:tc>
          <w:tcPr>
            <w:tcW w:w="992" w:type="dxa"/>
            <w:tcBorders>
              <w:left w:val="single" w:sz="18" w:space="0" w:color="7F7F7F" w:themeColor="text1" w:themeTint="80"/>
              <w:bottom w:val="single" w:sz="18" w:space="0" w:color="7F7F7F" w:themeColor="text1" w:themeTint="80"/>
              <w:right w:val="single" w:sz="18" w:space="0" w:color="7F7F7F" w:themeColor="text1" w:themeTint="80"/>
            </w:tcBorders>
            <w:vAlign w:val="bottom"/>
          </w:tcPr>
          <w:p w:rsidR="00900B10" w:rsidRPr="0065310C" w:rsidRDefault="00900B10" w:rsidP="00900B10">
            <w:pPr>
              <w:jc w:val="right"/>
              <w:rPr>
                <w:rFonts w:ascii="Times New Roman" w:hAnsi="Times New Roman" w:cs="Times New Roman"/>
                <w:color w:val="000000"/>
                <w:sz w:val="20"/>
                <w:szCs w:val="20"/>
              </w:rPr>
            </w:pPr>
            <w:r w:rsidRPr="0065310C">
              <w:rPr>
                <w:rFonts w:ascii="Times New Roman" w:hAnsi="Times New Roman" w:cs="Times New Roman"/>
                <w:color w:val="000000"/>
                <w:sz w:val="20"/>
                <w:szCs w:val="20"/>
              </w:rPr>
              <w:t>-0.6041</w:t>
            </w:r>
          </w:p>
        </w:tc>
        <w:tc>
          <w:tcPr>
            <w:tcW w:w="1134" w:type="dxa"/>
            <w:tcBorders>
              <w:left w:val="single" w:sz="18" w:space="0" w:color="7F7F7F" w:themeColor="text1" w:themeTint="80"/>
              <w:bottom w:val="single" w:sz="18" w:space="0" w:color="7F7F7F" w:themeColor="text1" w:themeTint="80"/>
            </w:tcBorders>
            <w:vAlign w:val="bottom"/>
          </w:tcPr>
          <w:p w:rsidR="00900B10" w:rsidRPr="0065310C" w:rsidRDefault="00900B10" w:rsidP="00900B10">
            <w:pPr>
              <w:jc w:val="right"/>
              <w:rPr>
                <w:rFonts w:ascii="Times New Roman" w:hAnsi="Times New Roman" w:cs="Times New Roman"/>
                <w:color w:val="000000"/>
                <w:sz w:val="20"/>
                <w:szCs w:val="20"/>
              </w:rPr>
            </w:pPr>
            <w:r w:rsidRPr="0065310C">
              <w:rPr>
                <w:rFonts w:ascii="Times New Roman" w:hAnsi="Times New Roman" w:cs="Times New Roman"/>
                <w:color w:val="000000"/>
                <w:sz w:val="20"/>
                <w:szCs w:val="20"/>
              </w:rPr>
              <w:t>-0.0968</w:t>
            </w:r>
          </w:p>
        </w:tc>
        <w:tc>
          <w:tcPr>
            <w:tcW w:w="882" w:type="dxa"/>
            <w:tcBorders>
              <w:left w:val="single" w:sz="18" w:space="0" w:color="7F7F7F" w:themeColor="text1" w:themeTint="80"/>
              <w:bottom w:val="single" w:sz="18" w:space="0" w:color="7F7F7F" w:themeColor="text1" w:themeTint="80"/>
            </w:tcBorders>
            <w:vAlign w:val="bottom"/>
          </w:tcPr>
          <w:p w:rsidR="00900B10" w:rsidRPr="0065310C" w:rsidRDefault="00900B10" w:rsidP="00900B10">
            <w:pPr>
              <w:jc w:val="right"/>
              <w:rPr>
                <w:rFonts w:ascii="Times New Roman" w:hAnsi="Times New Roman" w:cs="Times New Roman"/>
                <w:color w:val="000000"/>
                <w:sz w:val="20"/>
                <w:szCs w:val="20"/>
              </w:rPr>
            </w:pPr>
            <w:r w:rsidRPr="0065310C">
              <w:rPr>
                <w:rFonts w:ascii="Times New Roman" w:hAnsi="Times New Roman" w:cs="Times New Roman"/>
                <w:color w:val="000000"/>
                <w:sz w:val="20"/>
                <w:szCs w:val="20"/>
              </w:rPr>
              <w:t>-0.1047</w:t>
            </w:r>
          </w:p>
        </w:tc>
      </w:tr>
    </w:tbl>
    <w:p w:rsidR="00900B10" w:rsidRDefault="00900B10" w:rsidP="00900B10">
      <w:pPr>
        <w:rPr>
          <w:rFonts w:ascii="Times New Roman" w:hAnsi="Times New Roman" w:cs="Times New Roman"/>
          <w:sz w:val="24"/>
          <w:szCs w:val="24"/>
        </w:rPr>
      </w:pPr>
    </w:p>
    <w:p w:rsidR="00017372" w:rsidRDefault="0021748C" w:rsidP="00AD3749">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 xml:space="preserve">welfare outcomes under Keynesian than under Neoclassical assumptions.  The main shocks </w:t>
      </w:r>
      <w:r w:rsidR="007606EE">
        <w:rPr>
          <w:rFonts w:ascii="Times New Roman" w:hAnsi="Times New Roman" w:cs="Times New Roman"/>
          <w:sz w:val="24"/>
          <w:szCs w:val="24"/>
        </w:rPr>
        <w:t xml:space="preserve">in the Dirty bomb scenario are public expenditures.  </w:t>
      </w:r>
      <w:r w:rsidR="00EC075D">
        <w:rPr>
          <w:rFonts w:ascii="Times New Roman" w:hAnsi="Times New Roman" w:cs="Times New Roman"/>
          <w:sz w:val="24"/>
          <w:szCs w:val="24"/>
        </w:rPr>
        <w:t xml:space="preserve">The magnification of the positive effect of these expenditures is </w:t>
      </w:r>
      <w:r w:rsidR="003144C0">
        <w:rPr>
          <w:rFonts w:ascii="Times New Roman" w:hAnsi="Times New Roman" w:cs="Times New Roman"/>
          <w:sz w:val="24"/>
          <w:szCs w:val="24"/>
        </w:rPr>
        <w:t xml:space="preserve">sufficient </w:t>
      </w:r>
      <w:r w:rsidR="00EC075D">
        <w:rPr>
          <w:rFonts w:ascii="Times New Roman" w:hAnsi="Times New Roman" w:cs="Times New Roman"/>
          <w:sz w:val="24"/>
          <w:szCs w:val="24"/>
        </w:rPr>
        <w:t>to make the year</w:t>
      </w:r>
      <w:r w:rsidR="00017372">
        <w:rPr>
          <w:rFonts w:ascii="Times New Roman" w:hAnsi="Times New Roman" w:cs="Times New Roman"/>
          <w:sz w:val="24"/>
          <w:szCs w:val="24"/>
        </w:rPr>
        <w:t>-</w:t>
      </w:r>
      <w:r w:rsidR="00EC075D">
        <w:rPr>
          <w:rFonts w:ascii="Times New Roman" w:hAnsi="Times New Roman" w:cs="Times New Roman"/>
          <w:sz w:val="24"/>
          <w:szCs w:val="24"/>
        </w:rPr>
        <w:t xml:space="preserve">1 effects more favorable </w:t>
      </w:r>
      <w:r w:rsidR="00017372">
        <w:rPr>
          <w:rFonts w:ascii="Times New Roman" w:hAnsi="Times New Roman" w:cs="Times New Roman"/>
          <w:sz w:val="24"/>
          <w:szCs w:val="24"/>
        </w:rPr>
        <w:t>under Keynes than under Neoclassical.  Thus, the welfare effects for the Dirty bomb scenario are less negative under Keynes than under Neoclassical.  T</w:t>
      </w:r>
      <w:r w:rsidR="007606EE">
        <w:rPr>
          <w:rFonts w:ascii="Times New Roman" w:hAnsi="Times New Roman" w:cs="Times New Roman"/>
          <w:sz w:val="24"/>
          <w:szCs w:val="24"/>
        </w:rPr>
        <w:t>he Food conta</w:t>
      </w:r>
      <w:r w:rsidR="00017372">
        <w:rPr>
          <w:rFonts w:ascii="Times New Roman" w:hAnsi="Times New Roman" w:cs="Times New Roman"/>
          <w:sz w:val="24"/>
          <w:szCs w:val="24"/>
        </w:rPr>
        <w:t>mination scenario is similar to the Epidemic scenario in having large Lost</w:t>
      </w:r>
      <w:r w:rsidR="003144C0">
        <w:rPr>
          <w:rFonts w:ascii="Times New Roman" w:hAnsi="Times New Roman" w:cs="Times New Roman"/>
          <w:sz w:val="24"/>
          <w:szCs w:val="24"/>
        </w:rPr>
        <w:t>-</w:t>
      </w:r>
      <w:r w:rsidR="007606EE">
        <w:rPr>
          <w:rFonts w:ascii="Times New Roman" w:hAnsi="Times New Roman" w:cs="Times New Roman"/>
          <w:sz w:val="24"/>
          <w:szCs w:val="24"/>
        </w:rPr>
        <w:t>visitor</w:t>
      </w:r>
      <w:r w:rsidR="003144C0">
        <w:rPr>
          <w:rFonts w:ascii="Times New Roman" w:hAnsi="Times New Roman" w:cs="Times New Roman"/>
          <w:sz w:val="24"/>
          <w:szCs w:val="24"/>
        </w:rPr>
        <w:t>-</w:t>
      </w:r>
      <w:r w:rsidR="007606EE">
        <w:rPr>
          <w:rFonts w:ascii="Times New Roman" w:hAnsi="Times New Roman" w:cs="Times New Roman"/>
          <w:sz w:val="24"/>
          <w:szCs w:val="24"/>
        </w:rPr>
        <w:t>expenditure</w:t>
      </w:r>
      <w:r w:rsidR="00017372">
        <w:rPr>
          <w:rFonts w:ascii="Times New Roman" w:hAnsi="Times New Roman" w:cs="Times New Roman"/>
          <w:sz w:val="24"/>
          <w:szCs w:val="24"/>
        </w:rPr>
        <w:t xml:space="preserve"> shocks relative to </w:t>
      </w:r>
      <w:r w:rsidR="003144C0">
        <w:rPr>
          <w:rFonts w:ascii="Times New Roman" w:hAnsi="Times New Roman" w:cs="Times New Roman"/>
          <w:sz w:val="24"/>
          <w:szCs w:val="24"/>
        </w:rPr>
        <w:t>P</w:t>
      </w:r>
      <w:r w:rsidR="00017372">
        <w:rPr>
          <w:rFonts w:ascii="Times New Roman" w:hAnsi="Times New Roman" w:cs="Times New Roman"/>
          <w:sz w:val="24"/>
          <w:szCs w:val="24"/>
        </w:rPr>
        <w:t>ublic</w:t>
      </w:r>
      <w:r w:rsidR="003144C0">
        <w:rPr>
          <w:rFonts w:ascii="Times New Roman" w:hAnsi="Times New Roman" w:cs="Times New Roman"/>
          <w:sz w:val="24"/>
          <w:szCs w:val="24"/>
        </w:rPr>
        <w:t>-</w:t>
      </w:r>
      <w:r w:rsidR="00017372">
        <w:rPr>
          <w:rFonts w:ascii="Times New Roman" w:hAnsi="Times New Roman" w:cs="Times New Roman"/>
          <w:sz w:val="24"/>
          <w:szCs w:val="24"/>
        </w:rPr>
        <w:t xml:space="preserve">expenditure shocks.  This explains why the eventual welfare effects for the Food contamination scenario are more negative under Keynes than under Neoclassical. </w:t>
      </w:r>
    </w:p>
    <w:p w:rsidR="004E31E0" w:rsidRPr="003D4685" w:rsidRDefault="009A4664" w:rsidP="00AD3749">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 xml:space="preserve">Fourth, a lower discount rate means a bigger computed welfare loss.  This is because a low discount rate gives a relatively high weight to consumption that </w:t>
      </w:r>
      <w:r w:rsidR="00F81BD4">
        <w:rPr>
          <w:rFonts w:ascii="Times New Roman" w:hAnsi="Times New Roman" w:cs="Times New Roman"/>
          <w:sz w:val="24"/>
          <w:szCs w:val="24"/>
        </w:rPr>
        <w:t>is</w:t>
      </w:r>
      <w:r w:rsidR="0066776C">
        <w:rPr>
          <w:rFonts w:ascii="Times New Roman" w:hAnsi="Times New Roman" w:cs="Times New Roman"/>
          <w:sz w:val="24"/>
          <w:szCs w:val="24"/>
        </w:rPr>
        <w:t xml:space="preserve"> </w:t>
      </w:r>
      <w:r>
        <w:rPr>
          <w:rFonts w:ascii="Times New Roman" w:hAnsi="Times New Roman" w:cs="Times New Roman"/>
          <w:sz w:val="24"/>
          <w:szCs w:val="24"/>
        </w:rPr>
        <w:t>foregone in the future to pay for C</w:t>
      </w:r>
      <w:r w:rsidR="00F81BD4">
        <w:rPr>
          <w:rFonts w:ascii="Times New Roman" w:hAnsi="Times New Roman" w:cs="Times New Roman"/>
          <w:sz w:val="24"/>
          <w:szCs w:val="24"/>
        </w:rPr>
        <w:t>lean-up,</w:t>
      </w:r>
      <w:r>
        <w:rPr>
          <w:rFonts w:ascii="Times New Roman" w:hAnsi="Times New Roman" w:cs="Times New Roman"/>
          <w:sz w:val="24"/>
          <w:szCs w:val="24"/>
        </w:rPr>
        <w:t xml:space="preserve"> Health and other Public expenditures </w:t>
      </w:r>
      <w:r w:rsidR="000353D9">
        <w:rPr>
          <w:rFonts w:ascii="Times New Roman" w:hAnsi="Times New Roman" w:cs="Times New Roman"/>
          <w:sz w:val="24"/>
          <w:szCs w:val="24"/>
        </w:rPr>
        <w:t xml:space="preserve">that are unfinanced in the year of the terrorism event.  </w:t>
      </w:r>
      <w:r w:rsidR="003C388C">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591671" w:rsidRPr="0065165A" w:rsidRDefault="00591671" w:rsidP="00591671">
      <w:pPr>
        <w:pStyle w:val="ListParagraph"/>
        <w:ind w:left="0"/>
        <w:contextualSpacing w:val="0"/>
        <w:rPr>
          <w:rFonts w:ascii="Times New Roman" w:hAnsi="Times New Roman" w:cs="Times New Roman"/>
          <w:b/>
          <w:sz w:val="24"/>
          <w:szCs w:val="24"/>
          <w:lang w:val="en-AU"/>
        </w:rPr>
      </w:pPr>
      <w:r>
        <w:rPr>
          <w:rFonts w:ascii="Times New Roman" w:hAnsi="Times New Roman" w:cs="Times New Roman"/>
          <w:b/>
          <w:sz w:val="24"/>
          <w:szCs w:val="24"/>
          <w:lang w:val="en-AU"/>
        </w:rPr>
        <w:t xml:space="preserve">8.  </w:t>
      </w:r>
      <w:r w:rsidRPr="0065165A">
        <w:rPr>
          <w:rFonts w:ascii="Times New Roman" w:hAnsi="Times New Roman" w:cs="Times New Roman"/>
          <w:b/>
          <w:sz w:val="24"/>
          <w:szCs w:val="24"/>
          <w:lang w:val="en-AU"/>
        </w:rPr>
        <w:t>Concluding remarks</w:t>
      </w:r>
    </w:p>
    <w:p w:rsidR="00591671" w:rsidRPr="0065165A" w:rsidRDefault="00591671" w:rsidP="00FD7DB3">
      <w:pPr>
        <w:pStyle w:val="ListParagraph"/>
        <w:ind w:left="0"/>
        <w:contextualSpacing w:val="0"/>
        <w:rPr>
          <w:rFonts w:ascii="Times New Roman" w:hAnsi="Times New Roman" w:cs="Times New Roman"/>
          <w:sz w:val="24"/>
          <w:szCs w:val="24"/>
          <w:lang w:val="en-AU"/>
        </w:rPr>
      </w:pPr>
      <w:r w:rsidRPr="0065165A">
        <w:rPr>
          <w:rFonts w:ascii="Times New Roman" w:hAnsi="Times New Roman" w:cs="Times New Roman"/>
          <w:sz w:val="24"/>
          <w:szCs w:val="24"/>
          <w:lang w:val="en-AU"/>
        </w:rPr>
        <w:t xml:space="preserve">The aim of the project </w:t>
      </w:r>
      <w:r w:rsidR="005F27D3">
        <w:rPr>
          <w:rFonts w:ascii="Times New Roman" w:hAnsi="Times New Roman" w:cs="Times New Roman"/>
          <w:sz w:val="24"/>
          <w:szCs w:val="24"/>
          <w:lang w:val="en-AU"/>
        </w:rPr>
        <w:t xml:space="preserve">described in this report </w:t>
      </w:r>
      <w:r w:rsidRPr="0065165A">
        <w:rPr>
          <w:rFonts w:ascii="Times New Roman" w:hAnsi="Times New Roman" w:cs="Times New Roman"/>
          <w:sz w:val="24"/>
          <w:szCs w:val="24"/>
          <w:lang w:val="en-AU"/>
        </w:rPr>
        <w:t>was to test the practicality of using a detailed CGE model as the link between driving factors</w:t>
      </w:r>
      <w:r w:rsidR="00FD7DB3">
        <w:rPr>
          <w:rFonts w:ascii="Times New Roman" w:hAnsi="Times New Roman" w:cs="Times New Roman"/>
          <w:sz w:val="24"/>
          <w:szCs w:val="24"/>
          <w:lang w:val="en-AU"/>
        </w:rPr>
        <w:t xml:space="preserve"> in </w:t>
      </w:r>
      <w:r w:rsidR="00FD7DB3" w:rsidRPr="0065165A">
        <w:rPr>
          <w:rFonts w:ascii="Times New Roman" w:hAnsi="Times New Roman" w:cs="Times New Roman"/>
          <w:sz w:val="24"/>
          <w:szCs w:val="24"/>
          <w:lang w:val="en-AU"/>
        </w:rPr>
        <w:t>TRA scenarios</w:t>
      </w:r>
      <w:r w:rsidRPr="0065165A">
        <w:rPr>
          <w:rFonts w:ascii="Times New Roman" w:hAnsi="Times New Roman" w:cs="Times New Roman"/>
          <w:sz w:val="24"/>
          <w:szCs w:val="24"/>
          <w:lang w:val="en-AU"/>
        </w:rPr>
        <w:t xml:space="preserve"> and economic implication variables.  </w:t>
      </w:r>
    </w:p>
    <w:p w:rsidR="00591671" w:rsidRPr="0065165A" w:rsidRDefault="00591671" w:rsidP="00FD7DB3">
      <w:pPr>
        <w:pStyle w:val="ListParagraph"/>
        <w:ind w:left="0"/>
        <w:contextualSpacing w:val="0"/>
        <w:rPr>
          <w:rFonts w:ascii="Times New Roman" w:hAnsi="Times New Roman" w:cs="Times New Roman"/>
          <w:sz w:val="24"/>
          <w:szCs w:val="24"/>
          <w:lang w:val="en-AU"/>
        </w:rPr>
      </w:pPr>
      <w:r w:rsidRPr="0065165A">
        <w:rPr>
          <w:rFonts w:ascii="Times New Roman" w:hAnsi="Times New Roman" w:cs="Times New Roman"/>
          <w:sz w:val="24"/>
          <w:szCs w:val="24"/>
          <w:lang w:val="en-AU"/>
        </w:rPr>
        <w:t xml:space="preserve">The theoretical advantages of CGE relative to I-O (the previous linking tool) are well known: short-run and long-run perspective; increased variable coverage; and better recognition of resource constraints, price effects, and debt accumulation.  But the practicality of using CGE had not been established.  To </w:t>
      </w:r>
      <w:r w:rsidR="005F27D3">
        <w:rPr>
          <w:rFonts w:ascii="Times New Roman" w:hAnsi="Times New Roman" w:cs="Times New Roman"/>
          <w:sz w:val="24"/>
          <w:szCs w:val="24"/>
          <w:lang w:val="en-AU"/>
        </w:rPr>
        <w:t xml:space="preserve">do this we needed </w:t>
      </w:r>
      <w:r w:rsidRPr="0065165A">
        <w:rPr>
          <w:rFonts w:ascii="Times New Roman" w:hAnsi="Times New Roman" w:cs="Times New Roman"/>
          <w:sz w:val="24"/>
          <w:szCs w:val="24"/>
          <w:lang w:val="en-AU"/>
        </w:rPr>
        <w:t xml:space="preserve">to overcome two related problems: (1) computation; and (2) security.  </w:t>
      </w:r>
    </w:p>
    <w:p w:rsidR="00591671" w:rsidRPr="0065165A" w:rsidRDefault="00591671" w:rsidP="00FD7DB3">
      <w:pPr>
        <w:pStyle w:val="ListParagraph"/>
        <w:ind w:left="0"/>
        <w:contextualSpacing w:val="0"/>
        <w:rPr>
          <w:rFonts w:ascii="Times New Roman" w:hAnsi="Times New Roman" w:cs="Times New Roman"/>
          <w:sz w:val="24"/>
          <w:szCs w:val="24"/>
          <w:lang w:val="en-AU"/>
        </w:rPr>
      </w:pPr>
      <w:r w:rsidRPr="0065165A">
        <w:rPr>
          <w:rFonts w:ascii="Times New Roman" w:hAnsi="Times New Roman" w:cs="Times New Roman"/>
          <w:sz w:val="24"/>
          <w:szCs w:val="24"/>
          <w:lang w:val="en-AU"/>
        </w:rPr>
        <w:t xml:space="preserve">Through our elasticity approach, </w:t>
      </w:r>
      <w:r w:rsidR="005B3A2E">
        <w:rPr>
          <w:rFonts w:ascii="Times New Roman" w:hAnsi="Times New Roman" w:cs="Times New Roman"/>
          <w:sz w:val="24"/>
          <w:szCs w:val="24"/>
          <w:lang w:val="en-AU"/>
        </w:rPr>
        <w:t>implemented</w:t>
      </w:r>
      <w:r w:rsidRPr="0065165A">
        <w:rPr>
          <w:rFonts w:ascii="Times New Roman" w:hAnsi="Times New Roman" w:cs="Times New Roman"/>
          <w:sz w:val="24"/>
          <w:szCs w:val="24"/>
          <w:lang w:val="en-AU"/>
        </w:rPr>
        <w:t xml:space="preserve"> in GRAD-ECAT, we have provided a solution to both problems</w:t>
      </w:r>
      <w:r w:rsidR="005B3A2E">
        <w:rPr>
          <w:rFonts w:ascii="Times New Roman" w:hAnsi="Times New Roman" w:cs="Times New Roman"/>
          <w:sz w:val="24"/>
          <w:szCs w:val="24"/>
          <w:lang w:val="en-AU"/>
        </w:rPr>
        <w:t>.  We</w:t>
      </w:r>
      <w:r w:rsidRPr="0065165A">
        <w:rPr>
          <w:rFonts w:ascii="Times New Roman" w:hAnsi="Times New Roman" w:cs="Times New Roman"/>
          <w:sz w:val="24"/>
          <w:szCs w:val="24"/>
          <w:lang w:val="en-AU"/>
        </w:rPr>
        <w:t xml:space="preserve"> </w:t>
      </w:r>
      <w:r w:rsidR="00897A46">
        <w:rPr>
          <w:rFonts w:ascii="Times New Roman" w:hAnsi="Times New Roman" w:cs="Times New Roman"/>
          <w:sz w:val="24"/>
          <w:szCs w:val="24"/>
          <w:lang w:val="en-AU"/>
        </w:rPr>
        <w:t xml:space="preserve">have </w:t>
      </w:r>
      <w:r w:rsidRPr="0065165A">
        <w:rPr>
          <w:rFonts w:ascii="Times New Roman" w:hAnsi="Times New Roman" w:cs="Times New Roman"/>
          <w:sz w:val="24"/>
          <w:szCs w:val="24"/>
          <w:lang w:val="en-AU"/>
        </w:rPr>
        <w:t xml:space="preserve">shown that CGE can be adapted to the needs of the TRAs and deliver insights well beyond those available from I-O.  The main insights arising from the </w:t>
      </w:r>
      <w:r w:rsidR="005B3A2E">
        <w:rPr>
          <w:rFonts w:ascii="Times New Roman" w:hAnsi="Times New Roman" w:cs="Times New Roman"/>
          <w:sz w:val="24"/>
          <w:szCs w:val="24"/>
          <w:lang w:val="en-AU"/>
        </w:rPr>
        <w:t xml:space="preserve">GRAD-ECAT analysis of the </w:t>
      </w:r>
      <w:r w:rsidRPr="0065165A">
        <w:rPr>
          <w:rFonts w:ascii="Times New Roman" w:hAnsi="Times New Roman" w:cs="Times New Roman"/>
          <w:sz w:val="24"/>
          <w:szCs w:val="24"/>
          <w:lang w:val="en-AU"/>
        </w:rPr>
        <w:t xml:space="preserve">sample scenarios presented </w:t>
      </w:r>
      <w:r w:rsidR="00FD7DB3">
        <w:rPr>
          <w:rFonts w:ascii="Times New Roman" w:hAnsi="Times New Roman" w:cs="Times New Roman"/>
          <w:sz w:val="24"/>
          <w:szCs w:val="24"/>
          <w:lang w:val="en-AU"/>
        </w:rPr>
        <w:t xml:space="preserve">in </w:t>
      </w:r>
      <w:r w:rsidR="005B3A2E">
        <w:rPr>
          <w:rFonts w:ascii="Times New Roman" w:hAnsi="Times New Roman" w:cs="Times New Roman"/>
          <w:sz w:val="24"/>
          <w:szCs w:val="24"/>
          <w:lang w:val="en-AU"/>
        </w:rPr>
        <w:t>s</w:t>
      </w:r>
      <w:r w:rsidR="00FD7DB3">
        <w:rPr>
          <w:rFonts w:ascii="Times New Roman" w:hAnsi="Times New Roman" w:cs="Times New Roman"/>
          <w:sz w:val="24"/>
          <w:szCs w:val="24"/>
          <w:lang w:val="en-AU"/>
        </w:rPr>
        <w:t>ection 7</w:t>
      </w:r>
      <w:r w:rsidRPr="0065165A">
        <w:rPr>
          <w:rFonts w:ascii="Times New Roman" w:hAnsi="Times New Roman" w:cs="Times New Roman"/>
          <w:sz w:val="24"/>
          <w:szCs w:val="24"/>
          <w:lang w:val="en-AU"/>
        </w:rPr>
        <w:t xml:space="preserve"> are as follows:</w:t>
      </w:r>
    </w:p>
    <w:p w:rsidR="00591671" w:rsidRPr="0065165A" w:rsidRDefault="00591671" w:rsidP="00284DF8">
      <w:pPr>
        <w:pStyle w:val="ListParagraph"/>
        <w:numPr>
          <w:ilvl w:val="0"/>
          <w:numId w:val="25"/>
        </w:numPr>
        <w:contextualSpacing w:val="0"/>
        <w:rPr>
          <w:rFonts w:ascii="Times New Roman" w:hAnsi="Times New Roman" w:cs="Times New Roman"/>
          <w:sz w:val="24"/>
          <w:szCs w:val="24"/>
          <w:lang w:val="en-AU"/>
        </w:rPr>
      </w:pPr>
      <w:r w:rsidRPr="0065165A">
        <w:rPr>
          <w:rFonts w:ascii="Times New Roman" w:hAnsi="Times New Roman" w:cs="Times New Roman"/>
          <w:sz w:val="24"/>
          <w:szCs w:val="24"/>
          <w:lang w:val="en-AU"/>
        </w:rPr>
        <w:t xml:space="preserve">In ranking terrorism events </w:t>
      </w:r>
      <w:r w:rsidR="00FD7DB3">
        <w:rPr>
          <w:rFonts w:ascii="Times New Roman" w:hAnsi="Times New Roman" w:cs="Times New Roman"/>
          <w:sz w:val="24"/>
          <w:szCs w:val="24"/>
          <w:lang w:val="en-AU"/>
        </w:rPr>
        <w:t xml:space="preserve">in terms of </w:t>
      </w:r>
      <w:r w:rsidR="005F27D3">
        <w:rPr>
          <w:rFonts w:ascii="Times New Roman" w:hAnsi="Times New Roman" w:cs="Times New Roman"/>
          <w:sz w:val="24"/>
          <w:szCs w:val="24"/>
          <w:lang w:val="en-AU"/>
        </w:rPr>
        <w:t xml:space="preserve">economic </w:t>
      </w:r>
      <w:r w:rsidR="00FD7DB3">
        <w:rPr>
          <w:rFonts w:ascii="Times New Roman" w:hAnsi="Times New Roman" w:cs="Times New Roman"/>
          <w:sz w:val="24"/>
          <w:szCs w:val="24"/>
          <w:lang w:val="en-AU"/>
        </w:rPr>
        <w:t>damage, the use of w</w:t>
      </w:r>
      <w:r w:rsidRPr="0065165A">
        <w:rPr>
          <w:rFonts w:ascii="Times New Roman" w:hAnsi="Times New Roman" w:cs="Times New Roman"/>
          <w:sz w:val="24"/>
          <w:szCs w:val="24"/>
          <w:lang w:val="en-AU"/>
        </w:rPr>
        <w:t xml:space="preserve">elfare as a metric rather than GDP is likely to lead </w:t>
      </w:r>
      <w:r w:rsidR="005F27D3">
        <w:rPr>
          <w:rFonts w:ascii="Times New Roman" w:hAnsi="Times New Roman" w:cs="Times New Roman"/>
          <w:sz w:val="24"/>
          <w:szCs w:val="24"/>
          <w:lang w:val="en-AU"/>
        </w:rPr>
        <w:t xml:space="preserve">to </w:t>
      </w:r>
      <w:r w:rsidRPr="0065165A">
        <w:rPr>
          <w:rFonts w:ascii="Times New Roman" w:hAnsi="Times New Roman" w:cs="Times New Roman"/>
          <w:sz w:val="24"/>
          <w:szCs w:val="24"/>
          <w:lang w:val="en-AU"/>
        </w:rPr>
        <w:t xml:space="preserve">quite different conclusions.  </w:t>
      </w:r>
    </w:p>
    <w:p w:rsidR="00591671" w:rsidRPr="0065165A" w:rsidRDefault="00591671" w:rsidP="00284DF8">
      <w:pPr>
        <w:pStyle w:val="ListParagraph"/>
        <w:numPr>
          <w:ilvl w:val="0"/>
          <w:numId w:val="25"/>
        </w:numPr>
        <w:contextualSpacing w:val="0"/>
        <w:rPr>
          <w:rFonts w:ascii="Times New Roman" w:hAnsi="Times New Roman" w:cs="Times New Roman"/>
          <w:sz w:val="24"/>
          <w:szCs w:val="24"/>
          <w:lang w:val="en-AU"/>
        </w:rPr>
      </w:pPr>
      <w:r w:rsidRPr="0065165A">
        <w:rPr>
          <w:rFonts w:ascii="Times New Roman" w:hAnsi="Times New Roman" w:cs="Times New Roman"/>
          <w:sz w:val="24"/>
          <w:szCs w:val="24"/>
          <w:lang w:val="en-AU"/>
        </w:rPr>
        <w:lastRenderedPageBreak/>
        <w:t>With life valued at $</w:t>
      </w:r>
      <w:r w:rsidR="00FD7DB3">
        <w:rPr>
          <w:rFonts w:ascii="Times New Roman" w:hAnsi="Times New Roman" w:cs="Times New Roman"/>
          <w:sz w:val="24"/>
          <w:szCs w:val="24"/>
          <w:lang w:val="en-AU"/>
        </w:rPr>
        <w:t>9</w:t>
      </w:r>
      <w:r w:rsidRPr="0065165A">
        <w:rPr>
          <w:rFonts w:ascii="Times New Roman" w:hAnsi="Times New Roman" w:cs="Times New Roman"/>
          <w:sz w:val="24"/>
          <w:szCs w:val="24"/>
          <w:lang w:val="en-AU"/>
        </w:rPr>
        <w:t>.</w:t>
      </w:r>
      <w:r w:rsidR="00FD7DB3">
        <w:rPr>
          <w:rFonts w:ascii="Times New Roman" w:hAnsi="Times New Roman" w:cs="Times New Roman"/>
          <w:sz w:val="24"/>
          <w:szCs w:val="24"/>
          <w:lang w:val="en-AU"/>
        </w:rPr>
        <w:t>6 million</w:t>
      </w:r>
      <w:r w:rsidRPr="0065165A">
        <w:rPr>
          <w:rFonts w:ascii="Times New Roman" w:hAnsi="Times New Roman" w:cs="Times New Roman"/>
          <w:sz w:val="24"/>
          <w:szCs w:val="24"/>
          <w:lang w:val="en-AU"/>
        </w:rPr>
        <w:t xml:space="preserve">, scenarios with a significant loss of life are likely to generate much bigger welfare losses than those in which the main costs are property losses, </w:t>
      </w:r>
      <w:r w:rsidR="005B3A2E">
        <w:rPr>
          <w:rFonts w:ascii="Times New Roman" w:hAnsi="Times New Roman" w:cs="Times New Roman"/>
          <w:sz w:val="24"/>
          <w:szCs w:val="24"/>
          <w:lang w:val="en-AU"/>
        </w:rPr>
        <w:t>visitor</w:t>
      </w:r>
      <w:r w:rsidRPr="0065165A">
        <w:rPr>
          <w:rFonts w:ascii="Times New Roman" w:hAnsi="Times New Roman" w:cs="Times New Roman"/>
          <w:sz w:val="24"/>
          <w:szCs w:val="24"/>
          <w:lang w:val="en-AU"/>
        </w:rPr>
        <w:t xml:space="preserve"> discouragement and clean</w:t>
      </w:r>
      <w:r w:rsidR="00FD7DB3">
        <w:rPr>
          <w:rFonts w:ascii="Times New Roman" w:hAnsi="Times New Roman" w:cs="Times New Roman"/>
          <w:sz w:val="24"/>
          <w:szCs w:val="24"/>
          <w:lang w:val="en-AU"/>
        </w:rPr>
        <w:t>-</w:t>
      </w:r>
      <w:r w:rsidRPr="0065165A">
        <w:rPr>
          <w:rFonts w:ascii="Times New Roman" w:hAnsi="Times New Roman" w:cs="Times New Roman"/>
          <w:sz w:val="24"/>
          <w:szCs w:val="24"/>
          <w:lang w:val="en-AU"/>
        </w:rPr>
        <w:t xml:space="preserve">up expenses.  </w:t>
      </w:r>
    </w:p>
    <w:p w:rsidR="00591671" w:rsidRPr="0065165A" w:rsidRDefault="00591671" w:rsidP="00284DF8">
      <w:pPr>
        <w:pStyle w:val="ListParagraph"/>
        <w:numPr>
          <w:ilvl w:val="0"/>
          <w:numId w:val="25"/>
        </w:numPr>
        <w:contextualSpacing w:val="0"/>
        <w:rPr>
          <w:rFonts w:ascii="Times New Roman" w:hAnsi="Times New Roman" w:cs="Times New Roman"/>
          <w:sz w:val="24"/>
          <w:szCs w:val="24"/>
          <w:lang w:val="en-AU"/>
        </w:rPr>
      </w:pPr>
      <w:r w:rsidRPr="0065165A">
        <w:rPr>
          <w:rFonts w:ascii="Times New Roman" w:hAnsi="Times New Roman" w:cs="Times New Roman"/>
          <w:sz w:val="24"/>
          <w:szCs w:val="24"/>
          <w:lang w:val="en-AU"/>
        </w:rPr>
        <w:t xml:space="preserve">For scenarios with the same array of $ shocks and deaths, the target region is unimportant in determining outcomes for national variables.  </w:t>
      </w:r>
    </w:p>
    <w:p w:rsidR="00591671" w:rsidRPr="0065165A" w:rsidRDefault="00591671" w:rsidP="00284DF8">
      <w:pPr>
        <w:pStyle w:val="ListParagraph"/>
        <w:numPr>
          <w:ilvl w:val="0"/>
          <w:numId w:val="25"/>
        </w:numPr>
        <w:contextualSpacing w:val="0"/>
        <w:rPr>
          <w:rFonts w:ascii="Times New Roman" w:hAnsi="Times New Roman" w:cs="Times New Roman"/>
          <w:sz w:val="24"/>
          <w:szCs w:val="24"/>
          <w:lang w:val="en-AU"/>
        </w:rPr>
      </w:pPr>
      <w:r w:rsidRPr="0065165A">
        <w:rPr>
          <w:rFonts w:ascii="Times New Roman" w:hAnsi="Times New Roman" w:cs="Times New Roman"/>
          <w:sz w:val="24"/>
          <w:szCs w:val="24"/>
          <w:lang w:val="en-AU"/>
        </w:rPr>
        <w:t xml:space="preserve">By contrast, short-run regional outcomes depend crucially on the target region.  </w:t>
      </w:r>
    </w:p>
    <w:p w:rsidR="00591671" w:rsidRPr="0065165A" w:rsidRDefault="00591671" w:rsidP="00284DF8">
      <w:pPr>
        <w:pStyle w:val="ListParagraph"/>
        <w:numPr>
          <w:ilvl w:val="0"/>
          <w:numId w:val="25"/>
        </w:numPr>
        <w:contextualSpacing w:val="0"/>
        <w:rPr>
          <w:rFonts w:ascii="Times New Roman" w:hAnsi="Times New Roman" w:cs="Times New Roman"/>
          <w:sz w:val="24"/>
          <w:szCs w:val="24"/>
          <w:lang w:val="en-AU"/>
        </w:rPr>
      </w:pPr>
      <w:r w:rsidRPr="0065165A">
        <w:rPr>
          <w:rFonts w:ascii="Times New Roman" w:hAnsi="Times New Roman" w:cs="Times New Roman"/>
          <w:sz w:val="24"/>
          <w:szCs w:val="24"/>
          <w:lang w:val="en-AU"/>
        </w:rPr>
        <w:t>The only shock with significant long-run implications for GDP and national employment is loss of life.</w:t>
      </w:r>
    </w:p>
    <w:p w:rsidR="00591671" w:rsidRPr="0065165A" w:rsidRDefault="00591671" w:rsidP="00284DF8">
      <w:pPr>
        <w:pStyle w:val="ListParagraph"/>
        <w:numPr>
          <w:ilvl w:val="0"/>
          <w:numId w:val="25"/>
        </w:numPr>
        <w:contextualSpacing w:val="0"/>
        <w:rPr>
          <w:rFonts w:ascii="Times New Roman" w:hAnsi="Times New Roman" w:cs="Times New Roman"/>
          <w:sz w:val="24"/>
          <w:szCs w:val="24"/>
          <w:lang w:val="en-AU"/>
        </w:rPr>
      </w:pPr>
      <w:r w:rsidRPr="0065165A">
        <w:rPr>
          <w:rFonts w:ascii="Times New Roman" w:hAnsi="Times New Roman" w:cs="Times New Roman"/>
          <w:sz w:val="24"/>
          <w:szCs w:val="24"/>
          <w:lang w:val="en-AU"/>
        </w:rPr>
        <w:t>The only shock with long-run implications at the regional level that are significantly different from those at the national level is aversion.</w:t>
      </w:r>
    </w:p>
    <w:p w:rsidR="00591671" w:rsidRPr="0065165A" w:rsidRDefault="00591671" w:rsidP="00284DF8">
      <w:pPr>
        <w:pStyle w:val="ListParagraph"/>
        <w:numPr>
          <w:ilvl w:val="0"/>
          <w:numId w:val="25"/>
        </w:numPr>
        <w:contextualSpacing w:val="0"/>
        <w:rPr>
          <w:rFonts w:ascii="Times New Roman" w:hAnsi="Times New Roman" w:cs="Times New Roman"/>
          <w:sz w:val="24"/>
          <w:szCs w:val="24"/>
          <w:lang w:val="en-AU"/>
        </w:rPr>
      </w:pPr>
      <w:r w:rsidRPr="0065165A">
        <w:rPr>
          <w:rFonts w:ascii="Times New Roman" w:hAnsi="Times New Roman" w:cs="Times New Roman"/>
          <w:sz w:val="24"/>
          <w:szCs w:val="24"/>
          <w:lang w:val="en-AU"/>
        </w:rPr>
        <w:t xml:space="preserve">Long-run regional implications for employment can differ sharply from short-run implications.  </w:t>
      </w:r>
    </w:p>
    <w:p w:rsidR="00591671" w:rsidRPr="0065165A" w:rsidRDefault="00591671" w:rsidP="00284DF8">
      <w:pPr>
        <w:pStyle w:val="ListParagraph"/>
        <w:numPr>
          <w:ilvl w:val="0"/>
          <w:numId w:val="25"/>
        </w:numPr>
        <w:contextualSpacing w:val="0"/>
        <w:rPr>
          <w:rFonts w:ascii="Times New Roman" w:hAnsi="Times New Roman" w:cs="Times New Roman"/>
          <w:sz w:val="24"/>
          <w:szCs w:val="24"/>
          <w:lang w:val="en-AU"/>
        </w:rPr>
      </w:pPr>
      <w:r w:rsidRPr="0065165A">
        <w:rPr>
          <w:rFonts w:ascii="Times New Roman" w:hAnsi="Times New Roman" w:cs="Times New Roman"/>
          <w:sz w:val="24"/>
          <w:szCs w:val="24"/>
          <w:lang w:val="en-AU"/>
        </w:rPr>
        <w:t xml:space="preserve">The state of the economy (recessed or non-recessed) can have a significant bearing on the short-run implications for GDP and employment </w:t>
      </w:r>
      <w:r w:rsidR="005B3A2E" w:rsidRPr="0065165A">
        <w:rPr>
          <w:rFonts w:ascii="Times New Roman" w:hAnsi="Times New Roman" w:cs="Times New Roman"/>
          <w:sz w:val="24"/>
          <w:szCs w:val="24"/>
          <w:lang w:val="en-AU"/>
        </w:rPr>
        <w:t xml:space="preserve">of a given scenario </w:t>
      </w:r>
      <w:r w:rsidRPr="0065165A">
        <w:rPr>
          <w:rFonts w:ascii="Times New Roman" w:hAnsi="Times New Roman" w:cs="Times New Roman"/>
          <w:sz w:val="24"/>
          <w:szCs w:val="24"/>
          <w:lang w:val="en-AU"/>
        </w:rPr>
        <w:t xml:space="preserve">at both the national and regional levels.  </w:t>
      </w:r>
    </w:p>
    <w:p w:rsidR="00591671" w:rsidRDefault="00591671" w:rsidP="00284DF8">
      <w:pPr>
        <w:pStyle w:val="ListParagraph"/>
        <w:numPr>
          <w:ilvl w:val="0"/>
          <w:numId w:val="25"/>
        </w:numPr>
        <w:contextualSpacing w:val="0"/>
        <w:rPr>
          <w:rFonts w:ascii="Times New Roman" w:hAnsi="Times New Roman" w:cs="Times New Roman"/>
          <w:sz w:val="24"/>
          <w:szCs w:val="24"/>
          <w:lang w:val="en-AU"/>
        </w:rPr>
      </w:pPr>
      <w:r w:rsidRPr="0065165A">
        <w:rPr>
          <w:rFonts w:ascii="Times New Roman" w:hAnsi="Times New Roman" w:cs="Times New Roman"/>
          <w:sz w:val="24"/>
          <w:szCs w:val="24"/>
          <w:lang w:val="en-AU"/>
        </w:rPr>
        <w:t xml:space="preserve">By contrast, the state of the economy in the year of the incident has almost no bearing on the long-run implications for GDP and employment </w:t>
      </w:r>
      <w:r w:rsidR="00DE3E92">
        <w:rPr>
          <w:rFonts w:ascii="Times New Roman" w:hAnsi="Times New Roman" w:cs="Times New Roman"/>
          <w:sz w:val="24"/>
          <w:szCs w:val="24"/>
          <w:lang w:val="en-AU"/>
        </w:rPr>
        <w:t>but it does have noticeable im</w:t>
      </w:r>
      <w:r w:rsidRPr="0065165A">
        <w:rPr>
          <w:rFonts w:ascii="Times New Roman" w:hAnsi="Times New Roman" w:cs="Times New Roman"/>
          <w:sz w:val="24"/>
          <w:szCs w:val="24"/>
          <w:lang w:val="en-AU"/>
        </w:rPr>
        <w:t>plications for welfare.</w:t>
      </w:r>
    </w:p>
    <w:p w:rsidR="00DE3E92" w:rsidRDefault="00DE3E92" w:rsidP="00284DF8">
      <w:pPr>
        <w:pStyle w:val="ListParagraph"/>
        <w:numPr>
          <w:ilvl w:val="0"/>
          <w:numId w:val="25"/>
        </w:numPr>
        <w:contextualSpacing w:val="0"/>
        <w:rPr>
          <w:rFonts w:ascii="Times New Roman" w:hAnsi="Times New Roman" w:cs="Times New Roman"/>
          <w:sz w:val="24"/>
          <w:szCs w:val="24"/>
          <w:lang w:val="en-AU"/>
        </w:rPr>
      </w:pPr>
      <w:r>
        <w:rPr>
          <w:rFonts w:ascii="Times New Roman" w:hAnsi="Times New Roman" w:cs="Times New Roman"/>
          <w:sz w:val="24"/>
          <w:szCs w:val="24"/>
          <w:lang w:val="en-AU"/>
        </w:rPr>
        <w:t xml:space="preserve">Varying the discount rate for welfare within the range that is usually recommended for cost-benefit analyses is unlikely to have a major impact on the damage ranking of terrorism events.  </w:t>
      </w:r>
    </w:p>
    <w:p w:rsidR="00591671" w:rsidRDefault="00591671" w:rsidP="00591671">
      <w:pPr>
        <w:pStyle w:val="ListParagraph"/>
        <w:ind w:left="0"/>
        <w:contextualSpacing w:val="0"/>
        <w:rPr>
          <w:rFonts w:ascii="Times New Roman" w:hAnsi="Times New Roman" w:cs="Times New Roman"/>
          <w:sz w:val="24"/>
          <w:szCs w:val="24"/>
          <w:lang w:val="en-AU"/>
        </w:rPr>
      </w:pPr>
      <w:r>
        <w:rPr>
          <w:rFonts w:ascii="Times New Roman" w:hAnsi="Times New Roman" w:cs="Times New Roman"/>
          <w:sz w:val="24"/>
          <w:szCs w:val="24"/>
          <w:lang w:val="en-AU"/>
        </w:rPr>
        <w:t>The CGE model underlying GRAD-ECAT is USAGE-TERM.  This is a new variant of USAGE, with a greatly enhanced regional dimension.  The estimation of elasticities, E(s,</w:t>
      </w:r>
      <w:r w:rsidR="00FD7DB3">
        <w:rPr>
          <w:rFonts w:ascii="Times New Roman" w:hAnsi="Times New Roman" w:cs="Times New Roman"/>
          <w:sz w:val="24"/>
          <w:szCs w:val="24"/>
          <w:lang w:val="en-AU"/>
        </w:rPr>
        <w:t>d</w:t>
      </w:r>
      <w:r>
        <w:rPr>
          <w:rFonts w:ascii="Times New Roman" w:hAnsi="Times New Roman" w:cs="Times New Roman"/>
          <w:sz w:val="24"/>
          <w:szCs w:val="24"/>
          <w:lang w:val="en-AU"/>
        </w:rPr>
        <w:t>,</w:t>
      </w:r>
      <w:r w:rsidR="00FD7DB3">
        <w:rPr>
          <w:rFonts w:ascii="Times New Roman" w:hAnsi="Times New Roman" w:cs="Times New Roman"/>
          <w:sz w:val="24"/>
          <w:szCs w:val="24"/>
          <w:lang w:val="en-AU"/>
        </w:rPr>
        <w:t>v</w:t>
      </w:r>
      <w:r>
        <w:rPr>
          <w:rFonts w:ascii="Times New Roman" w:hAnsi="Times New Roman" w:cs="Times New Roman"/>
          <w:sz w:val="24"/>
          <w:szCs w:val="24"/>
          <w:lang w:val="en-AU"/>
        </w:rPr>
        <w:t xml:space="preserve">), for GRAD-ECAT was the first major application of USAGE-TERM.  In the course of applying USAGE-TERM for this project we learnt several technical lessons about the model.  These lead to improvements in: (1) computation through a better treatment of zero data points; (2) estimation of interregional trade flows through more realistic gravity formulas; and (3) delineation of regions.  With regard to this last point, our initial plan was to set up 4-region versions of USAGE-TERM in which the regions were: Target </w:t>
      </w:r>
      <w:r w:rsidR="00B835CD">
        <w:rPr>
          <w:rFonts w:ascii="Times New Roman" w:hAnsi="Times New Roman" w:cs="Times New Roman"/>
          <w:sz w:val="24"/>
          <w:szCs w:val="24"/>
          <w:lang w:val="en-AU"/>
        </w:rPr>
        <w:t>congressional</w:t>
      </w:r>
      <w:r>
        <w:rPr>
          <w:rFonts w:ascii="Times New Roman" w:hAnsi="Times New Roman" w:cs="Times New Roman"/>
          <w:sz w:val="24"/>
          <w:szCs w:val="24"/>
          <w:lang w:val="en-AU"/>
        </w:rPr>
        <w:t xml:space="preserve"> district; Rest of city; Rest of state; and Rest of USA.  This did not prove adequate for coping with joint cities such as NewYork and Newark or for cities on state borders such as Kansas City.  Although we retained the original nomenclature, we defined the regions in the 4-region versions of USAGE-TERM by reference to distances from the centre of the target </w:t>
      </w:r>
      <w:r w:rsidR="00B835CD">
        <w:rPr>
          <w:rFonts w:ascii="Times New Roman" w:hAnsi="Times New Roman" w:cs="Times New Roman"/>
          <w:sz w:val="24"/>
          <w:szCs w:val="24"/>
          <w:lang w:val="en-AU"/>
        </w:rPr>
        <w:t>congressional</w:t>
      </w:r>
      <w:r>
        <w:rPr>
          <w:rFonts w:ascii="Times New Roman" w:hAnsi="Times New Roman" w:cs="Times New Roman"/>
          <w:sz w:val="24"/>
          <w:szCs w:val="24"/>
          <w:lang w:val="en-AU"/>
        </w:rPr>
        <w:t xml:space="preserve"> district.</w:t>
      </w:r>
    </w:p>
    <w:p w:rsidR="00897A46" w:rsidRPr="00897A46" w:rsidRDefault="00897A46" w:rsidP="00897A46">
      <w:pPr>
        <w:rPr>
          <w:rFonts w:ascii="Times New Roman" w:hAnsi="Times New Roman" w:cs="Times New Roman"/>
          <w:b/>
          <w:i/>
          <w:sz w:val="24"/>
          <w:szCs w:val="24"/>
          <w:lang w:val="en-AU"/>
        </w:rPr>
      </w:pPr>
      <w:r w:rsidRPr="00897A46">
        <w:rPr>
          <w:rFonts w:ascii="Times New Roman" w:hAnsi="Times New Roman" w:cs="Times New Roman"/>
          <w:b/>
          <w:i/>
          <w:sz w:val="24"/>
          <w:szCs w:val="24"/>
          <w:lang w:val="en-AU"/>
        </w:rPr>
        <w:t>8.</w:t>
      </w:r>
      <w:r>
        <w:rPr>
          <w:rFonts w:ascii="Times New Roman" w:hAnsi="Times New Roman" w:cs="Times New Roman"/>
          <w:b/>
          <w:i/>
          <w:sz w:val="24"/>
          <w:szCs w:val="24"/>
          <w:lang w:val="en-AU"/>
        </w:rPr>
        <w:t xml:space="preserve">1. </w:t>
      </w:r>
      <w:r w:rsidRPr="00897A46">
        <w:rPr>
          <w:rFonts w:ascii="Times New Roman" w:hAnsi="Times New Roman" w:cs="Times New Roman"/>
          <w:b/>
          <w:i/>
          <w:sz w:val="24"/>
          <w:szCs w:val="24"/>
          <w:lang w:val="en-AU"/>
        </w:rPr>
        <w:t xml:space="preserve"> Directions for </w:t>
      </w:r>
      <w:r>
        <w:rPr>
          <w:rFonts w:ascii="Times New Roman" w:hAnsi="Times New Roman" w:cs="Times New Roman"/>
          <w:b/>
          <w:i/>
          <w:sz w:val="24"/>
          <w:szCs w:val="24"/>
          <w:lang w:val="en-AU"/>
        </w:rPr>
        <w:t>future research</w:t>
      </w:r>
    </w:p>
    <w:p w:rsidR="00591671" w:rsidRDefault="00591671" w:rsidP="00591671">
      <w:pPr>
        <w:pStyle w:val="ListParagraph"/>
        <w:ind w:left="0"/>
        <w:contextualSpacing w:val="0"/>
        <w:rPr>
          <w:rFonts w:ascii="Times New Roman" w:hAnsi="Times New Roman" w:cs="Times New Roman"/>
          <w:sz w:val="24"/>
          <w:szCs w:val="24"/>
          <w:lang w:val="en-AU"/>
        </w:rPr>
      </w:pPr>
      <w:r>
        <w:rPr>
          <w:rFonts w:ascii="Times New Roman" w:hAnsi="Times New Roman" w:cs="Times New Roman"/>
          <w:sz w:val="24"/>
          <w:szCs w:val="24"/>
          <w:lang w:val="en-AU"/>
        </w:rPr>
        <w:t>T</w:t>
      </w:r>
      <w:r w:rsidRPr="0065165A">
        <w:rPr>
          <w:rFonts w:ascii="Times New Roman" w:hAnsi="Times New Roman" w:cs="Times New Roman"/>
          <w:sz w:val="24"/>
          <w:szCs w:val="24"/>
          <w:lang w:val="en-AU"/>
        </w:rPr>
        <w:t>here are many ways in which GRAD-ECAT can be improved and developed further.</w:t>
      </w:r>
      <w:r>
        <w:rPr>
          <w:rFonts w:ascii="Times New Roman" w:hAnsi="Times New Roman" w:cs="Times New Roman"/>
          <w:sz w:val="24"/>
          <w:szCs w:val="24"/>
          <w:lang w:val="en-AU"/>
        </w:rPr>
        <w:t xml:space="preserve">  Here we discuss five.  </w:t>
      </w:r>
    </w:p>
    <w:p w:rsidR="00591671" w:rsidRDefault="00591671" w:rsidP="00591671">
      <w:pPr>
        <w:pStyle w:val="ListParagraph"/>
        <w:ind w:left="0"/>
        <w:contextualSpacing w:val="0"/>
        <w:rPr>
          <w:rFonts w:ascii="Times New Roman" w:hAnsi="Times New Roman" w:cs="Times New Roman"/>
          <w:sz w:val="24"/>
          <w:szCs w:val="24"/>
          <w:lang w:val="en-AU"/>
        </w:rPr>
      </w:pPr>
      <w:r>
        <w:rPr>
          <w:rFonts w:ascii="Times New Roman" w:hAnsi="Times New Roman" w:cs="Times New Roman"/>
          <w:sz w:val="24"/>
          <w:szCs w:val="24"/>
          <w:lang w:val="en-AU"/>
        </w:rPr>
        <w:t>First, we could improve the estimation of the elasticities, E</w:t>
      </w:r>
      <w:r w:rsidR="005B3A2E">
        <w:rPr>
          <w:rFonts w:ascii="Times New Roman" w:hAnsi="Times New Roman" w:cs="Times New Roman"/>
          <w:sz w:val="24"/>
          <w:szCs w:val="24"/>
          <w:vertAlign w:val="subscript"/>
          <w:lang w:val="en-AU"/>
        </w:rPr>
        <w:t>A</w:t>
      </w:r>
      <w:r>
        <w:rPr>
          <w:rFonts w:ascii="Times New Roman" w:hAnsi="Times New Roman" w:cs="Times New Roman"/>
          <w:sz w:val="24"/>
          <w:szCs w:val="24"/>
          <w:lang w:val="en-AU"/>
        </w:rPr>
        <w:t>(s,</w:t>
      </w:r>
      <w:r w:rsidR="00BF611A">
        <w:rPr>
          <w:rFonts w:ascii="Times New Roman" w:hAnsi="Times New Roman" w:cs="Times New Roman"/>
          <w:sz w:val="24"/>
          <w:szCs w:val="24"/>
          <w:lang w:val="en-AU"/>
        </w:rPr>
        <w:t>d,v</w:t>
      </w:r>
      <w:r>
        <w:rPr>
          <w:rFonts w:ascii="Times New Roman" w:hAnsi="Times New Roman" w:cs="Times New Roman"/>
          <w:sz w:val="24"/>
          <w:szCs w:val="24"/>
          <w:lang w:val="en-AU"/>
        </w:rPr>
        <w:t xml:space="preserve">).  Detailed examination of </w:t>
      </w:r>
      <w:r w:rsidR="005B3A2E">
        <w:rPr>
          <w:rFonts w:ascii="Times New Roman" w:hAnsi="Times New Roman" w:cs="Times New Roman"/>
          <w:sz w:val="24"/>
          <w:szCs w:val="24"/>
          <w:lang w:val="en-AU"/>
        </w:rPr>
        <w:t>the t</w:t>
      </w:r>
      <w:r w:rsidR="00F73BEE">
        <w:rPr>
          <w:rFonts w:ascii="Times New Roman" w:hAnsi="Times New Roman" w:cs="Times New Roman"/>
          <w:sz w:val="24"/>
          <w:szCs w:val="24"/>
          <w:lang w:val="en-AU"/>
        </w:rPr>
        <w:t xml:space="preserve">ables </w:t>
      </w:r>
      <w:r w:rsidR="005B3A2E">
        <w:rPr>
          <w:rFonts w:ascii="Times New Roman" w:hAnsi="Times New Roman" w:cs="Times New Roman"/>
          <w:sz w:val="24"/>
          <w:szCs w:val="24"/>
          <w:lang w:val="en-AU"/>
        </w:rPr>
        <w:t xml:space="preserve">in appendix 1containing </w:t>
      </w:r>
      <w:r w:rsidR="00F73BEE">
        <w:rPr>
          <w:rFonts w:ascii="Times New Roman" w:hAnsi="Times New Roman" w:cs="Times New Roman"/>
          <w:sz w:val="24"/>
          <w:szCs w:val="24"/>
          <w:lang w:val="en-AU"/>
        </w:rPr>
        <w:t xml:space="preserve">the </w:t>
      </w:r>
      <w:r>
        <w:rPr>
          <w:rFonts w:ascii="Times New Roman" w:hAnsi="Times New Roman" w:cs="Times New Roman"/>
          <w:sz w:val="24"/>
          <w:szCs w:val="24"/>
          <w:lang w:val="en-AU"/>
        </w:rPr>
        <w:t>proportionality coefficients</w:t>
      </w:r>
      <w:r w:rsidR="00F73BEE">
        <w:rPr>
          <w:rFonts w:ascii="Times New Roman" w:hAnsi="Times New Roman" w:cs="Times New Roman"/>
          <w:sz w:val="24"/>
          <w:szCs w:val="24"/>
          <w:lang w:val="en-AU"/>
        </w:rPr>
        <w:t xml:space="preserve">, C(s,v), </w:t>
      </w:r>
      <w:r>
        <w:rPr>
          <w:rFonts w:ascii="Times New Roman" w:hAnsi="Times New Roman" w:cs="Times New Roman"/>
          <w:sz w:val="24"/>
          <w:szCs w:val="24"/>
          <w:lang w:val="en-AU"/>
        </w:rPr>
        <w:t xml:space="preserve">reveals that for some of the driving factors, s, and some of the implication variables </w:t>
      </w:r>
      <w:r w:rsidR="00BF611A">
        <w:rPr>
          <w:rFonts w:ascii="Times New Roman" w:hAnsi="Times New Roman" w:cs="Times New Roman"/>
          <w:sz w:val="24"/>
          <w:szCs w:val="24"/>
          <w:lang w:val="en-AU"/>
        </w:rPr>
        <w:t>v</w:t>
      </w:r>
      <w:r>
        <w:rPr>
          <w:rFonts w:ascii="Times New Roman" w:hAnsi="Times New Roman" w:cs="Times New Roman"/>
          <w:sz w:val="24"/>
          <w:szCs w:val="24"/>
          <w:lang w:val="en-AU"/>
        </w:rPr>
        <w:t xml:space="preserve">, especially regional variables, there is considerable variation across our estimates.  This means that </w:t>
      </w:r>
      <w:r w:rsidR="00F73BEE">
        <w:rPr>
          <w:rFonts w:ascii="Times New Roman" w:hAnsi="Times New Roman" w:cs="Times New Roman"/>
          <w:sz w:val="24"/>
          <w:szCs w:val="24"/>
          <w:lang w:val="en-AU"/>
        </w:rPr>
        <w:t>the</w:t>
      </w:r>
      <w:r>
        <w:rPr>
          <w:rFonts w:ascii="Times New Roman" w:hAnsi="Times New Roman" w:cs="Times New Roman"/>
          <w:sz w:val="24"/>
          <w:szCs w:val="24"/>
          <w:lang w:val="en-AU"/>
        </w:rPr>
        <w:t xml:space="preserve"> </w:t>
      </w:r>
      <w:r w:rsidR="00BF611A">
        <w:rPr>
          <w:rFonts w:ascii="Times New Roman" w:hAnsi="Times New Roman" w:cs="Times New Roman"/>
          <w:sz w:val="24"/>
          <w:szCs w:val="24"/>
          <w:lang w:val="en-AU"/>
        </w:rPr>
        <w:t>relevant variables, R</w:t>
      </w:r>
      <w:r>
        <w:rPr>
          <w:rFonts w:ascii="Times New Roman" w:hAnsi="Times New Roman" w:cs="Times New Roman"/>
          <w:sz w:val="24"/>
          <w:szCs w:val="24"/>
          <w:lang w:val="en-AU"/>
        </w:rPr>
        <w:t>V(s,</w:t>
      </w:r>
      <w:r w:rsidR="00BF611A">
        <w:rPr>
          <w:rFonts w:ascii="Times New Roman" w:hAnsi="Times New Roman" w:cs="Times New Roman"/>
          <w:sz w:val="24"/>
          <w:szCs w:val="24"/>
          <w:lang w:val="en-AU"/>
        </w:rPr>
        <w:t>d</w:t>
      </w:r>
      <w:r>
        <w:rPr>
          <w:rFonts w:ascii="Times New Roman" w:hAnsi="Times New Roman" w:cs="Times New Roman"/>
          <w:sz w:val="24"/>
          <w:szCs w:val="24"/>
          <w:lang w:val="en-AU"/>
        </w:rPr>
        <w:t>,</w:t>
      </w:r>
      <w:r w:rsidR="00BF611A">
        <w:rPr>
          <w:rFonts w:ascii="Times New Roman" w:hAnsi="Times New Roman" w:cs="Times New Roman"/>
          <w:sz w:val="24"/>
          <w:szCs w:val="24"/>
          <w:lang w:val="en-AU"/>
        </w:rPr>
        <w:t>v</w:t>
      </w:r>
      <w:r>
        <w:rPr>
          <w:rFonts w:ascii="Times New Roman" w:hAnsi="Times New Roman" w:cs="Times New Roman"/>
          <w:sz w:val="24"/>
          <w:szCs w:val="24"/>
          <w:lang w:val="en-AU"/>
        </w:rPr>
        <w:t>)</w:t>
      </w:r>
      <w:r w:rsidR="00BF611A">
        <w:rPr>
          <w:rFonts w:ascii="Times New Roman" w:hAnsi="Times New Roman" w:cs="Times New Roman"/>
          <w:sz w:val="24"/>
          <w:szCs w:val="24"/>
          <w:lang w:val="en-AU"/>
        </w:rPr>
        <w:t xml:space="preserve">, </w:t>
      </w:r>
      <w:r>
        <w:rPr>
          <w:rFonts w:ascii="Times New Roman" w:hAnsi="Times New Roman" w:cs="Times New Roman"/>
          <w:sz w:val="24"/>
          <w:szCs w:val="24"/>
          <w:lang w:val="en-AU"/>
        </w:rPr>
        <w:t xml:space="preserve">do not fully encapsulate all of the factors in USAGE-TERM that explain differences </w:t>
      </w:r>
      <w:r w:rsidR="00F73BEE">
        <w:rPr>
          <w:rFonts w:ascii="Times New Roman" w:hAnsi="Times New Roman" w:cs="Times New Roman"/>
          <w:sz w:val="24"/>
          <w:szCs w:val="24"/>
          <w:lang w:val="en-AU"/>
        </w:rPr>
        <w:t xml:space="preserve">across  target regions d </w:t>
      </w:r>
      <w:r>
        <w:rPr>
          <w:rFonts w:ascii="Times New Roman" w:hAnsi="Times New Roman" w:cs="Times New Roman"/>
          <w:sz w:val="24"/>
          <w:szCs w:val="24"/>
          <w:lang w:val="en-AU"/>
        </w:rPr>
        <w:t xml:space="preserve">in the reaction of </w:t>
      </w:r>
      <w:r w:rsidR="00F73BEE">
        <w:rPr>
          <w:rFonts w:ascii="Times New Roman" w:hAnsi="Times New Roman" w:cs="Times New Roman"/>
          <w:sz w:val="24"/>
          <w:szCs w:val="24"/>
          <w:lang w:val="en-AU"/>
        </w:rPr>
        <w:t xml:space="preserve">implication variable </w:t>
      </w:r>
      <w:r w:rsidR="00BF611A">
        <w:rPr>
          <w:rFonts w:ascii="Times New Roman" w:hAnsi="Times New Roman" w:cs="Times New Roman"/>
          <w:sz w:val="24"/>
          <w:szCs w:val="24"/>
          <w:lang w:val="en-AU"/>
        </w:rPr>
        <w:t>v</w:t>
      </w:r>
      <w:r>
        <w:rPr>
          <w:rFonts w:ascii="Times New Roman" w:hAnsi="Times New Roman" w:cs="Times New Roman"/>
          <w:sz w:val="24"/>
          <w:szCs w:val="24"/>
          <w:lang w:val="en-AU"/>
        </w:rPr>
        <w:t xml:space="preserve"> to </w:t>
      </w:r>
      <w:r w:rsidR="00F73BEE">
        <w:rPr>
          <w:rFonts w:ascii="Times New Roman" w:hAnsi="Times New Roman" w:cs="Times New Roman"/>
          <w:sz w:val="24"/>
          <w:szCs w:val="24"/>
          <w:lang w:val="en-AU"/>
        </w:rPr>
        <w:t>shocks of type s.</w:t>
      </w:r>
      <w:r>
        <w:rPr>
          <w:rFonts w:ascii="Times New Roman" w:hAnsi="Times New Roman" w:cs="Times New Roman"/>
          <w:sz w:val="24"/>
          <w:szCs w:val="24"/>
          <w:lang w:val="en-AU"/>
        </w:rPr>
        <w:t xml:space="preserve">  Further research on the </w:t>
      </w:r>
      <w:r w:rsidR="00BF611A">
        <w:rPr>
          <w:rFonts w:ascii="Times New Roman" w:hAnsi="Times New Roman" w:cs="Times New Roman"/>
          <w:sz w:val="24"/>
          <w:szCs w:val="24"/>
          <w:lang w:val="en-AU"/>
        </w:rPr>
        <w:t>R</w:t>
      </w:r>
      <w:r>
        <w:rPr>
          <w:rFonts w:ascii="Times New Roman" w:hAnsi="Times New Roman" w:cs="Times New Roman"/>
          <w:sz w:val="24"/>
          <w:szCs w:val="24"/>
          <w:lang w:val="en-AU"/>
        </w:rPr>
        <w:t>V(s,</w:t>
      </w:r>
      <w:r w:rsidR="00BF611A">
        <w:rPr>
          <w:rFonts w:ascii="Times New Roman" w:hAnsi="Times New Roman" w:cs="Times New Roman"/>
          <w:sz w:val="24"/>
          <w:szCs w:val="24"/>
          <w:lang w:val="en-AU"/>
        </w:rPr>
        <w:t>d</w:t>
      </w:r>
      <w:r>
        <w:rPr>
          <w:rFonts w:ascii="Times New Roman" w:hAnsi="Times New Roman" w:cs="Times New Roman"/>
          <w:sz w:val="24"/>
          <w:szCs w:val="24"/>
          <w:lang w:val="en-AU"/>
        </w:rPr>
        <w:t>,</w:t>
      </w:r>
      <w:r w:rsidR="00BF611A">
        <w:rPr>
          <w:rFonts w:ascii="Times New Roman" w:hAnsi="Times New Roman" w:cs="Times New Roman"/>
          <w:sz w:val="24"/>
          <w:szCs w:val="24"/>
          <w:lang w:val="en-AU"/>
        </w:rPr>
        <w:t>v</w:t>
      </w:r>
      <w:r>
        <w:rPr>
          <w:rFonts w:ascii="Times New Roman" w:hAnsi="Times New Roman" w:cs="Times New Roman"/>
          <w:sz w:val="24"/>
          <w:szCs w:val="24"/>
          <w:lang w:val="en-AU"/>
        </w:rPr>
        <w:t>)s would allow us to improve the estimation of elasticities by bringing the estimates of the proportionality coefficients C(s,</w:t>
      </w:r>
      <w:r w:rsidR="00F73BEE">
        <w:rPr>
          <w:rFonts w:ascii="Times New Roman" w:hAnsi="Times New Roman" w:cs="Times New Roman"/>
          <w:sz w:val="24"/>
          <w:szCs w:val="24"/>
          <w:lang w:val="en-AU"/>
        </w:rPr>
        <w:t>v</w:t>
      </w:r>
      <w:r>
        <w:rPr>
          <w:rFonts w:ascii="Times New Roman" w:hAnsi="Times New Roman" w:cs="Times New Roman"/>
          <w:sz w:val="24"/>
          <w:szCs w:val="24"/>
          <w:lang w:val="en-AU"/>
        </w:rPr>
        <w:t xml:space="preserve">) </w:t>
      </w:r>
      <w:r w:rsidR="00F73BEE">
        <w:rPr>
          <w:rFonts w:ascii="Times New Roman" w:hAnsi="Times New Roman" w:cs="Times New Roman"/>
          <w:sz w:val="24"/>
          <w:szCs w:val="24"/>
          <w:lang w:val="en-AU"/>
        </w:rPr>
        <w:t xml:space="preserve">more closely </w:t>
      </w:r>
      <w:r>
        <w:rPr>
          <w:rFonts w:ascii="Times New Roman" w:hAnsi="Times New Roman" w:cs="Times New Roman"/>
          <w:sz w:val="24"/>
          <w:szCs w:val="24"/>
          <w:lang w:val="en-AU"/>
        </w:rPr>
        <w:t xml:space="preserve">into line.  </w:t>
      </w:r>
      <w:r w:rsidR="00F73BEE">
        <w:rPr>
          <w:rFonts w:ascii="Times New Roman" w:hAnsi="Times New Roman" w:cs="Times New Roman"/>
          <w:sz w:val="24"/>
          <w:szCs w:val="24"/>
          <w:lang w:val="en-AU"/>
        </w:rPr>
        <w:lastRenderedPageBreak/>
        <w:t xml:space="preserve">There are also possibilities for improving the consistency of the estimates of the C(s,v)s by making improvements in the specification of USAGE-TERM.  For example, in </w:t>
      </w:r>
      <w:r w:rsidR="005B3A2E">
        <w:rPr>
          <w:rFonts w:ascii="Times New Roman" w:hAnsi="Times New Roman" w:cs="Times New Roman"/>
          <w:sz w:val="24"/>
          <w:szCs w:val="24"/>
          <w:lang w:val="en-AU"/>
        </w:rPr>
        <w:t>a</w:t>
      </w:r>
      <w:r w:rsidR="00F73BEE">
        <w:rPr>
          <w:rFonts w:ascii="Times New Roman" w:hAnsi="Times New Roman" w:cs="Times New Roman"/>
          <w:sz w:val="24"/>
          <w:szCs w:val="24"/>
          <w:lang w:val="en-AU"/>
        </w:rPr>
        <w:t xml:space="preserve">ppendix </w:t>
      </w:r>
      <w:r w:rsidR="005B3A2E">
        <w:rPr>
          <w:rFonts w:ascii="Times New Roman" w:hAnsi="Times New Roman" w:cs="Times New Roman"/>
          <w:sz w:val="24"/>
          <w:szCs w:val="24"/>
          <w:lang w:val="en-AU"/>
        </w:rPr>
        <w:t xml:space="preserve">1 </w:t>
      </w:r>
      <w:r w:rsidR="00F73BEE">
        <w:rPr>
          <w:rFonts w:ascii="Times New Roman" w:hAnsi="Times New Roman" w:cs="Times New Roman"/>
          <w:sz w:val="24"/>
          <w:szCs w:val="24"/>
          <w:lang w:val="en-AU"/>
        </w:rPr>
        <w:t xml:space="preserve">we pinpointed a problem with the treatment of indirect taxes that led to inconsistencies in the C(s,v) estimates for s equals food loss in the U.S. and v equals year-1 regional variable.  </w:t>
      </w:r>
    </w:p>
    <w:p w:rsidR="00591671" w:rsidRDefault="00591671" w:rsidP="00591671">
      <w:pPr>
        <w:pStyle w:val="ListParagraph"/>
        <w:ind w:left="0"/>
        <w:contextualSpacing w:val="0"/>
        <w:rPr>
          <w:rFonts w:ascii="Times New Roman" w:hAnsi="Times New Roman" w:cs="Times New Roman"/>
          <w:sz w:val="24"/>
          <w:szCs w:val="24"/>
          <w:lang w:val="en-AU"/>
        </w:rPr>
      </w:pPr>
      <w:r>
        <w:rPr>
          <w:rFonts w:ascii="Times New Roman" w:hAnsi="Times New Roman" w:cs="Times New Roman"/>
          <w:sz w:val="24"/>
          <w:szCs w:val="24"/>
          <w:lang w:val="en-AU"/>
        </w:rPr>
        <w:t>Second, we could reduce doubt about the legitimacy of the E</w:t>
      </w:r>
      <w:r w:rsidR="005B3A2E">
        <w:rPr>
          <w:rFonts w:ascii="Times New Roman" w:hAnsi="Times New Roman" w:cs="Times New Roman"/>
          <w:sz w:val="24"/>
          <w:szCs w:val="24"/>
          <w:vertAlign w:val="subscript"/>
          <w:lang w:val="en-AU"/>
        </w:rPr>
        <w:t>A</w:t>
      </w:r>
      <w:r>
        <w:rPr>
          <w:rFonts w:ascii="Times New Roman" w:hAnsi="Times New Roman" w:cs="Times New Roman"/>
          <w:sz w:val="24"/>
          <w:szCs w:val="24"/>
          <w:lang w:val="en-AU"/>
        </w:rPr>
        <w:t>(s,</w:t>
      </w:r>
      <w:r w:rsidR="002A517D">
        <w:rPr>
          <w:rFonts w:ascii="Times New Roman" w:hAnsi="Times New Roman" w:cs="Times New Roman"/>
          <w:sz w:val="24"/>
          <w:szCs w:val="24"/>
          <w:lang w:val="en-AU"/>
        </w:rPr>
        <w:t>d</w:t>
      </w:r>
      <w:r>
        <w:rPr>
          <w:rFonts w:ascii="Times New Roman" w:hAnsi="Times New Roman" w:cs="Times New Roman"/>
          <w:sz w:val="24"/>
          <w:szCs w:val="24"/>
          <w:lang w:val="en-AU"/>
        </w:rPr>
        <w:t>,</w:t>
      </w:r>
      <w:r w:rsidR="002A517D">
        <w:rPr>
          <w:rFonts w:ascii="Times New Roman" w:hAnsi="Times New Roman" w:cs="Times New Roman"/>
          <w:sz w:val="24"/>
          <w:szCs w:val="24"/>
          <w:lang w:val="en-AU"/>
        </w:rPr>
        <w:t>v</w:t>
      </w:r>
      <w:r>
        <w:rPr>
          <w:rFonts w:ascii="Times New Roman" w:hAnsi="Times New Roman" w:cs="Times New Roman"/>
          <w:sz w:val="24"/>
          <w:szCs w:val="24"/>
          <w:lang w:val="en-AU"/>
        </w:rPr>
        <w:t xml:space="preserve">) estimates by basing them on more than four models.  Initially we made estimates of the </w:t>
      </w:r>
      <w:r w:rsidR="002A517D">
        <w:rPr>
          <w:rFonts w:ascii="Times New Roman" w:hAnsi="Times New Roman" w:cs="Times New Roman"/>
          <w:sz w:val="24"/>
          <w:szCs w:val="24"/>
          <w:lang w:val="en-AU"/>
        </w:rPr>
        <w:t>E</w:t>
      </w:r>
      <w:r w:rsidR="005B3A2E">
        <w:rPr>
          <w:rFonts w:ascii="Times New Roman" w:hAnsi="Times New Roman" w:cs="Times New Roman"/>
          <w:sz w:val="24"/>
          <w:szCs w:val="24"/>
          <w:vertAlign w:val="subscript"/>
          <w:lang w:val="en-AU"/>
        </w:rPr>
        <w:t>A</w:t>
      </w:r>
      <w:r w:rsidR="002A517D">
        <w:rPr>
          <w:rFonts w:ascii="Times New Roman" w:hAnsi="Times New Roman" w:cs="Times New Roman"/>
          <w:sz w:val="24"/>
          <w:szCs w:val="24"/>
          <w:lang w:val="en-AU"/>
        </w:rPr>
        <w:t>(s,d,v</w:t>
      </w:r>
      <w:r>
        <w:rPr>
          <w:rFonts w:ascii="Times New Roman" w:hAnsi="Times New Roman" w:cs="Times New Roman"/>
          <w:sz w:val="24"/>
          <w:szCs w:val="24"/>
          <w:lang w:val="en-AU"/>
        </w:rPr>
        <w:t xml:space="preserve">)s based on three 4-region models.  In these models the target regions were FL24, AZ07 and WA09.  Subsequently we added a fourth model with the target region being NY14.  The addition of the fourth model lead to noticeable modifications in some of the elasticity estimates.  On this basis it seems worthwhile to make further increases in the number of 4-region models underlying the elasticity estimation.  </w:t>
      </w:r>
    </w:p>
    <w:p w:rsidR="00591671" w:rsidRDefault="00591671" w:rsidP="00591671">
      <w:pPr>
        <w:pStyle w:val="ListParagraph"/>
        <w:ind w:left="0"/>
        <w:contextualSpacing w:val="0"/>
        <w:rPr>
          <w:rFonts w:ascii="Times New Roman" w:hAnsi="Times New Roman" w:cs="Times New Roman"/>
          <w:sz w:val="24"/>
          <w:szCs w:val="24"/>
          <w:lang w:val="en-AU"/>
        </w:rPr>
      </w:pPr>
      <w:r>
        <w:rPr>
          <w:rFonts w:ascii="Times New Roman" w:hAnsi="Times New Roman" w:cs="Times New Roman"/>
          <w:sz w:val="24"/>
          <w:szCs w:val="24"/>
          <w:lang w:val="en-AU"/>
        </w:rPr>
        <w:t xml:space="preserve">Third, we could improve the equations for estimating the effects of scenarios on implication variables.  In the present version of GRAD-ECAT these equations have the linear form: </w:t>
      </w:r>
    </w:p>
    <w:p w:rsidR="00591671" w:rsidRDefault="004B40A3" w:rsidP="00591671">
      <w:pPr>
        <w:pStyle w:val="ListParagraph"/>
        <w:ind w:left="0" w:firstLine="720"/>
        <w:contextualSpacing w:val="0"/>
        <w:rPr>
          <w:rFonts w:ascii="Times New Roman" w:hAnsi="Times New Roman" w:cs="Times New Roman"/>
          <w:sz w:val="24"/>
          <w:szCs w:val="24"/>
          <w:lang w:val="en-AU"/>
        </w:rPr>
      </w:pPr>
      <w:r w:rsidRPr="0066193B">
        <w:rPr>
          <w:rFonts w:ascii="Times New Roman" w:hAnsi="Times New Roman" w:cs="Times New Roman"/>
          <w:color w:val="000000"/>
          <w:position w:val="-26"/>
          <w:sz w:val="20"/>
          <w:szCs w:val="20"/>
        </w:rPr>
        <w:object w:dxaOrig="3860" w:dyaOrig="620">
          <v:shape id="_x0000_i1054" type="#_x0000_t75" style="width:194.4pt;height:28.8pt" o:ole="">
            <v:imagedata r:id="rId69" o:title=""/>
          </v:shape>
          <o:OLEObject Type="Embed" ProgID="Equation.DSMT4" ShapeID="_x0000_i1054" DrawAspect="Content" ObjectID="_1553159862" r:id="rId70"/>
        </w:object>
      </w:r>
      <w:r w:rsidR="00591671">
        <w:rPr>
          <w:rFonts w:ascii="Times New Roman" w:hAnsi="Times New Roman" w:cs="Times New Roman"/>
          <w:color w:val="000000"/>
          <w:sz w:val="20"/>
          <w:szCs w:val="20"/>
        </w:rPr>
        <w:t xml:space="preserve">   </w:t>
      </w:r>
      <w:r w:rsidR="00F7638B">
        <w:rPr>
          <w:rFonts w:ascii="Times New Roman" w:hAnsi="Times New Roman" w:cs="Times New Roman"/>
          <w:color w:val="000000"/>
          <w:sz w:val="20"/>
          <w:szCs w:val="20"/>
        </w:rPr>
        <w:t>,</w:t>
      </w:r>
      <w:r w:rsidR="00591671">
        <w:rPr>
          <w:rFonts w:ascii="Times New Roman" w:hAnsi="Times New Roman" w:cs="Times New Roman"/>
          <w:color w:val="000000"/>
          <w:sz w:val="20"/>
          <w:szCs w:val="20"/>
        </w:rPr>
        <w:tab/>
      </w:r>
      <w:r w:rsidR="00591671">
        <w:rPr>
          <w:rFonts w:ascii="Times New Roman" w:hAnsi="Times New Roman" w:cs="Times New Roman"/>
          <w:color w:val="000000"/>
          <w:sz w:val="20"/>
          <w:szCs w:val="20"/>
        </w:rPr>
        <w:tab/>
      </w:r>
      <w:r w:rsidR="00591671">
        <w:rPr>
          <w:rFonts w:ascii="Times New Roman" w:hAnsi="Times New Roman" w:cs="Times New Roman"/>
          <w:color w:val="000000"/>
          <w:sz w:val="20"/>
          <w:szCs w:val="20"/>
        </w:rPr>
        <w:tab/>
      </w:r>
      <w:r w:rsidR="00591671">
        <w:rPr>
          <w:rFonts w:ascii="Times New Roman" w:hAnsi="Times New Roman" w:cs="Times New Roman"/>
          <w:color w:val="000000"/>
          <w:sz w:val="20"/>
          <w:szCs w:val="20"/>
        </w:rPr>
        <w:tab/>
      </w:r>
      <w:r w:rsidR="00591671">
        <w:rPr>
          <w:rFonts w:ascii="Times New Roman" w:hAnsi="Times New Roman" w:cs="Times New Roman"/>
          <w:color w:val="000000"/>
          <w:sz w:val="20"/>
          <w:szCs w:val="20"/>
        </w:rPr>
        <w:tab/>
        <w:t>(</w:t>
      </w:r>
      <w:r w:rsidR="002A517D">
        <w:rPr>
          <w:rFonts w:ascii="Times New Roman" w:hAnsi="Times New Roman" w:cs="Times New Roman"/>
          <w:color w:val="000000"/>
          <w:sz w:val="20"/>
          <w:szCs w:val="20"/>
        </w:rPr>
        <w:t>8.1</w:t>
      </w:r>
      <w:r w:rsidR="00591671">
        <w:rPr>
          <w:rFonts w:ascii="Times New Roman" w:hAnsi="Times New Roman" w:cs="Times New Roman"/>
          <w:color w:val="000000"/>
          <w:sz w:val="20"/>
          <w:szCs w:val="20"/>
        </w:rPr>
        <w:t>)</w:t>
      </w:r>
    </w:p>
    <w:p w:rsidR="00591671" w:rsidRDefault="00F7638B" w:rsidP="00591671">
      <w:pPr>
        <w:pStyle w:val="ListParagraph"/>
        <w:ind w:left="0"/>
        <w:contextualSpacing w:val="0"/>
        <w:rPr>
          <w:rFonts w:ascii="Times New Roman" w:hAnsi="Times New Roman" w:cs="Times New Roman"/>
          <w:sz w:val="24"/>
          <w:szCs w:val="24"/>
          <w:lang w:val="en-AU"/>
        </w:rPr>
      </w:pPr>
      <w:r>
        <w:rPr>
          <w:rFonts w:ascii="Times New Roman" w:hAnsi="Times New Roman" w:cs="Times New Roman"/>
          <w:sz w:val="24"/>
          <w:szCs w:val="24"/>
          <w:lang w:val="en-AU"/>
        </w:rPr>
        <w:t xml:space="preserve">where the notation was explained with reference to equation (3.1).  </w:t>
      </w:r>
      <w:r w:rsidR="003B7D7E">
        <w:rPr>
          <w:rFonts w:ascii="Times New Roman" w:hAnsi="Times New Roman" w:cs="Times New Roman"/>
          <w:sz w:val="24"/>
          <w:szCs w:val="24"/>
          <w:lang w:val="en-AU"/>
        </w:rPr>
        <w:t>Through</w:t>
      </w:r>
      <w:r w:rsidR="00591671">
        <w:rPr>
          <w:rFonts w:ascii="Times New Roman" w:hAnsi="Times New Roman" w:cs="Times New Roman"/>
          <w:sz w:val="24"/>
          <w:szCs w:val="24"/>
          <w:lang w:val="en-AU"/>
        </w:rPr>
        <w:t xml:space="preserve"> </w:t>
      </w:r>
      <w:r w:rsidR="003B7D7E">
        <w:rPr>
          <w:rFonts w:ascii="Times New Roman" w:hAnsi="Times New Roman" w:cs="Times New Roman"/>
          <w:sz w:val="24"/>
          <w:szCs w:val="24"/>
          <w:lang w:val="en-AU"/>
        </w:rPr>
        <w:t xml:space="preserve">(8.1), </w:t>
      </w:r>
      <w:r>
        <w:rPr>
          <w:rFonts w:ascii="Times New Roman" w:hAnsi="Times New Roman" w:cs="Times New Roman"/>
          <w:sz w:val="24"/>
          <w:szCs w:val="24"/>
          <w:lang w:val="en-AU"/>
        </w:rPr>
        <w:t>GRAD-ECAT</w:t>
      </w:r>
      <w:r w:rsidR="00591671">
        <w:rPr>
          <w:rFonts w:ascii="Times New Roman" w:hAnsi="Times New Roman" w:cs="Times New Roman"/>
          <w:sz w:val="24"/>
          <w:szCs w:val="24"/>
          <w:lang w:val="en-AU"/>
        </w:rPr>
        <w:t xml:space="preserve"> provide</w:t>
      </w:r>
      <w:r>
        <w:rPr>
          <w:rFonts w:ascii="Times New Roman" w:hAnsi="Times New Roman" w:cs="Times New Roman"/>
          <w:sz w:val="24"/>
          <w:szCs w:val="24"/>
          <w:lang w:val="en-AU"/>
        </w:rPr>
        <w:t>s</w:t>
      </w:r>
      <w:r w:rsidR="00591671">
        <w:rPr>
          <w:rFonts w:ascii="Times New Roman" w:hAnsi="Times New Roman" w:cs="Times New Roman"/>
          <w:sz w:val="24"/>
          <w:szCs w:val="24"/>
          <w:lang w:val="en-AU"/>
        </w:rPr>
        <w:t xml:space="preserve"> a linear approximation to the USAGE-TERM relationships between driving factors and implication variables.  In future research we should test the adequacy of these linear equations by comparing their outcomes for implication variables with those obtained from simulations with USAGE-TERM.  Starting from these comparisons it is likely that we could find non-linear versions of (</w:t>
      </w:r>
      <w:r>
        <w:rPr>
          <w:rFonts w:ascii="Times New Roman" w:hAnsi="Times New Roman" w:cs="Times New Roman"/>
          <w:sz w:val="24"/>
          <w:szCs w:val="24"/>
          <w:lang w:val="en-AU"/>
        </w:rPr>
        <w:t>8.1</w:t>
      </w:r>
      <w:r w:rsidR="00591671">
        <w:rPr>
          <w:rFonts w:ascii="Times New Roman" w:hAnsi="Times New Roman" w:cs="Times New Roman"/>
          <w:sz w:val="24"/>
          <w:szCs w:val="24"/>
          <w:lang w:val="en-AU"/>
        </w:rPr>
        <w:t>) that would more accurately approximate the USAGE-TERM relationships between driving and implication variables.</w:t>
      </w:r>
    </w:p>
    <w:p w:rsidR="00591671" w:rsidRDefault="00591671" w:rsidP="00591671">
      <w:pPr>
        <w:pStyle w:val="ListParagraph"/>
        <w:ind w:left="0"/>
        <w:contextualSpacing w:val="0"/>
        <w:rPr>
          <w:rFonts w:ascii="Times New Roman" w:hAnsi="Times New Roman" w:cs="Times New Roman"/>
          <w:sz w:val="24"/>
          <w:szCs w:val="24"/>
          <w:lang w:val="en-AU"/>
        </w:rPr>
      </w:pPr>
      <w:r>
        <w:rPr>
          <w:rFonts w:ascii="Times New Roman" w:hAnsi="Times New Roman" w:cs="Times New Roman"/>
          <w:sz w:val="24"/>
          <w:szCs w:val="24"/>
          <w:lang w:val="en-AU"/>
        </w:rPr>
        <w:t xml:space="preserve">Fourth, we could continue to work closely with the TRA groups to improve our understanding of the precise nature of the driving factors in the TRA scenarios.  This would lead to improved representation in USAGE-TERM of these driving factors.  We could also change the industrial/commodity classifications in USAGE-TERM to be more suited to TRA requirements.  For example, it would be possible to provide more disaggregation of food and agriculture than in the versions of USAGE-TERM used for this project.   </w:t>
      </w:r>
    </w:p>
    <w:p w:rsidR="00591671" w:rsidRDefault="00591671" w:rsidP="00591671">
      <w:pPr>
        <w:pStyle w:val="ListParagraph"/>
        <w:ind w:left="0"/>
        <w:contextualSpacing w:val="0"/>
        <w:rPr>
          <w:rFonts w:ascii="Times New Roman" w:hAnsi="Times New Roman" w:cs="Times New Roman"/>
          <w:sz w:val="24"/>
          <w:szCs w:val="24"/>
          <w:lang w:val="en-AU"/>
        </w:rPr>
      </w:pPr>
      <w:r>
        <w:rPr>
          <w:rFonts w:ascii="Times New Roman" w:hAnsi="Times New Roman" w:cs="Times New Roman"/>
          <w:sz w:val="24"/>
          <w:szCs w:val="24"/>
          <w:lang w:val="en-AU"/>
        </w:rPr>
        <w:t xml:space="preserve">Finally, the present project suggests that the specification of the welfare function is an important part of GRAD-ECAT.  Further research together with consultation with economists specializing in welfare economics could be expected to generate improvements in the specification of the welfare function, including the discount rate, the value of life, and the treatment of public-sector expenditures.  </w:t>
      </w:r>
      <w:r w:rsidR="00DC37B6">
        <w:rPr>
          <w:rFonts w:ascii="Times New Roman" w:hAnsi="Times New Roman" w:cs="Times New Roman"/>
          <w:sz w:val="24"/>
          <w:szCs w:val="24"/>
          <w:lang w:val="en-AU"/>
        </w:rPr>
        <w:t xml:space="preserve">As described in </w:t>
      </w:r>
      <w:r w:rsidR="005B3A2E">
        <w:rPr>
          <w:rFonts w:ascii="Times New Roman" w:hAnsi="Times New Roman" w:cs="Times New Roman"/>
          <w:sz w:val="24"/>
          <w:szCs w:val="24"/>
          <w:lang w:val="en-AU"/>
        </w:rPr>
        <w:t>s</w:t>
      </w:r>
      <w:r w:rsidR="00DC37B6">
        <w:rPr>
          <w:rFonts w:ascii="Times New Roman" w:hAnsi="Times New Roman" w:cs="Times New Roman"/>
          <w:sz w:val="24"/>
          <w:szCs w:val="24"/>
          <w:lang w:val="en-AU"/>
        </w:rPr>
        <w:t xml:space="preserve">ection 5, we have allowed users of GRAD-ECAT to conduct sensitivity analysis with respect to both the discount rate and the value of life.  </w:t>
      </w:r>
    </w:p>
    <w:p w:rsidR="000418E3" w:rsidRPr="00436DDE" w:rsidRDefault="00436DDE" w:rsidP="000418E3">
      <w:pPr>
        <w:rPr>
          <w:rFonts w:ascii="Times New Roman" w:hAnsi="Times New Roman" w:cs="Times New Roman"/>
          <w:sz w:val="24"/>
          <w:szCs w:val="24"/>
        </w:rPr>
      </w:pPr>
      <w:r w:rsidRPr="00436DDE">
        <w:rPr>
          <w:rFonts w:ascii="Times New Roman" w:hAnsi="Times New Roman" w:cs="Times New Roman"/>
          <w:b/>
          <w:sz w:val="24"/>
          <w:szCs w:val="24"/>
        </w:rPr>
        <w:t xml:space="preserve">Appendix 1.  </w:t>
      </w:r>
      <w:r w:rsidR="00DD4496">
        <w:rPr>
          <w:rFonts w:ascii="Times New Roman" w:hAnsi="Times New Roman" w:cs="Times New Roman"/>
          <w:b/>
          <w:sz w:val="24"/>
          <w:szCs w:val="24"/>
        </w:rPr>
        <w:t>R</w:t>
      </w:r>
      <w:r w:rsidR="00DD4496" w:rsidRPr="00436DDE">
        <w:rPr>
          <w:rFonts w:ascii="Times New Roman" w:hAnsi="Times New Roman" w:cs="Times New Roman"/>
          <w:b/>
          <w:sz w:val="24"/>
          <w:szCs w:val="24"/>
        </w:rPr>
        <w:t xml:space="preserve">esults for the proportionality </w:t>
      </w:r>
      <w:r w:rsidR="00DD4496">
        <w:rPr>
          <w:rFonts w:ascii="Times New Roman" w:hAnsi="Times New Roman" w:cs="Times New Roman"/>
          <w:b/>
          <w:sz w:val="24"/>
          <w:szCs w:val="24"/>
        </w:rPr>
        <w:t>coefficients</w:t>
      </w:r>
      <w:r w:rsidR="00DD4496" w:rsidRPr="00436DDE">
        <w:rPr>
          <w:rFonts w:ascii="Times New Roman" w:hAnsi="Times New Roman" w:cs="Times New Roman"/>
          <w:sz w:val="24"/>
          <w:szCs w:val="24"/>
        </w:rPr>
        <w:t xml:space="preserve"> </w:t>
      </w:r>
      <w:r w:rsidR="00DD4496" w:rsidRPr="00076152">
        <w:rPr>
          <w:rFonts w:ascii="Times New Roman" w:hAnsi="Times New Roman" w:cs="Times New Roman"/>
          <w:b/>
          <w:sz w:val="24"/>
          <w:szCs w:val="24"/>
        </w:rPr>
        <w:t>and</w:t>
      </w:r>
      <w:r w:rsidR="00DD4496">
        <w:rPr>
          <w:rFonts w:ascii="Times New Roman" w:hAnsi="Times New Roman" w:cs="Times New Roman"/>
          <w:sz w:val="24"/>
          <w:szCs w:val="24"/>
        </w:rPr>
        <w:t xml:space="preserve"> </w:t>
      </w:r>
      <w:r w:rsidR="00DD4496" w:rsidRPr="008876D0">
        <w:rPr>
          <w:rFonts w:ascii="Times New Roman" w:hAnsi="Times New Roman" w:cs="Times New Roman"/>
          <w:b/>
          <w:sz w:val="24"/>
          <w:szCs w:val="24"/>
        </w:rPr>
        <w:t>s</w:t>
      </w:r>
      <w:r w:rsidR="000418E3" w:rsidRPr="008876D0">
        <w:rPr>
          <w:rFonts w:ascii="Times New Roman" w:hAnsi="Times New Roman" w:cs="Times New Roman"/>
          <w:b/>
          <w:sz w:val="24"/>
          <w:szCs w:val="24"/>
        </w:rPr>
        <w:t>pecification of relevant variables</w:t>
      </w:r>
      <w:r w:rsidR="000418E3" w:rsidRPr="00076152">
        <w:rPr>
          <w:rFonts w:ascii="Times New Roman" w:hAnsi="Times New Roman" w:cs="Times New Roman"/>
          <w:b/>
          <w:i/>
          <w:sz w:val="24"/>
          <w:szCs w:val="24"/>
        </w:rPr>
        <w:t xml:space="preserve"> </w:t>
      </w:r>
    </w:p>
    <w:p w:rsidR="002D1458" w:rsidRDefault="000418E3" w:rsidP="000418E3">
      <w:pPr>
        <w:rPr>
          <w:rFonts w:ascii="Times New Roman" w:hAnsi="Times New Roman" w:cs="Times New Roman"/>
          <w:sz w:val="24"/>
          <w:szCs w:val="24"/>
        </w:rPr>
      </w:pPr>
      <w:r>
        <w:rPr>
          <w:rFonts w:ascii="Times New Roman" w:hAnsi="Times New Roman" w:cs="Times New Roman"/>
          <w:sz w:val="24"/>
          <w:szCs w:val="24"/>
        </w:rPr>
        <w:t xml:space="preserve">Tables </w:t>
      </w:r>
      <w:r w:rsidR="00436DDE">
        <w:rPr>
          <w:rFonts w:ascii="Times New Roman" w:hAnsi="Times New Roman" w:cs="Times New Roman"/>
          <w:sz w:val="24"/>
          <w:szCs w:val="24"/>
        </w:rPr>
        <w:t>A</w:t>
      </w:r>
      <w:r>
        <w:rPr>
          <w:rFonts w:ascii="Times New Roman" w:hAnsi="Times New Roman" w:cs="Times New Roman"/>
          <w:sz w:val="24"/>
          <w:szCs w:val="24"/>
        </w:rPr>
        <w:t xml:space="preserve">1 to </w:t>
      </w:r>
      <w:r w:rsidR="00436DDE">
        <w:rPr>
          <w:rFonts w:ascii="Times New Roman" w:hAnsi="Times New Roman" w:cs="Times New Roman"/>
          <w:sz w:val="24"/>
          <w:szCs w:val="24"/>
        </w:rPr>
        <w:t>A</w:t>
      </w:r>
      <w:r w:rsidR="0065758C">
        <w:rPr>
          <w:rFonts w:ascii="Times New Roman" w:hAnsi="Times New Roman" w:cs="Times New Roman"/>
          <w:sz w:val="24"/>
          <w:szCs w:val="24"/>
        </w:rPr>
        <w:t>14</w:t>
      </w:r>
      <w:r>
        <w:rPr>
          <w:rFonts w:ascii="Times New Roman" w:hAnsi="Times New Roman" w:cs="Times New Roman"/>
          <w:sz w:val="24"/>
          <w:szCs w:val="24"/>
        </w:rPr>
        <w:t xml:space="preserve"> </w:t>
      </w:r>
      <w:r w:rsidR="00436DDE">
        <w:rPr>
          <w:rFonts w:ascii="Times New Roman" w:hAnsi="Times New Roman" w:cs="Times New Roman"/>
          <w:sz w:val="24"/>
          <w:szCs w:val="24"/>
        </w:rPr>
        <w:t xml:space="preserve">contain the </w:t>
      </w:r>
      <w:r w:rsidR="00076152">
        <w:rPr>
          <w:rFonts w:ascii="Times New Roman" w:hAnsi="Times New Roman" w:cs="Times New Roman"/>
          <w:sz w:val="24"/>
          <w:szCs w:val="24"/>
        </w:rPr>
        <w:t xml:space="preserve">proportionality </w:t>
      </w:r>
      <w:r w:rsidR="00436DDE">
        <w:rPr>
          <w:rFonts w:ascii="Times New Roman" w:hAnsi="Times New Roman" w:cs="Times New Roman"/>
          <w:sz w:val="24"/>
          <w:szCs w:val="24"/>
        </w:rPr>
        <w:t xml:space="preserve">coefficients </w:t>
      </w:r>
      <w:r w:rsidR="00616CCF">
        <w:rPr>
          <w:rFonts w:ascii="Times New Roman" w:hAnsi="Times New Roman" w:cs="Times New Roman"/>
          <w:sz w:val="24"/>
          <w:szCs w:val="24"/>
        </w:rPr>
        <w:t>computed in (</w:t>
      </w:r>
      <w:r w:rsidR="005B3A2E">
        <w:rPr>
          <w:rFonts w:ascii="Times New Roman" w:hAnsi="Times New Roman" w:cs="Times New Roman"/>
          <w:sz w:val="24"/>
          <w:szCs w:val="24"/>
        </w:rPr>
        <w:t>6.5</w:t>
      </w:r>
      <w:r w:rsidR="00616CCF">
        <w:rPr>
          <w:rFonts w:ascii="Times New Roman" w:hAnsi="Times New Roman" w:cs="Times New Roman"/>
          <w:sz w:val="24"/>
          <w:szCs w:val="24"/>
        </w:rPr>
        <w:t>) to (</w:t>
      </w:r>
      <w:r w:rsidR="005B3A2E">
        <w:rPr>
          <w:rFonts w:ascii="Times New Roman" w:hAnsi="Times New Roman" w:cs="Times New Roman"/>
          <w:sz w:val="24"/>
          <w:szCs w:val="24"/>
        </w:rPr>
        <w:t>6.8</w:t>
      </w:r>
      <w:r w:rsidR="00616CCF">
        <w:rPr>
          <w:rFonts w:ascii="Times New Roman" w:hAnsi="Times New Roman" w:cs="Times New Roman"/>
          <w:sz w:val="24"/>
          <w:szCs w:val="24"/>
        </w:rPr>
        <w:t>)</w:t>
      </w:r>
      <w:r w:rsidR="00127180">
        <w:rPr>
          <w:rFonts w:ascii="Times New Roman" w:hAnsi="Times New Roman" w:cs="Times New Roman"/>
          <w:sz w:val="24"/>
          <w:szCs w:val="24"/>
        </w:rPr>
        <w:t xml:space="preserve"> with our final guesses for the relevant variables</w:t>
      </w:r>
      <w:r w:rsidR="00616CCF">
        <w:rPr>
          <w:rFonts w:ascii="Times New Roman" w:hAnsi="Times New Roman" w:cs="Times New Roman"/>
          <w:sz w:val="24"/>
          <w:szCs w:val="24"/>
        </w:rPr>
        <w:t>.  There is one table for each of the 14 shock variables</w:t>
      </w:r>
      <w:r w:rsidR="005B3A2E">
        <w:rPr>
          <w:rFonts w:ascii="Times New Roman" w:hAnsi="Times New Roman" w:cs="Times New Roman"/>
          <w:sz w:val="24"/>
          <w:szCs w:val="24"/>
        </w:rPr>
        <w:t>, s</w:t>
      </w:r>
      <w:r w:rsidR="00616CCF">
        <w:rPr>
          <w:rFonts w:ascii="Times New Roman" w:hAnsi="Times New Roman" w:cs="Times New Roman"/>
          <w:sz w:val="24"/>
          <w:szCs w:val="24"/>
        </w:rPr>
        <w:t xml:space="preserve">.  The tables have two sections, </w:t>
      </w:r>
      <w:r w:rsidR="0065758C">
        <w:rPr>
          <w:rFonts w:ascii="Times New Roman" w:hAnsi="Times New Roman" w:cs="Times New Roman"/>
          <w:sz w:val="24"/>
          <w:szCs w:val="24"/>
        </w:rPr>
        <w:t xml:space="preserve">one for coefficients calculated under Keynesian assumptions </w:t>
      </w:r>
      <w:r w:rsidR="0021748C">
        <w:rPr>
          <w:rFonts w:ascii="Times New Roman" w:hAnsi="Times New Roman" w:cs="Times New Roman"/>
          <w:sz w:val="24"/>
          <w:szCs w:val="24"/>
        </w:rPr>
        <w:t xml:space="preserve">and the other for coefficients calculated under Neoclassical assumptions.  In each section there are 5 panels.  The first four contain the 10 coefficients (one for each implication variable) calculated from each of the four models.  The fifth panel gives averages of results from the first four.  It is the results from the fifth panel that we used in (6.9) to calculate the elasticities supplied to the TRA groups.  The relevant variables are described at the foot of each table.  </w:t>
      </w:r>
    </w:p>
    <w:p w:rsidR="0021748C" w:rsidRDefault="0021748C" w:rsidP="000418E3">
      <w:pPr>
        <w:rPr>
          <w:rFonts w:ascii="Times New Roman" w:hAnsi="Times New Roman" w:cs="Times New Roman"/>
          <w:sz w:val="24"/>
          <w:szCs w:val="24"/>
        </w:rPr>
        <w:sectPr w:rsidR="0021748C" w:rsidSect="00900B10">
          <w:type w:val="continuous"/>
          <w:pgSz w:w="11906" w:h="16838"/>
          <w:pgMar w:top="1440" w:right="1440" w:bottom="1440" w:left="1440" w:header="708" w:footer="708" w:gutter="0"/>
          <w:cols w:space="708"/>
          <w:docGrid w:linePitch="360"/>
        </w:sectPr>
      </w:pPr>
    </w:p>
    <w:p w:rsidR="002D1458" w:rsidRPr="00BC333D" w:rsidRDefault="002D1458" w:rsidP="002D1458">
      <w:pPr>
        <w:pStyle w:val="ListParagraph"/>
        <w:ind w:left="900" w:hanging="900"/>
        <w:contextualSpacing w:val="0"/>
        <w:jc w:val="center"/>
        <w:rPr>
          <w:rFonts w:ascii="Times New Roman" w:hAnsi="Times New Roman" w:cs="Times New Roman"/>
          <w:b/>
          <w:i/>
          <w:sz w:val="24"/>
          <w:szCs w:val="24"/>
        </w:rPr>
      </w:pPr>
      <w:r w:rsidRPr="00BC333D">
        <w:rPr>
          <w:rFonts w:ascii="Times New Roman" w:hAnsi="Times New Roman" w:cs="Times New Roman"/>
          <w:b/>
          <w:i/>
          <w:sz w:val="24"/>
          <w:szCs w:val="24"/>
        </w:rPr>
        <w:lastRenderedPageBreak/>
        <w:t xml:space="preserve">Table A1.  Coefficients, C(s,v), for capital destruction (s=1) </w:t>
      </w:r>
    </w:p>
    <w:tbl>
      <w:tblPr>
        <w:tblStyle w:val="TableGrid"/>
        <w:tblW w:w="12422" w:type="dxa"/>
        <w:tblInd w:w="900" w:type="dxa"/>
        <w:tblLook w:val="04A0" w:firstRow="1" w:lastRow="0" w:firstColumn="1" w:lastColumn="0" w:noHBand="0" w:noVBand="1"/>
      </w:tblPr>
      <w:tblGrid>
        <w:gridCol w:w="495"/>
        <w:gridCol w:w="3150"/>
        <w:gridCol w:w="842"/>
        <w:gridCol w:w="910"/>
        <w:gridCol w:w="821"/>
        <w:gridCol w:w="900"/>
        <w:gridCol w:w="822"/>
        <w:gridCol w:w="900"/>
        <w:gridCol w:w="831"/>
        <w:gridCol w:w="904"/>
        <w:gridCol w:w="916"/>
        <w:gridCol w:w="931"/>
      </w:tblGrid>
      <w:tr w:rsidR="002D1458" w:rsidTr="001E7F73">
        <w:tc>
          <w:tcPr>
            <w:tcW w:w="495" w:type="dxa"/>
            <w:tcBorders>
              <w:top w:val="single" w:sz="18" w:space="0" w:color="7F7F7F" w:themeColor="text1" w:themeTint="80"/>
              <w:left w:val="nil"/>
              <w:bottom w:val="nil"/>
              <w:right w:val="nil"/>
            </w:tcBorders>
            <w:vAlign w:val="bottom"/>
          </w:tcPr>
          <w:p w:rsidR="002D1458" w:rsidRPr="00E27213" w:rsidRDefault="002D1458" w:rsidP="001E7F73">
            <w:pPr>
              <w:spacing w:before="0"/>
              <w:rPr>
                <w:rFonts w:ascii="Times New Roman" w:hAnsi="Times New Roman" w:cs="Times New Roman"/>
                <w:color w:val="000000"/>
                <w:sz w:val="20"/>
                <w:szCs w:val="20"/>
              </w:rPr>
            </w:pPr>
          </w:p>
        </w:tc>
        <w:tc>
          <w:tcPr>
            <w:tcW w:w="3150" w:type="dxa"/>
            <w:tcBorders>
              <w:top w:val="single" w:sz="18" w:space="0" w:color="7F7F7F" w:themeColor="text1" w:themeTint="80"/>
              <w:left w:val="nil"/>
              <w:bottom w:val="nil"/>
            </w:tcBorders>
            <w:vAlign w:val="center"/>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Target region (d)</w:t>
            </w:r>
          </w:p>
        </w:tc>
        <w:tc>
          <w:tcPr>
            <w:tcW w:w="1752"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FL24</w:t>
            </w:r>
          </w:p>
        </w:tc>
        <w:tc>
          <w:tcPr>
            <w:tcW w:w="1721"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AZ07</w:t>
            </w:r>
          </w:p>
        </w:tc>
        <w:tc>
          <w:tcPr>
            <w:tcW w:w="1722"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NY14</w:t>
            </w:r>
          </w:p>
        </w:tc>
        <w:tc>
          <w:tcPr>
            <w:tcW w:w="1735"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WA09</w:t>
            </w:r>
          </w:p>
        </w:tc>
        <w:tc>
          <w:tcPr>
            <w:tcW w:w="1847" w:type="dxa"/>
            <w:gridSpan w:val="2"/>
            <w:tcBorders>
              <w:top w:val="single" w:sz="18" w:space="0" w:color="7F7F7F" w:themeColor="text1" w:themeTint="80"/>
              <w:right w:val="nil"/>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Average</w:t>
            </w:r>
          </w:p>
        </w:tc>
      </w:tr>
      <w:tr w:rsidR="002D1458" w:rsidTr="001E7F73">
        <w:tc>
          <w:tcPr>
            <w:tcW w:w="495" w:type="dxa"/>
            <w:tcBorders>
              <w:top w:val="nil"/>
              <w:left w:val="nil"/>
              <w:bottom w:val="single" w:sz="18" w:space="0" w:color="7F7F7F" w:themeColor="text1" w:themeTint="80"/>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single" w:sz="18" w:space="0" w:color="7F7F7F" w:themeColor="text1" w:themeTint="80"/>
            </w:tcBorders>
            <w:vAlign w:val="bottom"/>
          </w:tcPr>
          <w:p w:rsidR="002D1458" w:rsidRPr="00E27213" w:rsidRDefault="002D1458" w:rsidP="001E7F73">
            <w:pPr>
              <w:spacing w:before="0"/>
              <w:rPr>
                <w:rFonts w:ascii="Times New Roman" w:hAnsi="Times New Roman" w:cs="Times New Roman"/>
                <w:color w:val="000000"/>
                <w:sz w:val="20"/>
                <w:szCs w:val="20"/>
              </w:rPr>
            </w:pPr>
            <w:r w:rsidRPr="00E27213">
              <w:rPr>
                <w:rFonts w:ascii="Times New Roman" w:hAnsi="Times New Roman" w:cs="Times New Roman"/>
                <w:color w:val="000000"/>
                <w:sz w:val="20"/>
                <w:szCs w:val="20"/>
              </w:rPr>
              <w:t>Implication variables (s)</w:t>
            </w:r>
          </w:p>
        </w:tc>
        <w:tc>
          <w:tcPr>
            <w:tcW w:w="842"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1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21"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22"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31"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4"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916"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31" w:type="dxa"/>
            <w:tcBorders>
              <w:bottom w:val="single" w:sz="18" w:space="0" w:color="7F7F7F" w:themeColor="text1" w:themeTint="80"/>
              <w:right w:val="nil"/>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r>
      <w:tr w:rsidR="002D1458" w:rsidTr="001E7F73">
        <w:tc>
          <w:tcPr>
            <w:tcW w:w="3645" w:type="dxa"/>
            <w:gridSpan w:val="2"/>
            <w:tcBorders>
              <w:top w:val="single" w:sz="18" w:space="0" w:color="7F7F7F" w:themeColor="text1" w:themeTint="80"/>
              <w:left w:val="nil"/>
              <w:bottom w:val="nil"/>
              <w:right w:val="single" w:sz="4" w:space="0" w:color="auto"/>
            </w:tcBorders>
          </w:tcPr>
          <w:p w:rsidR="002D1458" w:rsidRPr="00F901FE" w:rsidRDefault="002D1458" w:rsidP="001E7F73">
            <w:pPr>
              <w:spacing w:before="0"/>
              <w:rPr>
                <w:rFonts w:ascii="Times New Roman" w:hAnsi="Times New Roman" w:cs="Times New Roman"/>
                <w:b/>
                <w:color w:val="000000"/>
                <w:sz w:val="20"/>
                <w:szCs w:val="20"/>
              </w:rPr>
            </w:pPr>
            <w:r w:rsidRPr="00F901FE">
              <w:rPr>
                <w:rFonts w:ascii="Times New Roman" w:hAnsi="Times New Roman" w:cs="Times New Roman"/>
                <w:b/>
                <w:color w:val="000000"/>
                <w:sz w:val="20"/>
                <w:szCs w:val="20"/>
              </w:rPr>
              <w:t>Keynesian</w:t>
            </w:r>
          </w:p>
        </w:tc>
        <w:tc>
          <w:tcPr>
            <w:tcW w:w="842"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39"/>
              </w:tabs>
              <w:spacing w:before="0"/>
              <w:ind w:left="0"/>
              <w:contextualSpacing w:val="0"/>
              <w:rPr>
                <w:rFonts w:ascii="Times New Roman" w:hAnsi="Times New Roman" w:cs="Times New Roman"/>
                <w:sz w:val="20"/>
                <w:szCs w:val="20"/>
              </w:rPr>
            </w:pPr>
          </w:p>
        </w:tc>
        <w:tc>
          <w:tcPr>
            <w:tcW w:w="931" w:type="dxa"/>
            <w:tcBorders>
              <w:top w:val="single" w:sz="18" w:space="0" w:color="7F7F7F" w:themeColor="text1" w:themeTint="80"/>
              <w:left w:val="nil"/>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National </w:t>
            </w:r>
          </w:p>
        </w:tc>
        <w:tc>
          <w:tcPr>
            <w:tcW w:w="842"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nil"/>
              <w:left w:val="single" w:sz="4" w:space="0" w:color="auto"/>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r>
      <w:tr w:rsidR="002D1458" w:rsidTr="001E7F73">
        <w:trPr>
          <w:trHeight w:val="305"/>
        </w:trPr>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1</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GDP</w:t>
            </w:r>
          </w:p>
        </w:tc>
        <w:tc>
          <w:tcPr>
            <w:tcW w:w="842"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-0.69</w:t>
            </w:r>
          </w:p>
        </w:tc>
        <w:tc>
          <w:tcPr>
            <w:tcW w:w="910"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0.015</w:t>
            </w:r>
          </w:p>
        </w:tc>
        <w:tc>
          <w:tcPr>
            <w:tcW w:w="821"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-0.69</w:t>
            </w:r>
          </w:p>
        </w:tc>
        <w:tc>
          <w:tcPr>
            <w:tcW w:w="900"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0.011</w:t>
            </w:r>
          </w:p>
        </w:tc>
        <w:tc>
          <w:tcPr>
            <w:tcW w:w="822"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-0.74</w:t>
            </w:r>
          </w:p>
        </w:tc>
        <w:tc>
          <w:tcPr>
            <w:tcW w:w="900"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-0.008</w:t>
            </w:r>
          </w:p>
        </w:tc>
        <w:tc>
          <w:tcPr>
            <w:tcW w:w="831"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-0.76</w:t>
            </w:r>
          </w:p>
        </w:tc>
        <w:tc>
          <w:tcPr>
            <w:tcW w:w="904"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-0.002</w:t>
            </w:r>
          </w:p>
        </w:tc>
        <w:tc>
          <w:tcPr>
            <w:tcW w:w="916"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-0.72</w:t>
            </w:r>
          </w:p>
        </w:tc>
        <w:tc>
          <w:tcPr>
            <w:tcW w:w="931" w:type="dxa"/>
            <w:tcBorders>
              <w:top w:val="nil"/>
              <w:left w:val="nil"/>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0.004</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-0.41</w:t>
            </w:r>
          </w:p>
        </w:tc>
        <w:tc>
          <w:tcPr>
            <w:tcW w:w="910"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0.013</w:t>
            </w:r>
          </w:p>
        </w:tc>
        <w:tc>
          <w:tcPr>
            <w:tcW w:w="821"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-0.42</w:t>
            </w:r>
          </w:p>
        </w:tc>
        <w:tc>
          <w:tcPr>
            <w:tcW w:w="900"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0.013</w:t>
            </w:r>
          </w:p>
        </w:tc>
        <w:tc>
          <w:tcPr>
            <w:tcW w:w="822"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-0.51</w:t>
            </w:r>
          </w:p>
        </w:tc>
        <w:tc>
          <w:tcPr>
            <w:tcW w:w="900"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0.007</w:t>
            </w:r>
          </w:p>
        </w:tc>
        <w:tc>
          <w:tcPr>
            <w:tcW w:w="831"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-0.55</w:t>
            </w:r>
          </w:p>
        </w:tc>
        <w:tc>
          <w:tcPr>
            <w:tcW w:w="904"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-0.003</w:t>
            </w:r>
          </w:p>
        </w:tc>
        <w:tc>
          <w:tcPr>
            <w:tcW w:w="916"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-0.47</w:t>
            </w:r>
          </w:p>
        </w:tc>
        <w:tc>
          <w:tcPr>
            <w:tcW w:w="931" w:type="dxa"/>
            <w:tcBorders>
              <w:top w:val="nil"/>
              <w:left w:val="nil"/>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0.007</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3a</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0.05 discount rate</w:t>
            </w:r>
          </w:p>
        </w:tc>
        <w:tc>
          <w:tcPr>
            <w:tcW w:w="842" w:type="dxa"/>
            <w:tcBorders>
              <w:top w:val="nil"/>
              <w:left w:val="single" w:sz="4" w:space="0" w:color="auto"/>
              <w:bottom w:val="nil"/>
              <w:right w:val="nil"/>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-0.041</w:t>
            </w:r>
          </w:p>
        </w:tc>
        <w:tc>
          <w:tcPr>
            <w:tcW w:w="821" w:type="dxa"/>
            <w:tcBorders>
              <w:top w:val="nil"/>
              <w:left w:val="single" w:sz="4" w:space="0" w:color="auto"/>
              <w:bottom w:val="nil"/>
              <w:right w:val="nil"/>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-0.038</w:t>
            </w:r>
          </w:p>
        </w:tc>
        <w:tc>
          <w:tcPr>
            <w:tcW w:w="822" w:type="dxa"/>
            <w:tcBorders>
              <w:top w:val="nil"/>
              <w:left w:val="single" w:sz="4" w:space="0" w:color="auto"/>
              <w:bottom w:val="nil"/>
              <w:right w:val="nil"/>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-0.045</w:t>
            </w:r>
          </w:p>
        </w:tc>
        <w:tc>
          <w:tcPr>
            <w:tcW w:w="831" w:type="dxa"/>
            <w:tcBorders>
              <w:top w:val="nil"/>
              <w:left w:val="single" w:sz="4" w:space="0" w:color="auto"/>
              <w:bottom w:val="nil"/>
              <w:right w:val="nil"/>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-0.044</w:t>
            </w:r>
          </w:p>
        </w:tc>
        <w:tc>
          <w:tcPr>
            <w:tcW w:w="916" w:type="dxa"/>
            <w:tcBorders>
              <w:top w:val="nil"/>
              <w:left w:val="single" w:sz="4" w:space="0" w:color="auto"/>
              <w:bottom w:val="nil"/>
              <w:right w:val="nil"/>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-0.042</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3b</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0.02 discount rate</w:t>
            </w:r>
          </w:p>
        </w:tc>
        <w:tc>
          <w:tcPr>
            <w:tcW w:w="842" w:type="dxa"/>
            <w:tcBorders>
              <w:top w:val="nil"/>
              <w:left w:val="single" w:sz="4" w:space="0" w:color="auto"/>
              <w:bottom w:val="nil"/>
              <w:right w:val="nil"/>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-0.055</w:t>
            </w:r>
          </w:p>
        </w:tc>
        <w:tc>
          <w:tcPr>
            <w:tcW w:w="821" w:type="dxa"/>
            <w:tcBorders>
              <w:top w:val="nil"/>
              <w:left w:val="single" w:sz="4" w:space="0" w:color="auto"/>
              <w:bottom w:val="nil"/>
              <w:right w:val="nil"/>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-0.052</w:t>
            </w:r>
          </w:p>
        </w:tc>
        <w:tc>
          <w:tcPr>
            <w:tcW w:w="822" w:type="dxa"/>
            <w:tcBorders>
              <w:top w:val="nil"/>
              <w:left w:val="single" w:sz="4" w:space="0" w:color="auto"/>
              <w:bottom w:val="nil"/>
              <w:right w:val="nil"/>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-0.060</w:t>
            </w:r>
          </w:p>
        </w:tc>
        <w:tc>
          <w:tcPr>
            <w:tcW w:w="831" w:type="dxa"/>
            <w:tcBorders>
              <w:top w:val="nil"/>
              <w:left w:val="single" w:sz="4" w:space="0" w:color="auto"/>
              <w:bottom w:val="nil"/>
              <w:right w:val="nil"/>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-0.058</w:t>
            </w:r>
          </w:p>
        </w:tc>
        <w:tc>
          <w:tcPr>
            <w:tcW w:w="916" w:type="dxa"/>
            <w:tcBorders>
              <w:top w:val="nil"/>
              <w:left w:val="single" w:sz="4" w:space="0" w:color="auto"/>
              <w:bottom w:val="nil"/>
              <w:right w:val="nil"/>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-0.056</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Target region </w:t>
            </w:r>
          </w:p>
        </w:tc>
        <w:tc>
          <w:tcPr>
            <w:tcW w:w="842" w:type="dxa"/>
            <w:tcBorders>
              <w:top w:val="nil"/>
              <w:left w:val="single" w:sz="4" w:space="0" w:color="auto"/>
              <w:bottom w:val="nil"/>
              <w:right w:val="nil"/>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821" w:type="dxa"/>
            <w:tcBorders>
              <w:top w:val="nil"/>
              <w:left w:val="single" w:sz="4" w:space="0" w:color="auto"/>
              <w:bottom w:val="nil"/>
              <w:right w:val="nil"/>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822" w:type="dxa"/>
            <w:tcBorders>
              <w:top w:val="nil"/>
              <w:left w:val="single" w:sz="4" w:space="0" w:color="auto"/>
              <w:bottom w:val="nil"/>
              <w:right w:val="nil"/>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831" w:type="dxa"/>
            <w:tcBorders>
              <w:top w:val="nil"/>
              <w:left w:val="single" w:sz="4" w:space="0" w:color="auto"/>
              <w:bottom w:val="nil"/>
              <w:right w:val="nil"/>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916" w:type="dxa"/>
            <w:tcBorders>
              <w:top w:val="nil"/>
              <w:left w:val="single" w:sz="4" w:space="0" w:color="auto"/>
              <w:bottom w:val="nil"/>
              <w:right w:val="nil"/>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857A94" w:rsidRDefault="002D1458" w:rsidP="001E7F73">
            <w:pPr>
              <w:spacing w:before="0"/>
              <w:rPr>
                <w:rFonts w:ascii="Times New Roman" w:hAnsi="Times New Roman" w:cs="Times New Roman"/>
                <w:color w:val="000000"/>
                <w:sz w:val="20"/>
                <w:szCs w:val="20"/>
              </w:rPr>
            </w:pP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4</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GRP</w:t>
            </w:r>
          </w:p>
        </w:tc>
        <w:tc>
          <w:tcPr>
            <w:tcW w:w="842"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-2.36</w:t>
            </w:r>
          </w:p>
        </w:tc>
        <w:tc>
          <w:tcPr>
            <w:tcW w:w="910"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-0.042</w:t>
            </w:r>
          </w:p>
        </w:tc>
        <w:tc>
          <w:tcPr>
            <w:tcW w:w="821"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-2.40</w:t>
            </w:r>
          </w:p>
        </w:tc>
        <w:tc>
          <w:tcPr>
            <w:tcW w:w="900"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-0.051</w:t>
            </w:r>
          </w:p>
        </w:tc>
        <w:tc>
          <w:tcPr>
            <w:tcW w:w="822"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-2.42</w:t>
            </w:r>
          </w:p>
        </w:tc>
        <w:tc>
          <w:tcPr>
            <w:tcW w:w="900"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-0.042</w:t>
            </w:r>
          </w:p>
        </w:tc>
        <w:tc>
          <w:tcPr>
            <w:tcW w:w="831"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-2.33</w:t>
            </w:r>
          </w:p>
        </w:tc>
        <w:tc>
          <w:tcPr>
            <w:tcW w:w="904"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-0.041</w:t>
            </w:r>
          </w:p>
        </w:tc>
        <w:tc>
          <w:tcPr>
            <w:tcW w:w="916"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-2.38</w:t>
            </w:r>
          </w:p>
        </w:tc>
        <w:tc>
          <w:tcPr>
            <w:tcW w:w="931" w:type="dxa"/>
            <w:tcBorders>
              <w:top w:val="nil"/>
              <w:left w:val="nil"/>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-0.044</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5</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-1.90</w:t>
            </w:r>
          </w:p>
        </w:tc>
        <w:tc>
          <w:tcPr>
            <w:tcW w:w="910"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0.027</w:t>
            </w:r>
          </w:p>
        </w:tc>
        <w:tc>
          <w:tcPr>
            <w:tcW w:w="821"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-1.93</w:t>
            </w:r>
          </w:p>
        </w:tc>
        <w:tc>
          <w:tcPr>
            <w:tcW w:w="900"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0.021</w:t>
            </w:r>
          </w:p>
        </w:tc>
        <w:tc>
          <w:tcPr>
            <w:tcW w:w="822"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-1.95</w:t>
            </w:r>
          </w:p>
        </w:tc>
        <w:tc>
          <w:tcPr>
            <w:tcW w:w="900"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0.028</w:t>
            </w:r>
          </w:p>
        </w:tc>
        <w:tc>
          <w:tcPr>
            <w:tcW w:w="831"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-1.88</w:t>
            </w:r>
          </w:p>
        </w:tc>
        <w:tc>
          <w:tcPr>
            <w:tcW w:w="904"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0.020</w:t>
            </w:r>
          </w:p>
        </w:tc>
        <w:tc>
          <w:tcPr>
            <w:tcW w:w="916"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-1.92</w:t>
            </w:r>
          </w:p>
        </w:tc>
        <w:tc>
          <w:tcPr>
            <w:tcW w:w="931" w:type="dxa"/>
            <w:tcBorders>
              <w:top w:val="nil"/>
              <w:left w:val="nil"/>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0.024</w:t>
            </w:r>
          </w:p>
        </w:tc>
      </w:tr>
      <w:tr w:rsidR="002D1458" w:rsidRPr="00264DBE" w:rsidTr="001E7F73">
        <w:tc>
          <w:tcPr>
            <w:tcW w:w="3645" w:type="dxa"/>
            <w:gridSpan w:val="2"/>
            <w:tcBorders>
              <w:top w:val="single" w:sz="18" w:space="0" w:color="7F7F7F" w:themeColor="text1" w:themeTint="80"/>
              <w:left w:val="nil"/>
              <w:bottom w:val="nil"/>
              <w:right w:val="single" w:sz="4" w:space="0" w:color="auto"/>
            </w:tcBorders>
          </w:tcPr>
          <w:p w:rsidR="002D1458" w:rsidRPr="00F901FE" w:rsidRDefault="002D1458" w:rsidP="001E7F73">
            <w:pPr>
              <w:spacing w:before="0"/>
              <w:rPr>
                <w:rFonts w:ascii="Times New Roman" w:hAnsi="Times New Roman" w:cs="Times New Roman"/>
                <w:b/>
                <w:color w:val="000000"/>
                <w:sz w:val="20"/>
                <w:szCs w:val="20"/>
              </w:rPr>
            </w:pPr>
            <w:r w:rsidRPr="00F901FE">
              <w:rPr>
                <w:rFonts w:ascii="Times New Roman" w:hAnsi="Times New Roman" w:cs="Times New Roman"/>
                <w:b/>
                <w:color w:val="000000"/>
                <w:sz w:val="20"/>
                <w:szCs w:val="20"/>
              </w:rPr>
              <w:t>Neoclassical</w:t>
            </w:r>
          </w:p>
        </w:tc>
        <w:tc>
          <w:tcPr>
            <w:tcW w:w="842" w:type="dxa"/>
            <w:tcBorders>
              <w:top w:val="single" w:sz="18" w:space="0" w:color="7F7F7F" w:themeColor="text1" w:themeTint="80"/>
              <w:left w:val="single" w:sz="4" w:space="0" w:color="auto"/>
              <w:bottom w:val="nil"/>
              <w:right w:val="nil"/>
            </w:tcBorders>
          </w:tcPr>
          <w:p w:rsidR="002D1458" w:rsidRPr="00857A94"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single" w:sz="18" w:space="0" w:color="7F7F7F" w:themeColor="text1" w:themeTint="80"/>
              <w:left w:val="nil"/>
              <w:bottom w:val="nil"/>
              <w:right w:val="single" w:sz="4" w:space="0" w:color="auto"/>
            </w:tcBorders>
          </w:tcPr>
          <w:p w:rsidR="002D1458" w:rsidRPr="00857A94"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single" w:sz="18" w:space="0" w:color="7F7F7F" w:themeColor="text1" w:themeTint="80"/>
              <w:left w:val="single" w:sz="4" w:space="0" w:color="auto"/>
              <w:bottom w:val="nil"/>
              <w:right w:val="nil"/>
            </w:tcBorders>
          </w:tcPr>
          <w:p w:rsidR="002D1458" w:rsidRPr="00857A94"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857A94"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single" w:sz="18" w:space="0" w:color="7F7F7F" w:themeColor="text1" w:themeTint="80"/>
              <w:left w:val="single" w:sz="4" w:space="0" w:color="auto"/>
              <w:bottom w:val="nil"/>
              <w:right w:val="nil"/>
            </w:tcBorders>
          </w:tcPr>
          <w:p w:rsidR="002D1458" w:rsidRPr="00857A94"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857A94"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single" w:sz="18" w:space="0" w:color="7F7F7F" w:themeColor="text1" w:themeTint="80"/>
              <w:left w:val="single" w:sz="4" w:space="0" w:color="auto"/>
              <w:bottom w:val="nil"/>
              <w:right w:val="nil"/>
            </w:tcBorders>
          </w:tcPr>
          <w:p w:rsidR="002D1458" w:rsidRPr="00857A94"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single" w:sz="18" w:space="0" w:color="7F7F7F" w:themeColor="text1" w:themeTint="80"/>
              <w:left w:val="nil"/>
              <w:bottom w:val="nil"/>
              <w:right w:val="single" w:sz="4" w:space="0" w:color="auto"/>
            </w:tcBorders>
          </w:tcPr>
          <w:p w:rsidR="002D1458" w:rsidRPr="00857A94"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single" w:sz="18" w:space="0" w:color="7F7F7F" w:themeColor="text1" w:themeTint="80"/>
              <w:left w:val="single" w:sz="4" w:space="0" w:color="auto"/>
              <w:bottom w:val="nil"/>
              <w:right w:val="nil"/>
            </w:tcBorders>
          </w:tcPr>
          <w:p w:rsidR="002D1458" w:rsidRPr="00857A94" w:rsidRDefault="002D1458" w:rsidP="001E7F73">
            <w:pPr>
              <w:pStyle w:val="ListParagraph"/>
              <w:tabs>
                <w:tab w:val="decimal" w:pos="339"/>
              </w:tabs>
              <w:spacing w:before="0"/>
              <w:ind w:left="0"/>
              <w:contextualSpacing w:val="0"/>
              <w:rPr>
                <w:rFonts w:ascii="Times New Roman" w:hAnsi="Times New Roman" w:cs="Times New Roman"/>
                <w:sz w:val="20"/>
                <w:szCs w:val="20"/>
              </w:rPr>
            </w:pPr>
          </w:p>
        </w:tc>
        <w:tc>
          <w:tcPr>
            <w:tcW w:w="931" w:type="dxa"/>
            <w:tcBorders>
              <w:top w:val="single" w:sz="18" w:space="0" w:color="7F7F7F" w:themeColor="text1" w:themeTint="80"/>
              <w:left w:val="nil"/>
              <w:bottom w:val="nil"/>
              <w:right w:val="nil"/>
            </w:tcBorders>
            <w:vAlign w:val="bottom"/>
          </w:tcPr>
          <w:p w:rsidR="002D1458" w:rsidRPr="00857A94" w:rsidRDefault="002D1458" w:rsidP="001E7F73">
            <w:pPr>
              <w:tabs>
                <w:tab w:val="decimal" w:pos="339"/>
              </w:tabs>
              <w:spacing w:before="0"/>
              <w:rPr>
                <w:rFonts w:ascii="Times New Roman" w:hAnsi="Times New Roman" w:cs="Times New Roman"/>
                <w:color w:val="000000"/>
                <w:sz w:val="20"/>
                <w:szCs w:val="20"/>
              </w:rPr>
            </w:pPr>
          </w:p>
        </w:tc>
      </w:tr>
      <w:tr w:rsidR="002D1458" w:rsidRPr="00264DBE"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National </w:t>
            </w:r>
          </w:p>
        </w:tc>
        <w:tc>
          <w:tcPr>
            <w:tcW w:w="842" w:type="dxa"/>
            <w:tcBorders>
              <w:top w:val="nil"/>
              <w:left w:val="single" w:sz="4" w:space="0" w:color="auto"/>
              <w:bottom w:val="nil"/>
              <w:right w:val="nil"/>
            </w:tcBorders>
          </w:tcPr>
          <w:p w:rsidR="002D1458" w:rsidRPr="00857A94"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nil"/>
              <w:left w:val="nil"/>
              <w:bottom w:val="nil"/>
              <w:right w:val="single" w:sz="4" w:space="0" w:color="auto"/>
            </w:tcBorders>
          </w:tcPr>
          <w:p w:rsidR="002D1458" w:rsidRPr="00857A94"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nil"/>
              <w:left w:val="single" w:sz="4" w:space="0" w:color="auto"/>
              <w:bottom w:val="nil"/>
              <w:right w:val="nil"/>
            </w:tcBorders>
          </w:tcPr>
          <w:p w:rsidR="002D1458" w:rsidRPr="00857A94"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857A94"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nil"/>
              <w:left w:val="single" w:sz="4" w:space="0" w:color="auto"/>
              <w:bottom w:val="nil"/>
              <w:right w:val="nil"/>
            </w:tcBorders>
          </w:tcPr>
          <w:p w:rsidR="002D1458" w:rsidRPr="00857A94"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857A94"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nil"/>
              <w:left w:val="single" w:sz="4" w:space="0" w:color="auto"/>
              <w:bottom w:val="nil"/>
              <w:right w:val="nil"/>
            </w:tcBorders>
          </w:tcPr>
          <w:p w:rsidR="002D1458" w:rsidRPr="00857A94"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nil"/>
              <w:left w:val="nil"/>
              <w:bottom w:val="nil"/>
              <w:right w:val="single" w:sz="4" w:space="0" w:color="auto"/>
            </w:tcBorders>
          </w:tcPr>
          <w:p w:rsidR="002D1458" w:rsidRPr="00857A94"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nil"/>
              <w:left w:val="single" w:sz="4" w:space="0" w:color="auto"/>
              <w:bottom w:val="nil"/>
              <w:right w:val="nil"/>
            </w:tcBorders>
            <w:vAlign w:val="bottom"/>
          </w:tcPr>
          <w:p w:rsidR="002D1458" w:rsidRPr="00857A94" w:rsidRDefault="002D1458" w:rsidP="001E7F73">
            <w:pPr>
              <w:tabs>
                <w:tab w:val="decimal" w:pos="339"/>
              </w:tabs>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857A94" w:rsidRDefault="002D1458" w:rsidP="001E7F73">
            <w:pPr>
              <w:tabs>
                <w:tab w:val="decimal" w:pos="339"/>
              </w:tabs>
              <w:spacing w:before="0"/>
              <w:rPr>
                <w:rFonts w:ascii="Times New Roman" w:hAnsi="Times New Roman" w:cs="Times New Roman"/>
                <w:color w:val="000000"/>
                <w:sz w:val="20"/>
                <w:szCs w:val="20"/>
              </w:rPr>
            </w:pPr>
          </w:p>
        </w:tc>
      </w:tr>
      <w:tr w:rsidR="002D1458" w:rsidRPr="0093279A" w:rsidTr="001E7F73">
        <w:trPr>
          <w:trHeight w:val="305"/>
        </w:trPr>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1</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GDP</w:t>
            </w:r>
          </w:p>
        </w:tc>
        <w:tc>
          <w:tcPr>
            <w:tcW w:w="842"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-0.69</w:t>
            </w:r>
          </w:p>
        </w:tc>
        <w:tc>
          <w:tcPr>
            <w:tcW w:w="910"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0.015</w:t>
            </w:r>
          </w:p>
        </w:tc>
        <w:tc>
          <w:tcPr>
            <w:tcW w:w="821"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-0.69</w:t>
            </w:r>
          </w:p>
        </w:tc>
        <w:tc>
          <w:tcPr>
            <w:tcW w:w="900"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0.011</w:t>
            </w:r>
          </w:p>
        </w:tc>
        <w:tc>
          <w:tcPr>
            <w:tcW w:w="822"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-0.74</w:t>
            </w:r>
          </w:p>
        </w:tc>
        <w:tc>
          <w:tcPr>
            <w:tcW w:w="900"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-0.008</w:t>
            </w:r>
          </w:p>
        </w:tc>
        <w:tc>
          <w:tcPr>
            <w:tcW w:w="831"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-0.76</w:t>
            </w:r>
          </w:p>
        </w:tc>
        <w:tc>
          <w:tcPr>
            <w:tcW w:w="904"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-0.002</w:t>
            </w:r>
          </w:p>
        </w:tc>
        <w:tc>
          <w:tcPr>
            <w:tcW w:w="916"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-0.72</w:t>
            </w:r>
          </w:p>
        </w:tc>
        <w:tc>
          <w:tcPr>
            <w:tcW w:w="931" w:type="dxa"/>
            <w:tcBorders>
              <w:top w:val="nil"/>
              <w:left w:val="nil"/>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0.004</w:t>
            </w:r>
          </w:p>
        </w:tc>
      </w:tr>
      <w:tr w:rsidR="002D1458" w:rsidRPr="0093279A"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-0.41</w:t>
            </w:r>
          </w:p>
        </w:tc>
        <w:tc>
          <w:tcPr>
            <w:tcW w:w="910"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0.013</w:t>
            </w:r>
          </w:p>
        </w:tc>
        <w:tc>
          <w:tcPr>
            <w:tcW w:w="821"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-0.42</w:t>
            </w:r>
          </w:p>
        </w:tc>
        <w:tc>
          <w:tcPr>
            <w:tcW w:w="900"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0.013</w:t>
            </w:r>
          </w:p>
        </w:tc>
        <w:tc>
          <w:tcPr>
            <w:tcW w:w="822"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-0.51</w:t>
            </w:r>
          </w:p>
        </w:tc>
        <w:tc>
          <w:tcPr>
            <w:tcW w:w="900"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0.007</w:t>
            </w:r>
          </w:p>
        </w:tc>
        <w:tc>
          <w:tcPr>
            <w:tcW w:w="831"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-0.55</w:t>
            </w:r>
          </w:p>
        </w:tc>
        <w:tc>
          <w:tcPr>
            <w:tcW w:w="904"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-0.003</w:t>
            </w:r>
          </w:p>
        </w:tc>
        <w:tc>
          <w:tcPr>
            <w:tcW w:w="916"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-0.47</w:t>
            </w:r>
          </w:p>
        </w:tc>
        <w:tc>
          <w:tcPr>
            <w:tcW w:w="931" w:type="dxa"/>
            <w:tcBorders>
              <w:top w:val="nil"/>
              <w:left w:val="nil"/>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0.007</w:t>
            </w:r>
          </w:p>
        </w:tc>
      </w:tr>
      <w:tr w:rsidR="002D1458" w:rsidRPr="0093279A"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3a</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0.05 discount rate</w:t>
            </w:r>
          </w:p>
        </w:tc>
        <w:tc>
          <w:tcPr>
            <w:tcW w:w="842" w:type="dxa"/>
            <w:tcBorders>
              <w:top w:val="nil"/>
              <w:left w:val="single" w:sz="4" w:space="0" w:color="auto"/>
              <w:bottom w:val="nil"/>
              <w:right w:val="nil"/>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-0.041</w:t>
            </w:r>
          </w:p>
        </w:tc>
        <w:tc>
          <w:tcPr>
            <w:tcW w:w="821" w:type="dxa"/>
            <w:tcBorders>
              <w:top w:val="nil"/>
              <w:left w:val="single" w:sz="4" w:space="0" w:color="auto"/>
              <w:bottom w:val="nil"/>
              <w:right w:val="nil"/>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-0.038</w:t>
            </w:r>
          </w:p>
        </w:tc>
        <w:tc>
          <w:tcPr>
            <w:tcW w:w="822" w:type="dxa"/>
            <w:tcBorders>
              <w:top w:val="nil"/>
              <w:left w:val="single" w:sz="4" w:space="0" w:color="auto"/>
              <w:bottom w:val="nil"/>
              <w:right w:val="nil"/>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-0.045</w:t>
            </w:r>
          </w:p>
        </w:tc>
        <w:tc>
          <w:tcPr>
            <w:tcW w:w="831" w:type="dxa"/>
            <w:tcBorders>
              <w:top w:val="nil"/>
              <w:left w:val="single" w:sz="4" w:space="0" w:color="auto"/>
              <w:bottom w:val="nil"/>
              <w:right w:val="nil"/>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-0.044</w:t>
            </w:r>
          </w:p>
        </w:tc>
        <w:tc>
          <w:tcPr>
            <w:tcW w:w="916" w:type="dxa"/>
            <w:tcBorders>
              <w:top w:val="nil"/>
              <w:left w:val="single" w:sz="4" w:space="0" w:color="auto"/>
              <w:bottom w:val="nil"/>
              <w:right w:val="nil"/>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-0.042</w:t>
            </w:r>
          </w:p>
        </w:tc>
      </w:tr>
      <w:tr w:rsidR="002D1458" w:rsidRPr="0093279A"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3b</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0.02 discount rate</w:t>
            </w:r>
          </w:p>
        </w:tc>
        <w:tc>
          <w:tcPr>
            <w:tcW w:w="842" w:type="dxa"/>
            <w:tcBorders>
              <w:top w:val="nil"/>
              <w:left w:val="single" w:sz="4" w:space="0" w:color="auto"/>
              <w:bottom w:val="nil"/>
              <w:right w:val="nil"/>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-0.055</w:t>
            </w:r>
          </w:p>
        </w:tc>
        <w:tc>
          <w:tcPr>
            <w:tcW w:w="821" w:type="dxa"/>
            <w:tcBorders>
              <w:top w:val="nil"/>
              <w:left w:val="single" w:sz="4" w:space="0" w:color="auto"/>
              <w:bottom w:val="nil"/>
              <w:right w:val="nil"/>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-0.052</w:t>
            </w:r>
          </w:p>
        </w:tc>
        <w:tc>
          <w:tcPr>
            <w:tcW w:w="822" w:type="dxa"/>
            <w:tcBorders>
              <w:top w:val="nil"/>
              <w:left w:val="single" w:sz="4" w:space="0" w:color="auto"/>
              <w:bottom w:val="nil"/>
              <w:right w:val="nil"/>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-0.060</w:t>
            </w:r>
          </w:p>
        </w:tc>
        <w:tc>
          <w:tcPr>
            <w:tcW w:w="831" w:type="dxa"/>
            <w:tcBorders>
              <w:top w:val="nil"/>
              <w:left w:val="single" w:sz="4" w:space="0" w:color="auto"/>
              <w:bottom w:val="nil"/>
              <w:right w:val="nil"/>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-0.058</w:t>
            </w:r>
          </w:p>
        </w:tc>
        <w:tc>
          <w:tcPr>
            <w:tcW w:w="916" w:type="dxa"/>
            <w:tcBorders>
              <w:top w:val="nil"/>
              <w:left w:val="single" w:sz="4" w:space="0" w:color="auto"/>
              <w:bottom w:val="nil"/>
              <w:right w:val="nil"/>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-0.056</w:t>
            </w:r>
          </w:p>
        </w:tc>
      </w:tr>
      <w:tr w:rsidR="002D1458" w:rsidRPr="0093279A"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Target region </w:t>
            </w:r>
          </w:p>
        </w:tc>
        <w:tc>
          <w:tcPr>
            <w:tcW w:w="842" w:type="dxa"/>
            <w:tcBorders>
              <w:top w:val="nil"/>
              <w:left w:val="single" w:sz="4" w:space="0" w:color="auto"/>
              <w:bottom w:val="nil"/>
              <w:right w:val="nil"/>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821" w:type="dxa"/>
            <w:tcBorders>
              <w:top w:val="nil"/>
              <w:left w:val="single" w:sz="4" w:space="0" w:color="auto"/>
              <w:bottom w:val="nil"/>
              <w:right w:val="nil"/>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822" w:type="dxa"/>
            <w:tcBorders>
              <w:top w:val="nil"/>
              <w:left w:val="single" w:sz="4" w:space="0" w:color="auto"/>
              <w:bottom w:val="nil"/>
              <w:right w:val="nil"/>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831" w:type="dxa"/>
            <w:tcBorders>
              <w:top w:val="nil"/>
              <w:left w:val="single" w:sz="4" w:space="0" w:color="auto"/>
              <w:bottom w:val="nil"/>
              <w:right w:val="nil"/>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916" w:type="dxa"/>
            <w:tcBorders>
              <w:top w:val="nil"/>
              <w:left w:val="single" w:sz="4" w:space="0" w:color="auto"/>
              <w:bottom w:val="nil"/>
              <w:right w:val="nil"/>
            </w:tcBorders>
            <w:vAlign w:val="bottom"/>
          </w:tcPr>
          <w:p w:rsidR="002D1458" w:rsidRPr="00857A94"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857A94" w:rsidRDefault="002D1458" w:rsidP="001E7F73">
            <w:pPr>
              <w:spacing w:before="0"/>
              <w:rPr>
                <w:rFonts w:ascii="Times New Roman" w:hAnsi="Times New Roman" w:cs="Times New Roman"/>
                <w:color w:val="000000"/>
                <w:sz w:val="20"/>
                <w:szCs w:val="20"/>
              </w:rPr>
            </w:pPr>
          </w:p>
        </w:tc>
      </w:tr>
      <w:tr w:rsidR="002D1458" w:rsidRPr="0093279A"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4</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GRP</w:t>
            </w:r>
          </w:p>
        </w:tc>
        <w:tc>
          <w:tcPr>
            <w:tcW w:w="842"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-2.36</w:t>
            </w:r>
          </w:p>
        </w:tc>
        <w:tc>
          <w:tcPr>
            <w:tcW w:w="910"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-0.042</w:t>
            </w:r>
          </w:p>
        </w:tc>
        <w:tc>
          <w:tcPr>
            <w:tcW w:w="821"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-2.40</w:t>
            </w:r>
          </w:p>
        </w:tc>
        <w:tc>
          <w:tcPr>
            <w:tcW w:w="900"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-0.051</w:t>
            </w:r>
          </w:p>
        </w:tc>
        <w:tc>
          <w:tcPr>
            <w:tcW w:w="822"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-2.42</w:t>
            </w:r>
          </w:p>
        </w:tc>
        <w:tc>
          <w:tcPr>
            <w:tcW w:w="900"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-0.042</w:t>
            </w:r>
          </w:p>
        </w:tc>
        <w:tc>
          <w:tcPr>
            <w:tcW w:w="831"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-2.33</w:t>
            </w:r>
          </w:p>
        </w:tc>
        <w:tc>
          <w:tcPr>
            <w:tcW w:w="904" w:type="dxa"/>
            <w:tcBorders>
              <w:top w:val="nil"/>
              <w:left w:val="nil"/>
              <w:bottom w:val="nil"/>
              <w:right w:val="single" w:sz="4" w:space="0" w:color="auto"/>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-0.041</w:t>
            </w:r>
          </w:p>
        </w:tc>
        <w:tc>
          <w:tcPr>
            <w:tcW w:w="916" w:type="dxa"/>
            <w:tcBorders>
              <w:top w:val="nil"/>
              <w:left w:val="single" w:sz="4" w:space="0" w:color="auto"/>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-2.38</w:t>
            </w:r>
          </w:p>
        </w:tc>
        <w:tc>
          <w:tcPr>
            <w:tcW w:w="931" w:type="dxa"/>
            <w:tcBorders>
              <w:top w:val="nil"/>
              <w:left w:val="nil"/>
              <w:bottom w:val="nil"/>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-0.044</w:t>
            </w:r>
          </w:p>
        </w:tc>
      </w:tr>
      <w:tr w:rsidR="002D1458" w:rsidRPr="0093279A" w:rsidTr="001E7F73">
        <w:tc>
          <w:tcPr>
            <w:tcW w:w="495" w:type="dxa"/>
            <w:tcBorders>
              <w:top w:val="nil"/>
              <w:left w:val="nil"/>
              <w:bottom w:val="single" w:sz="18" w:space="0" w:color="7F7F7F" w:themeColor="text1" w:themeTint="80"/>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5</w:t>
            </w:r>
          </w:p>
        </w:tc>
        <w:tc>
          <w:tcPr>
            <w:tcW w:w="3150" w:type="dxa"/>
            <w:tcBorders>
              <w:top w:val="nil"/>
              <w:left w:val="nil"/>
              <w:bottom w:val="single" w:sz="18" w:space="0" w:color="7F7F7F" w:themeColor="text1" w:themeTint="80"/>
              <w:right w:val="single" w:sz="4" w:space="0" w:color="000000" w:themeColor="text1"/>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000000" w:themeColor="text1"/>
              <w:bottom w:val="single" w:sz="18" w:space="0" w:color="7F7F7F" w:themeColor="text1" w:themeTint="80"/>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-1.90</w:t>
            </w:r>
          </w:p>
        </w:tc>
        <w:tc>
          <w:tcPr>
            <w:tcW w:w="910" w:type="dxa"/>
            <w:tcBorders>
              <w:top w:val="nil"/>
              <w:left w:val="nil"/>
              <w:bottom w:val="single" w:sz="18" w:space="0" w:color="7F7F7F" w:themeColor="text1" w:themeTint="80"/>
              <w:right w:val="single" w:sz="4" w:space="0" w:color="000000" w:themeColor="text1"/>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0.027</w:t>
            </w:r>
          </w:p>
        </w:tc>
        <w:tc>
          <w:tcPr>
            <w:tcW w:w="821" w:type="dxa"/>
            <w:tcBorders>
              <w:top w:val="nil"/>
              <w:left w:val="single" w:sz="4" w:space="0" w:color="000000" w:themeColor="text1"/>
              <w:bottom w:val="single" w:sz="18" w:space="0" w:color="7F7F7F" w:themeColor="text1" w:themeTint="80"/>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-1.93</w:t>
            </w:r>
          </w:p>
        </w:tc>
        <w:tc>
          <w:tcPr>
            <w:tcW w:w="900" w:type="dxa"/>
            <w:tcBorders>
              <w:top w:val="nil"/>
              <w:left w:val="nil"/>
              <w:bottom w:val="single" w:sz="18" w:space="0" w:color="7F7F7F" w:themeColor="text1" w:themeTint="80"/>
              <w:right w:val="single" w:sz="4" w:space="0" w:color="000000" w:themeColor="text1"/>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0.021</w:t>
            </w:r>
          </w:p>
        </w:tc>
        <w:tc>
          <w:tcPr>
            <w:tcW w:w="822" w:type="dxa"/>
            <w:tcBorders>
              <w:top w:val="nil"/>
              <w:left w:val="single" w:sz="4" w:space="0" w:color="000000" w:themeColor="text1"/>
              <w:bottom w:val="single" w:sz="18" w:space="0" w:color="7F7F7F" w:themeColor="text1" w:themeTint="80"/>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-1.95</w:t>
            </w:r>
          </w:p>
        </w:tc>
        <w:tc>
          <w:tcPr>
            <w:tcW w:w="900" w:type="dxa"/>
            <w:tcBorders>
              <w:top w:val="nil"/>
              <w:left w:val="nil"/>
              <w:bottom w:val="single" w:sz="18" w:space="0" w:color="7F7F7F" w:themeColor="text1" w:themeTint="80"/>
              <w:right w:val="single" w:sz="4" w:space="0" w:color="000000" w:themeColor="text1"/>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0.028</w:t>
            </w:r>
          </w:p>
        </w:tc>
        <w:tc>
          <w:tcPr>
            <w:tcW w:w="831" w:type="dxa"/>
            <w:tcBorders>
              <w:top w:val="nil"/>
              <w:left w:val="single" w:sz="4" w:space="0" w:color="000000" w:themeColor="text1"/>
              <w:bottom w:val="single" w:sz="18" w:space="0" w:color="7F7F7F" w:themeColor="text1" w:themeTint="80"/>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-1.88</w:t>
            </w:r>
          </w:p>
        </w:tc>
        <w:tc>
          <w:tcPr>
            <w:tcW w:w="904" w:type="dxa"/>
            <w:tcBorders>
              <w:top w:val="nil"/>
              <w:left w:val="nil"/>
              <w:bottom w:val="single" w:sz="18" w:space="0" w:color="7F7F7F" w:themeColor="text1" w:themeTint="80"/>
              <w:right w:val="single" w:sz="4" w:space="0" w:color="000000" w:themeColor="text1"/>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0.020</w:t>
            </w:r>
          </w:p>
        </w:tc>
        <w:tc>
          <w:tcPr>
            <w:tcW w:w="916" w:type="dxa"/>
            <w:tcBorders>
              <w:top w:val="nil"/>
              <w:left w:val="single" w:sz="4" w:space="0" w:color="000000" w:themeColor="text1"/>
              <w:bottom w:val="single" w:sz="18" w:space="0" w:color="7F7F7F" w:themeColor="text1" w:themeTint="80"/>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-1.92</w:t>
            </w:r>
          </w:p>
        </w:tc>
        <w:tc>
          <w:tcPr>
            <w:tcW w:w="931" w:type="dxa"/>
            <w:tcBorders>
              <w:top w:val="nil"/>
              <w:left w:val="nil"/>
              <w:bottom w:val="single" w:sz="18" w:space="0" w:color="7F7F7F" w:themeColor="text1" w:themeTint="80"/>
              <w:right w:val="nil"/>
            </w:tcBorders>
            <w:vAlign w:val="bottom"/>
          </w:tcPr>
          <w:p w:rsidR="002D1458" w:rsidRPr="00857A94" w:rsidRDefault="002D1458" w:rsidP="001E7F73">
            <w:pPr>
              <w:spacing w:before="0"/>
              <w:jc w:val="right"/>
              <w:rPr>
                <w:rFonts w:ascii="Times New Roman" w:hAnsi="Times New Roman" w:cs="Times New Roman"/>
                <w:color w:val="000000"/>
                <w:sz w:val="20"/>
                <w:szCs w:val="20"/>
              </w:rPr>
            </w:pPr>
            <w:r w:rsidRPr="00857A94">
              <w:rPr>
                <w:rFonts w:ascii="Times New Roman" w:hAnsi="Times New Roman" w:cs="Times New Roman"/>
                <w:color w:val="000000"/>
                <w:sz w:val="20"/>
                <w:szCs w:val="20"/>
              </w:rPr>
              <w:t>0.024</w:t>
            </w:r>
          </w:p>
        </w:tc>
      </w:tr>
    </w:tbl>
    <w:p w:rsidR="002D1458" w:rsidRPr="0021748C" w:rsidRDefault="002D1458" w:rsidP="002D1458">
      <w:pPr>
        <w:pStyle w:val="ListParagraph"/>
        <w:ind w:left="1260" w:hanging="540"/>
        <w:contextualSpacing w:val="0"/>
        <w:rPr>
          <w:rFonts w:ascii="Times New Roman" w:hAnsi="Times New Roman" w:cs="Times New Roman"/>
          <w:sz w:val="24"/>
          <w:szCs w:val="24"/>
        </w:rPr>
      </w:pPr>
      <w:r w:rsidRPr="0021748C">
        <w:rPr>
          <w:rFonts w:ascii="Times New Roman" w:hAnsi="Times New Roman" w:cs="Times New Roman"/>
          <w:b/>
          <w:sz w:val="24"/>
          <w:szCs w:val="24"/>
        </w:rPr>
        <w:t xml:space="preserve">Note:  </w:t>
      </w:r>
      <w:r w:rsidRPr="0021748C">
        <w:rPr>
          <w:rFonts w:ascii="Times New Roman" w:hAnsi="Times New Roman" w:cs="Times New Roman"/>
          <w:sz w:val="24"/>
          <w:szCs w:val="24"/>
        </w:rPr>
        <w:t xml:space="preserve">In our simulations, capital destruction has the same effects on the economy under Keynesian and Neoclassical assumptions.  Consequently, the upper and lower sections of this table are identical.  As can be seen in later tables, demand stimulation shocks (e.g. </w:t>
      </w:r>
      <w:r w:rsidR="00B6529C" w:rsidRPr="0021748C">
        <w:rPr>
          <w:rFonts w:ascii="Times New Roman" w:hAnsi="Times New Roman" w:cs="Times New Roman"/>
          <w:sz w:val="24"/>
          <w:szCs w:val="24"/>
        </w:rPr>
        <w:t>clean-up</w:t>
      </w:r>
      <w:r w:rsidRPr="0021748C">
        <w:rPr>
          <w:rFonts w:ascii="Times New Roman" w:hAnsi="Times New Roman" w:cs="Times New Roman"/>
          <w:sz w:val="24"/>
          <w:szCs w:val="24"/>
        </w:rPr>
        <w:t xml:space="preserve"> in Table 3) generate quite different coefficients in the short run (2015) under Keynesian and Neoclassical assumptions.  </w:t>
      </w:r>
    </w:p>
    <w:p w:rsidR="002D1458" w:rsidRPr="0021748C" w:rsidRDefault="002D1458" w:rsidP="002D1458">
      <w:pPr>
        <w:pStyle w:val="ListParagraph"/>
        <w:ind w:left="1560" w:hanging="851"/>
        <w:contextualSpacing w:val="0"/>
        <w:rPr>
          <w:rFonts w:ascii="Times New Roman" w:hAnsi="Times New Roman" w:cs="Times New Roman"/>
          <w:b/>
          <w:sz w:val="24"/>
          <w:szCs w:val="24"/>
        </w:rPr>
      </w:pPr>
      <w:r w:rsidRPr="0021748C">
        <w:rPr>
          <w:rFonts w:ascii="Times New Roman" w:hAnsi="Times New Roman" w:cs="Times New Roman"/>
          <w:b/>
          <w:sz w:val="24"/>
          <w:szCs w:val="24"/>
        </w:rPr>
        <w:t xml:space="preserve">Relevant variables.  </w:t>
      </w:r>
    </w:p>
    <w:p w:rsidR="002D1458" w:rsidRPr="0021748C" w:rsidRDefault="002D1458" w:rsidP="002D1458">
      <w:pPr>
        <w:pStyle w:val="ListParagraph"/>
        <w:ind w:left="1560" w:hanging="480"/>
        <w:contextualSpacing w:val="0"/>
        <w:rPr>
          <w:rFonts w:ascii="Times New Roman" w:hAnsi="Times New Roman" w:cs="Times New Roman"/>
          <w:sz w:val="24"/>
          <w:szCs w:val="24"/>
        </w:rPr>
      </w:pPr>
      <w:r w:rsidRPr="0021748C">
        <w:rPr>
          <w:rFonts w:ascii="Times New Roman" w:hAnsi="Times New Roman" w:cs="Times New Roman"/>
          <w:b/>
          <w:i/>
          <w:sz w:val="24"/>
          <w:szCs w:val="24"/>
        </w:rPr>
        <w:t xml:space="preserve">National:  </w:t>
      </w:r>
      <w:r w:rsidRPr="0021748C">
        <w:rPr>
          <w:rFonts w:ascii="Times New Roman" w:hAnsi="Times New Roman" w:cs="Times New Roman"/>
          <w:sz w:val="24"/>
          <w:szCs w:val="24"/>
        </w:rPr>
        <w:t>Target region’s capital as share of national capital</w:t>
      </w:r>
    </w:p>
    <w:p w:rsidR="002D1458" w:rsidRDefault="002D1458" w:rsidP="002D1458">
      <w:pPr>
        <w:pStyle w:val="ListParagraph"/>
        <w:ind w:left="1560" w:hanging="480"/>
        <w:contextualSpacing w:val="0"/>
        <w:rPr>
          <w:rFonts w:ascii="Times New Roman" w:hAnsi="Times New Roman" w:cs="Times New Roman"/>
          <w:b/>
          <w:sz w:val="24"/>
          <w:szCs w:val="24"/>
        </w:rPr>
      </w:pPr>
      <w:r w:rsidRPr="0021748C">
        <w:rPr>
          <w:rFonts w:ascii="Times New Roman" w:hAnsi="Times New Roman" w:cs="Times New Roman"/>
          <w:b/>
          <w:i/>
          <w:sz w:val="24"/>
          <w:szCs w:val="24"/>
        </w:rPr>
        <w:t>Regional:</w:t>
      </w:r>
      <w:r w:rsidRPr="0021748C">
        <w:rPr>
          <w:rFonts w:ascii="Times New Roman" w:hAnsi="Times New Roman" w:cs="Times New Roman"/>
          <w:sz w:val="24"/>
          <w:szCs w:val="24"/>
        </w:rPr>
        <w:t xml:space="preserve">  Capital income as share of target region’s GRP</w:t>
      </w:r>
      <w:r>
        <w:rPr>
          <w:rFonts w:ascii="Times New Roman" w:hAnsi="Times New Roman" w:cs="Times New Roman"/>
          <w:b/>
          <w:sz w:val="24"/>
          <w:szCs w:val="24"/>
        </w:rPr>
        <w:br w:type="page"/>
      </w:r>
    </w:p>
    <w:p w:rsidR="002D1458" w:rsidRPr="00BC333D" w:rsidRDefault="002D1458" w:rsidP="002D1458">
      <w:pPr>
        <w:pStyle w:val="ListParagraph"/>
        <w:ind w:left="900" w:hanging="49"/>
        <w:contextualSpacing w:val="0"/>
        <w:jc w:val="center"/>
        <w:rPr>
          <w:rFonts w:ascii="Times New Roman" w:hAnsi="Times New Roman" w:cs="Times New Roman"/>
          <w:b/>
          <w:i/>
          <w:sz w:val="24"/>
          <w:szCs w:val="24"/>
        </w:rPr>
      </w:pPr>
      <w:r w:rsidRPr="00BC333D">
        <w:rPr>
          <w:rFonts w:ascii="Times New Roman" w:hAnsi="Times New Roman" w:cs="Times New Roman"/>
          <w:b/>
          <w:i/>
          <w:sz w:val="24"/>
          <w:szCs w:val="24"/>
        </w:rPr>
        <w:lastRenderedPageBreak/>
        <w:t xml:space="preserve">Table A2.  Coefficients, C(s,v), for reactivation of idle capital (s=2) </w:t>
      </w:r>
    </w:p>
    <w:tbl>
      <w:tblPr>
        <w:tblStyle w:val="TableGrid"/>
        <w:tblW w:w="12422" w:type="dxa"/>
        <w:tblInd w:w="900" w:type="dxa"/>
        <w:tblLook w:val="04A0" w:firstRow="1" w:lastRow="0" w:firstColumn="1" w:lastColumn="0" w:noHBand="0" w:noVBand="1"/>
      </w:tblPr>
      <w:tblGrid>
        <w:gridCol w:w="495"/>
        <w:gridCol w:w="3150"/>
        <w:gridCol w:w="842"/>
        <w:gridCol w:w="910"/>
        <w:gridCol w:w="821"/>
        <w:gridCol w:w="900"/>
        <w:gridCol w:w="822"/>
        <w:gridCol w:w="900"/>
        <w:gridCol w:w="831"/>
        <w:gridCol w:w="904"/>
        <w:gridCol w:w="916"/>
        <w:gridCol w:w="931"/>
      </w:tblGrid>
      <w:tr w:rsidR="002D1458" w:rsidRPr="00E27213" w:rsidTr="001E7F73">
        <w:tc>
          <w:tcPr>
            <w:tcW w:w="495" w:type="dxa"/>
            <w:tcBorders>
              <w:top w:val="single" w:sz="18" w:space="0" w:color="7F7F7F" w:themeColor="text1" w:themeTint="80"/>
              <w:left w:val="nil"/>
              <w:bottom w:val="nil"/>
              <w:right w:val="nil"/>
            </w:tcBorders>
            <w:vAlign w:val="bottom"/>
          </w:tcPr>
          <w:p w:rsidR="002D1458" w:rsidRPr="00E27213" w:rsidRDefault="002D1458" w:rsidP="001E7F73">
            <w:pPr>
              <w:spacing w:before="0"/>
              <w:rPr>
                <w:rFonts w:ascii="Times New Roman" w:hAnsi="Times New Roman" w:cs="Times New Roman"/>
                <w:color w:val="000000"/>
                <w:sz w:val="20"/>
                <w:szCs w:val="20"/>
              </w:rPr>
            </w:pPr>
          </w:p>
        </w:tc>
        <w:tc>
          <w:tcPr>
            <w:tcW w:w="3150" w:type="dxa"/>
            <w:tcBorders>
              <w:top w:val="single" w:sz="18" w:space="0" w:color="7F7F7F" w:themeColor="text1" w:themeTint="80"/>
              <w:left w:val="nil"/>
              <w:bottom w:val="nil"/>
            </w:tcBorders>
            <w:vAlign w:val="center"/>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Target region (d)</w:t>
            </w:r>
          </w:p>
        </w:tc>
        <w:tc>
          <w:tcPr>
            <w:tcW w:w="1752"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FL24</w:t>
            </w:r>
          </w:p>
        </w:tc>
        <w:tc>
          <w:tcPr>
            <w:tcW w:w="1721"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AZ07</w:t>
            </w:r>
          </w:p>
        </w:tc>
        <w:tc>
          <w:tcPr>
            <w:tcW w:w="1722"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NY14</w:t>
            </w:r>
          </w:p>
        </w:tc>
        <w:tc>
          <w:tcPr>
            <w:tcW w:w="1735"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WA09</w:t>
            </w:r>
          </w:p>
        </w:tc>
        <w:tc>
          <w:tcPr>
            <w:tcW w:w="1847" w:type="dxa"/>
            <w:gridSpan w:val="2"/>
            <w:tcBorders>
              <w:top w:val="single" w:sz="18" w:space="0" w:color="7F7F7F" w:themeColor="text1" w:themeTint="80"/>
              <w:right w:val="nil"/>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Average</w:t>
            </w:r>
          </w:p>
        </w:tc>
      </w:tr>
      <w:tr w:rsidR="002D1458" w:rsidRPr="00E27213" w:rsidTr="001E7F73">
        <w:tc>
          <w:tcPr>
            <w:tcW w:w="495" w:type="dxa"/>
            <w:tcBorders>
              <w:top w:val="nil"/>
              <w:left w:val="nil"/>
              <w:bottom w:val="single" w:sz="18" w:space="0" w:color="7F7F7F" w:themeColor="text1" w:themeTint="80"/>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single" w:sz="18" w:space="0" w:color="7F7F7F" w:themeColor="text1" w:themeTint="80"/>
            </w:tcBorders>
            <w:vAlign w:val="bottom"/>
          </w:tcPr>
          <w:p w:rsidR="002D1458" w:rsidRPr="00E27213" w:rsidRDefault="002D1458" w:rsidP="001E7F73">
            <w:pPr>
              <w:spacing w:before="0"/>
              <w:rPr>
                <w:rFonts w:ascii="Times New Roman" w:hAnsi="Times New Roman" w:cs="Times New Roman"/>
                <w:color w:val="000000"/>
                <w:sz w:val="20"/>
                <w:szCs w:val="20"/>
              </w:rPr>
            </w:pPr>
            <w:r w:rsidRPr="00E27213">
              <w:rPr>
                <w:rFonts w:ascii="Times New Roman" w:hAnsi="Times New Roman" w:cs="Times New Roman"/>
                <w:color w:val="000000"/>
                <w:sz w:val="20"/>
                <w:szCs w:val="20"/>
              </w:rPr>
              <w:t>Implication variables (s)</w:t>
            </w:r>
          </w:p>
        </w:tc>
        <w:tc>
          <w:tcPr>
            <w:tcW w:w="842"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1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21"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22"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31"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4"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916"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31" w:type="dxa"/>
            <w:tcBorders>
              <w:bottom w:val="single" w:sz="18" w:space="0" w:color="7F7F7F" w:themeColor="text1" w:themeTint="80"/>
              <w:right w:val="nil"/>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r>
      <w:tr w:rsidR="002D1458" w:rsidRPr="00F901FE" w:rsidTr="001E7F73">
        <w:tc>
          <w:tcPr>
            <w:tcW w:w="3645" w:type="dxa"/>
            <w:gridSpan w:val="2"/>
            <w:tcBorders>
              <w:top w:val="single" w:sz="18" w:space="0" w:color="7F7F7F" w:themeColor="text1" w:themeTint="80"/>
              <w:left w:val="nil"/>
              <w:bottom w:val="nil"/>
              <w:right w:val="single" w:sz="4" w:space="0" w:color="auto"/>
            </w:tcBorders>
          </w:tcPr>
          <w:p w:rsidR="002D1458" w:rsidRPr="00F901FE" w:rsidRDefault="002D1458" w:rsidP="001E7F73">
            <w:pPr>
              <w:spacing w:before="0"/>
              <w:rPr>
                <w:rFonts w:ascii="Times New Roman" w:hAnsi="Times New Roman" w:cs="Times New Roman"/>
                <w:b/>
                <w:color w:val="000000"/>
                <w:sz w:val="20"/>
                <w:szCs w:val="20"/>
              </w:rPr>
            </w:pPr>
            <w:r w:rsidRPr="00F901FE">
              <w:rPr>
                <w:rFonts w:ascii="Times New Roman" w:hAnsi="Times New Roman" w:cs="Times New Roman"/>
                <w:b/>
                <w:color w:val="000000"/>
                <w:sz w:val="20"/>
                <w:szCs w:val="20"/>
              </w:rPr>
              <w:t>Keynesian</w:t>
            </w:r>
          </w:p>
        </w:tc>
        <w:tc>
          <w:tcPr>
            <w:tcW w:w="842"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39"/>
              </w:tabs>
              <w:spacing w:before="0"/>
              <w:ind w:left="0"/>
              <w:contextualSpacing w:val="0"/>
              <w:rPr>
                <w:rFonts w:ascii="Times New Roman" w:hAnsi="Times New Roman" w:cs="Times New Roman"/>
                <w:sz w:val="20"/>
                <w:szCs w:val="20"/>
              </w:rPr>
            </w:pPr>
          </w:p>
        </w:tc>
        <w:tc>
          <w:tcPr>
            <w:tcW w:w="931" w:type="dxa"/>
            <w:tcBorders>
              <w:top w:val="single" w:sz="18" w:space="0" w:color="7F7F7F" w:themeColor="text1" w:themeTint="80"/>
              <w:left w:val="nil"/>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r>
      <w:tr w:rsidR="002D1458" w:rsidRPr="00F901FE"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National </w:t>
            </w:r>
          </w:p>
        </w:tc>
        <w:tc>
          <w:tcPr>
            <w:tcW w:w="842"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nil"/>
              <w:left w:val="single" w:sz="4" w:space="0" w:color="auto"/>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r>
      <w:tr w:rsidR="002D1458" w:rsidRPr="00857A94" w:rsidTr="001E7F73">
        <w:trPr>
          <w:trHeight w:val="305"/>
        </w:trPr>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1</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GDP</w:t>
            </w:r>
          </w:p>
        </w:tc>
        <w:tc>
          <w:tcPr>
            <w:tcW w:w="84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1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-0.003</w:t>
            </w:r>
          </w:p>
        </w:tc>
        <w:tc>
          <w:tcPr>
            <w:tcW w:w="82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0.007</w:t>
            </w:r>
          </w:p>
        </w:tc>
        <w:tc>
          <w:tcPr>
            <w:tcW w:w="82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0.022</w:t>
            </w:r>
          </w:p>
        </w:tc>
        <w:tc>
          <w:tcPr>
            <w:tcW w:w="83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04"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0.013</w:t>
            </w:r>
          </w:p>
        </w:tc>
        <w:tc>
          <w:tcPr>
            <w:tcW w:w="916"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31" w:type="dxa"/>
            <w:tcBorders>
              <w:top w:val="nil"/>
              <w:left w:val="nil"/>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0.010</w:t>
            </w:r>
          </w:p>
        </w:tc>
      </w:tr>
      <w:tr w:rsidR="002D1458" w:rsidRPr="00857A94"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1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-0.038</w:t>
            </w:r>
          </w:p>
        </w:tc>
        <w:tc>
          <w:tcPr>
            <w:tcW w:w="82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-0.039</w:t>
            </w:r>
          </w:p>
        </w:tc>
        <w:tc>
          <w:tcPr>
            <w:tcW w:w="82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-0.036</w:t>
            </w:r>
          </w:p>
        </w:tc>
        <w:tc>
          <w:tcPr>
            <w:tcW w:w="83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04"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-0.028</w:t>
            </w:r>
          </w:p>
        </w:tc>
        <w:tc>
          <w:tcPr>
            <w:tcW w:w="916"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31" w:type="dxa"/>
            <w:tcBorders>
              <w:top w:val="nil"/>
              <w:left w:val="nil"/>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-0.036</w:t>
            </w:r>
          </w:p>
        </w:tc>
      </w:tr>
      <w:tr w:rsidR="002D1458" w:rsidRPr="00857A94"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3a</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0.05 discount rate</w:t>
            </w:r>
          </w:p>
        </w:tc>
        <w:tc>
          <w:tcPr>
            <w:tcW w:w="84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0.039</w:t>
            </w:r>
          </w:p>
        </w:tc>
        <w:tc>
          <w:tcPr>
            <w:tcW w:w="82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0.038</w:t>
            </w:r>
          </w:p>
        </w:tc>
        <w:tc>
          <w:tcPr>
            <w:tcW w:w="82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0.043</w:t>
            </w:r>
          </w:p>
        </w:tc>
        <w:tc>
          <w:tcPr>
            <w:tcW w:w="83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0.041</w:t>
            </w:r>
          </w:p>
        </w:tc>
        <w:tc>
          <w:tcPr>
            <w:tcW w:w="916"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0.040</w:t>
            </w:r>
          </w:p>
        </w:tc>
      </w:tr>
      <w:tr w:rsidR="002D1458" w:rsidRPr="00857A94"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3b</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0.02 discount rate</w:t>
            </w:r>
          </w:p>
        </w:tc>
        <w:tc>
          <w:tcPr>
            <w:tcW w:w="84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0.055</w:t>
            </w:r>
          </w:p>
        </w:tc>
        <w:tc>
          <w:tcPr>
            <w:tcW w:w="82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0.053</w:t>
            </w:r>
          </w:p>
        </w:tc>
        <w:tc>
          <w:tcPr>
            <w:tcW w:w="82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0.060</w:t>
            </w:r>
          </w:p>
        </w:tc>
        <w:tc>
          <w:tcPr>
            <w:tcW w:w="83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0.056</w:t>
            </w:r>
          </w:p>
        </w:tc>
        <w:tc>
          <w:tcPr>
            <w:tcW w:w="916"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0.056</w:t>
            </w:r>
          </w:p>
        </w:tc>
      </w:tr>
      <w:tr w:rsidR="002D1458" w:rsidRPr="00857A94"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Target region </w:t>
            </w:r>
          </w:p>
        </w:tc>
        <w:tc>
          <w:tcPr>
            <w:tcW w:w="84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82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82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83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16"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r>
      <w:tr w:rsidR="002D1458" w:rsidRPr="00857A94"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4</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GRP</w:t>
            </w:r>
          </w:p>
        </w:tc>
        <w:tc>
          <w:tcPr>
            <w:tcW w:w="84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1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0.096</w:t>
            </w:r>
          </w:p>
        </w:tc>
        <w:tc>
          <w:tcPr>
            <w:tcW w:w="82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0.106</w:t>
            </w:r>
          </w:p>
        </w:tc>
        <w:tc>
          <w:tcPr>
            <w:tcW w:w="82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0.100</w:t>
            </w:r>
          </w:p>
        </w:tc>
        <w:tc>
          <w:tcPr>
            <w:tcW w:w="83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04"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0.092</w:t>
            </w:r>
          </w:p>
        </w:tc>
        <w:tc>
          <w:tcPr>
            <w:tcW w:w="916"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31" w:type="dxa"/>
            <w:tcBorders>
              <w:top w:val="nil"/>
              <w:left w:val="nil"/>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0.099</w:t>
            </w:r>
          </w:p>
        </w:tc>
      </w:tr>
      <w:tr w:rsidR="002D1458" w:rsidRPr="00857A94"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5</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1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-0.006</w:t>
            </w:r>
          </w:p>
        </w:tc>
        <w:tc>
          <w:tcPr>
            <w:tcW w:w="82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-0.001</w:t>
            </w:r>
          </w:p>
        </w:tc>
        <w:tc>
          <w:tcPr>
            <w:tcW w:w="82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-0.007</w:t>
            </w:r>
          </w:p>
        </w:tc>
        <w:tc>
          <w:tcPr>
            <w:tcW w:w="83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04"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0.000</w:t>
            </w:r>
          </w:p>
        </w:tc>
        <w:tc>
          <w:tcPr>
            <w:tcW w:w="916"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31" w:type="dxa"/>
            <w:tcBorders>
              <w:top w:val="nil"/>
              <w:left w:val="nil"/>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-0.003</w:t>
            </w:r>
          </w:p>
        </w:tc>
      </w:tr>
      <w:tr w:rsidR="002D1458" w:rsidRPr="00857A94" w:rsidTr="001E7F73">
        <w:tc>
          <w:tcPr>
            <w:tcW w:w="3645" w:type="dxa"/>
            <w:gridSpan w:val="2"/>
            <w:tcBorders>
              <w:top w:val="single" w:sz="18" w:space="0" w:color="7F7F7F" w:themeColor="text1" w:themeTint="80"/>
              <w:left w:val="nil"/>
              <w:bottom w:val="nil"/>
              <w:right w:val="single" w:sz="4" w:space="0" w:color="auto"/>
            </w:tcBorders>
          </w:tcPr>
          <w:p w:rsidR="002D1458" w:rsidRPr="00F901FE" w:rsidRDefault="002D1458" w:rsidP="001E7F73">
            <w:pPr>
              <w:spacing w:before="0"/>
              <w:rPr>
                <w:rFonts w:ascii="Times New Roman" w:hAnsi="Times New Roman" w:cs="Times New Roman"/>
                <w:b/>
                <w:color w:val="000000"/>
                <w:sz w:val="20"/>
                <w:szCs w:val="20"/>
              </w:rPr>
            </w:pPr>
            <w:r w:rsidRPr="00F901FE">
              <w:rPr>
                <w:rFonts w:ascii="Times New Roman" w:hAnsi="Times New Roman" w:cs="Times New Roman"/>
                <w:b/>
                <w:color w:val="000000"/>
                <w:sz w:val="20"/>
                <w:szCs w:val="20"/>
              </w:rPr>
              <w:t>Neoclassical</w:t>
            </w:r>
          </w:p>
        </w:tc>
        <w:tc>
          <w:tcPr>
            <w:tcW w:w="842" w:type="dxa"/>
            <w:tcBorders>
              <w:top w:val="single" w:sz="18" w:space="0" w:color="7F7F7F" w:themeColor="text1" w:themeTint="80"/>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single" w:sz="18" w:space="0" w:color="7F7F7F" w:themeColor="text1" w:themeTint="80"/>
              <w:left w:val="nil"/>
              <w:bottom w:val="nil"/>
              <w:right w:val="single" w:sz="4" w:space="0" w:color="auto"/>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single" w:sz="18" w:space="0" w:color="7F7F7F" w:themeColor="text1" w:themeTint="80"/>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single" w:sz="18" w:space="0" w:color="7F7F7F" w:themeColor="text1" w:themeTint="80"/>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single" w:sz="18" w:space="0" w:color="7F7F7F" w:themeColor="text1" w:themeTint="80"/>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single" w:sz="18" w:space="0" w:color="7F7F7F" w:themeColor="text1" w:themeTint="80"/>
              <w:left w:val="nil"/>
              <w:bottom w:val="nil"/>
              <w:right w:val="single" w:sz="4" w:space="0" w:color="auto"/>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single" w:sz="18" w:space="0" w:color="7F7F7F" w:themeColor="text1" w:themeTint="80"/>
              <w:left w:val="single" w:sz="4" w:space="0" w:color="auto"/>
              <w:bottom w:val="nil"/>
              <w:right w:val="nil"/>
            </w:tcBorders>
          </w:tcPr>
          <w:p w:rsidR="002D1458" w:rsidRPr="00DD5C80" w:rsidRDefault="002D1458" w:rsidP="001E7F73">
            <w:pPr>
              <w:pStyle w:val="ListParagraph"/>
              <w:tabs>
                <w:tab w:val="decimal" w:pos="339"/>
              </w:tabs>
              <w:spacing w:before="0"/>
              <w:ind w:left="0"/>
              <w:contextualSpacing w:val="0"/>
              <w:rPr>
                <w:rFonts w:ascii="Times New Roman" w:hAnsi="Times New Roman" w:cs="Times New Roman"/>
                <w:sz w:val="20"/>
                <w:szCs w:val="20"/>
              </w:rPr>
            </w:pPr>
          </w:p>
        </w:tc>
        <w:tc>
          <w:tcPr>
            <w:tcW w:w="931" w:type="dxa"/>
            <w:tcBorders>
              <w:top w:val="single" w:sz="18" w:space="0" w:color="7F7F7F" w:themeColor="text1" w:themeTint="80"/>
              <w:left w:val="nil"/>
              <w:bottom w:val="nil"/>
              <w:right w:val="nil"/>
            </w:tcBorders>
            <w:vAlign w:val="bottom"/>
          </w:tcPr>
          <w:p w:rsidR="002D1458" w:rsidRPr="00DD5C80" w:rsidRDefault="002D1458" w:rsidP="001E7F73">
            <w:pPr>
              <w:tabs>
                <w:tab w:val="decimal" w:pos="339"/>
              </w:tabs>
              <w:spacing w:before="0"/>
              <w:rPr>
                <w:rFonts w:ascii="Times New Roman" w:hAnsi="Times New Roman" w:cs="Times New Roman"/>
                <w:color w:val="000000"/>
                <w:sz w:val="20"/>
                <w:szCs w:val="20"/>
              </w:rPr>
            </w:pPr>
          </w:p>
        </w:tc>
      </w:tr>
      <w:tr w:rsidR="002D1458" w:rsidRPr="00857A94"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National </w:t>
            </w:r>
          </w:p>
        </w:tc>
        <w:tc>
          <w:tcPr>
            <w:tcW w:w="842" w:type="dxa"/>
            <w:tcBorders>
              <w:top w:val="nil"/>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nil"/>
              <w:left w:val="nil"/>
              <w:bottom w:val="nil"/>
              <w:right w:val="single" w:sz="4" w:space="0" w:color="auto"/>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nil"/>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nil"/>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nil"/>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nil"/>
              <w:left w:val="nil"/>
              <w:bottom w:val="nil"/>
              <w:right w:val="single" w:sz="4" w:space="0" w:color="auto"/>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nil"/>
              <w:left w:val="single" w:sz="4" w:space="0" w:color="auto"/>
              <w:bottom w:val="nil"/>
              <w:right w:val="nil"/>
            </w:tcBorders>
            <w:vAlign w:val="bottom"/>
          </w:tcPr>
          <w:p w:rsidR="002D1458" w:rsidRPr="00DD5C80" w:rsidRDefault="002D1458" w:rsidP="001E7F73">
            <w:pPr>
              <w:tabs>
                <w:tab w:val="decimal" w:pos="339"/>
              </w:tabs>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DD5C80" w:rsidRDefault="002D1458" w:rsidP="001E7F73">
            <w:pPr>
              <w:tabs>
                <w:tab w:val="decimal" w:pos="339"/>
              </w:tabs>
              <w:spacing w:before="0"/>
              <w:rPr>
                <w:rFonts w:ascii="Times New Roman" w:hAnsi="Times New Roman" w:cs="Times New Roman"/>
                <w:color w:val="000000"/>
                <w:sz w:val="20"/>
                <w:szCs w:val="20"/>
              </w:rPr>
            </w:pPr>
          </w:p>
        </w:tc>
      </w:tr>
      <w:tr w:rsidR="002D1458" w:rsidTr="001E7F73">
        <w:trPr>
          <w:trHeight w:val="305"/>
        </w:trPr>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1</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GDP</w:t>
            </w:r>
          </w:p>
        </w:tc>
        <w:tc>
          <w:tcPr>
            <w:tcW w:w="84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1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-0.003</w:t>
            </w:r>
          </w:p>
        </w:tc>
        <w:tc>
          <w:tcPr>
            <w:tcW w:w="82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0.007</w:t>
            </w:r>
          </w:p>
        </w:tc>
        <w:tc>
          <w:tcPr>
            <w:tcW w:w="82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0.022</w:t>
            </w:r>
          </w:p>
        </w:tc>
        <w:tc>
          <w:tcPr>
            <w:tcW w:w="83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04"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0.013</w:t>
            </w:r>
          </w:p>
        </w:tc>
        <w:tc>
          <w:tcPr>
            <w:tcW w:w="916"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31" w:type="dxa"/>
            <w:tcBorders>
              <w:top w:val="nil"/>
              <w:left w:val="nil"/>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0.010</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1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-0.038</w:t>
            </w:r>
          </w:p>
        </w:tc>
        <w:tc>
          <w:tcPr>
            <w:tcW w:w="82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-0.039</w:t>
            </w:r>
          </w:p>
        </w:tc>
        <w:tc>
          <w:tcPr>
            <w:tcW w:w="82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-0.036</w:t>
            </w:r>
          </w:p>
        </w:tc>
        <w:tc>
          <w:tcPr>
            <w:tcW w:w="83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04"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-0.028</w:t>
            </w:r>
          </w:p>
        </w:tc>
        <w:tc>
          <w:tcPr>
            <w:tcW w:w="916"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31" w:type="dxa"/>
            <w:tcBorders>
              <w:top w:val="nil"/>
              <w:left w:val="nil"/>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-0.036</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3a</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0.05 discount rate</w:t>
            </w:r>
          </w:p>
        </w:tc>
        <w:tc>
          <w:tcPr>
            <w:tcW w:w="84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0.039</w:t>
            </w:r>
          </w:p>
        </w:tc>
        <w:tc>
          <w:tcPr>
            <w:tcW w:w="82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0.038</w:t>
            </w:r>
          </w:p>
        </w:tc>
        <w:tc>
          <w:tcPr>
            <w:tcW w:w="82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0.043</w:t>
            </w:r>
          </w:p>
        </w:tc>
        <w:tc>
          <w:tcPr>
            <w:tcW w:w="83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0.041</w:t>
            </w:r>
          </w:p>
        </w:tc>
        <w:tc>
          <w:tcPr>
            <w:tcW w:w="916"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0.040</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3b</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0.02 discount rate</w:t>
            </w:r>
          </w:p>
        </w:tc>
        <w:tc>
          <w:tcPr>
            <w:tcW w:w="84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0.055</w:t>
            </w:r>
          </w:p>
        </w:tc>
        <w:tc>
          <w:tcPr>
            <w:tcW w:w="82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0.053</w:t>
            </w:r>
          </w:p>
        </w:tc>
        <w:tc>
          <w:tcPr>
            <w:tcW w:w="82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0.060</w:t>
            </w:r>
          </w:p>
        </w:tc>
        <w:tc>
          <w:tcPr>
            <w:tcW w:w="83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0.056</w:t>
            </w:r>
          </w:p>
        </w:tc>
        <w:tc>
          <w:tcPr>
            <w:tcW w:w="916"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0.056</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Target region </w:t>
            </w:r>
          </w:p>
        </w:tc>
        <w:tc>
          <w:tcPr>
            <w:tcW w:w="84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82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82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83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16"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4</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GRP</w:t>
            </w:r>
          </w:p>
        </w:tc>
        <w:tc>
          <w:tcPr>
            <w:tcW w:w="84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1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0.096</w:t>
            </w:r>
          </w:p>
        </w:tc>
        <w:tc>
          <w:tcPr>
            <w:tcW w:w="82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0.106</w:t>
            </w:r>
          </w:p>
        </w:tc>
        <w:tc>
          <w:tcPr>
            <w:tcW w:w="82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0.100</w:t>
            </w:r>
          </w:p>
        </w:tc>
        <w:tc>
          <w:tcPr>
            <w:tcW w:w="83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04"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0.092</w:t>
            </w:r>
          </w:p>
        </w:tc>
        <w:tc>
          <w:tcPr>
            <w:tcW w:w="916"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31" w:type="dxa"/>
            <w:tcBorders>
              <w:top w:val="nil"/>
              <w:left w:val="nil"/>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0.099</w:t>
            </w:r>
          </w:p>
        </w:tc>
      </w:tr>
      <w:tr w:rsidR="002D1458" w:rsidTr="001E7F73">
        <w:tc>
          <w:tcPr>
            <w:tcW w:w="495" w:type="dxa"/>
            <w:tcBorders>
              <w:top w:val="nil"/>
              <w:left w:val="nil"/>
              <w:bottom w:val="single" w:sz="18" w:space="0" w:color="7F7F7F" w:themeColor="text1" w:themeTint="80"/>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5</w:t>
            </w:r>
          </w:p>
        </w:tc>
        <w:tc>
          <w:tcPr>
            <w:tcW w:w="3150" w:type="dxa"/>
            <w:tcBorders>
              <w:top w:val="nil"/>
              <w:left w:val="nil"/>
              <w:bottom w:val="single" w:sz="18" w:space="0" w:color="7F7F7F" w:themeColor="text1" w:themeTint="80"/>
              <w:right w:val="single" w:sz="4" w:space="0" w:color="000000" w:themeColor="text1"/>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000000" w:themeColor="text1"/>
              <w:bottom w:val="single" w:sz="18" w:space="0" w:color="7F7F7F" w:themeColor="text1" w:themeTint="80"/>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10" w:type="dxa"/>
            <w:tcBorders>
              <w:top w:val="nil"/>
              <w:left w:val="nil"/>
              <w:bottom w:val="single" w:sz="18" w:space="0" w:color="7F7F7F" w:themeColor="text1" w:themeTint="80"/>
              <w:right w:val="single" w:sz="4" w:space="0" w:color="000000" w:themeColor="text1"/>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-0.006</w:t>
            </w:r>
          </w:p>
        </w:tc>
        <w:tc>
          <w:tcPr>
            <w:tcW w:w="821" w:type="dxa"/>
            <w:tcBorders>
              <w:top w:val="nil"/>
              <w:left w:val="single" w:sz="4" w:space="0" w:color="000000" w:themeColor="text1"/>
              <w:bottom w:val="single" w:sz="18" w:space="0" w:color="7F7F7F" w:themeColor="text1" w:themeTint="80"/>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00" w:type="dxa"/>
            <w:tcBorders>
              <w:top w:val="nil"/>
              <w:left w:val="nil"/>
              <w:bottom w:val="single" w:sz="18" w:space="0" w:color="7F7F7F" w:themeColor="text1" w:themeTint="80"/>
              <w:right w:val="single" w:sz="4" w:space="0" w:color="000000" w:themeColor="text1"/>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-0.001</w:t>
            </w:r>
          </w:p>
        </w:tc>
        <w:tc>
          <w:tcPr>
            <w:tcW w:w="822" w:type="dxa"/>
            <w:tcBorders>
              <w:top w:val="nil"/>
              <w:left w:val="single" w:sz="4" w:space="0" w:color="000000" w:themeColor="text1"/>
              <w:bottom w:val="single" w:sz="18" w:space="0" w:color="7F7F7F" w:themeColor="text1" w:themeTint="80"/>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00" w:type="dxa"/>
            <w:tcBorders>
              <w:top w:val="nil"/>
              <w:left w:val="nil"/>
              <w:bottom w:val="single" w:sz="18" w:space="0" w:color="7F7F7F" w:themeColor="text1" w:themeTint="80"/>
              <w:right w:val="single" w:sz="4" w:space="0" w:color="000000" w:themeColor="text1"/>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-0.007</w:t>
            </w:r>
          </w:p>
        </w:tc>
        <w:tc>
          <w:tcPr>
            <w:tcW w:w="831" w:type="dxa"/>
            <w:tcBorders>
              <w:top w:val="nil"/>
              <w:left w:val="single" w:sz="4" w:space="0" w:color="000000" w:themeColor="text1"/>
              <w:bottom w:val="single" w:sz="18" w:space="0" w:color="7F7F7F" w:themeColor="text1" w:themeTint="80"/>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04" w:type="dxa"/>
            <w:tcBorders>
              <w:top w:val="nil"/>
              <w:left w:val="nil"/>
              <w:bottom w:val="single" w:sz="18" w:space="0" w:color="7F7F7F" w:themeColor="text1" w:themeTint="80"/>
              <w:right w:val="single" w:sz="4" w:space="0" w:color="000000" w:themeColor="text1"/>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0.000</w:t>
            </w:r>
          </w:p>
        </w:tc>
        <w:tc>
          <w:tcPr>
            <w:tcW w:w="916" w:type="dxa"/>
            <w:tcBorders>
              <w:top w:val="nil"/>
              <w:left w:val="single" w:sz="4" w:space="0" w:color="000000" w:themeColor="text1"/>
              <w:bottom w:val="single" w:sz="18" w:space="0" w:color="7F7F7F" w:themeColor="text1" w:themeTint="80"/>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w:t>
            </w:r>
          </w:p>
        </w:tc>
        <w:tc>
          <w:tcPr>
            <w:tcW w:w="931" w:type="dxa"/>
            <w:tcBorders>
              <w:top w:val="nil"/>
              <w:left w:val="nil"/>
              <w:bottom w:val="single" w:sz="18" w:space="0" w:color="7F7F7F" w:themeColor="text1" w:themeTint="80"/>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-0.003</w:t>
            </w:r>
          </w:p>
        </w:tc>
      </w:tr>
    </w:tbl>
    <w:p w:rsidR="002D1458" w:rsidRPr="0021748C" w:rsidRDefault="002D1458" w:rsidP="002D1458">
      <w:pPr>
        <w:pStyle w:val="ListParagraph"/>
        <w:ind w:left="1260" w:hanging="540"/>
        <w:contextualSpacing w:val="0"/>
        <w:rPr>
          <w:rFonts w:ascii="Times New Roman" w:hAnsi="Times New Roman" w:cs="Times New Roman"/>
          <w:sz w:val="24"/>
          <w:szCs w:val="24"/>
        </w:rPr>
      </w:pPr>
      <w:r w:rsidRPr="0021748C">
        <w:rPr>
          <w:rFonts w:ascii="Times New Roman" w:hAnsi="Times New Roman" w:cs="Times New Roman"/>
          <w:b/>
          <w:sz w:val="24"/>
          <w:szCs w:val="24"/>
        </w:rPr>
        <w:t xml:space="preserve">Note:  </w:t>
      </w:r>
      <w:r w:rsidRPr="0021748C">
        <w:rPr>
          <w:rFonts w:ascii="Times New Roman" w:hAnsi="Times New Roman" w:cs="Times New Roman"/>
          <w:sz w:val="24"/>
          <w:szCs w:val="24"/>
        </w:rPr>
        <w:t xml:space="preserve">The coefficients in this table are derived from simulations of the effects of bringing capital back on line at the beginning of 2016 (year 2).  Consequently, the 2015 columns in this table contain only zeros: there are no effects in 2015 (year 1).  As in Table 1, the upper and lower sections of this table are identical.  We assume that bringing capital back on line has the same effects under Keynesian and Neoclassical assumptions.   </w:t>
      </w:r>
    </w:p>
    <w:p w:rsidR="002D1458" w:rsidRPr="0021748C" w:rsidRDefault="002D1458" w:rsidP="002D1458">
      <w:pPr>
        <w:pStyle w:val="ListParagraph"/>
        <w:ind w:left="900" w:hanging="180"/>
        <w:contextualSpacing w:val="0"/>
        <w:rPr>
          <w:rFonts w:ascii="Times New Roman" w:hAnsi="Times New Roman" w:cs="Times New Roman"/>
          <w:b/>
          <w:sz w:val="24"/>
          <w:szCs w:val="24"/>
        </w:rPr>
      </w:pPr>
      <w:r w:rsidRPr="0021748C">
        <w:rPr>
          <w:rFonts w:ascii="Times New Roman" w:hAnsi="Times New Roman" w:cs="Times New Roman"/>
          <w:b/>
          <w:sz w:val="24"/>
          <w:szCs w:val="24"/>
        </w:rPr>
        <w:t xml:space="preserve">Relevant variables.  </w:t>
      </w:r>
    </w:p>
    <w:p w:rsidR="002D1458" w:rsidRPr="0021748C" w:rsidRDefault="002D1458" w:rsidP="002D1458">
      <w:pPr>
        <w:pStyle w:val="ListParagraph"/>
        <w:ind w:left="1080"/>
        <w:contextualSpacing w:val="0"/>
        <w:rPr>
          <w:rFonts w:ascii="Times New Roman" w:hAnsi="Times New Roman" w:cs="Times New Roman"/>
          <w:sz w:val="24"/>
          <w:szCs w:val="24"/>
        </w:rPr>
      </w:pPr>
      <w:r w:rsidRPr="0021748C">
        <w:rPr>
          <w:rFonts w:ascii="Times New Roman" w:hAnsi="Times New Roman" w:cs="Times New Roman"/>
          <w:b/>
          <w:i/>
          <w:sz w:val="24"/>
          <w:szCs w:val="24"/>
        </w:rPr>
        <w:t xml:space="preserve">National:  </w:t>
      </w:r>
      <w:r w:rsidRPr="0021748C">
        <w:rPr>
          <w:rFonts w:ascii="Times New Roman" w:hAnsi="Times New Roman" w:cs="Times New Roman"/>
          <w:sz w:val="24"/>
          <w:szCs w:val="24"/>
        </w:rPr>
        <w:t>Target region’s capital as share of national capital</w:t>
      </w:r>
    </w:p>
    <w:p w:rsidR="002D1458" w:rsidRDefault="002D1458" w:rsidP="002D1458">
      <w:pPr>
        <w:pStyle w:val="ListParagraph"/>
        <w:ind w:left="1080"/>
        <w:contextualSpacing w:val="0"/>
        <w:rPr>
          <w:rFonts w:ascii="Times New Roman" w:hAnsi="Times New Roman" w:cs="Times New Roman"/>
          <w:b/>
          <w:sz w:val="24"/>
          <w:szCs w:val="24"/>
        </w:rPr>
      </w:pPr>
      <w:r w:rsidRPr="0021748C">
        <w:rPr>
          <w:rFonts w:ascii="Times New Roman" w:hAnsi="Times New Roman" w:cs="Times New Roman"/>
          <w:b/>
          <w:i/>
          <w:sz w:val="24"/>
          <w:szCs w:val="24"/>
        </w:rPr>
        <w:t>Regional:</w:t>
      </w:r>
      <w:r w:rsidRPr="0021748C">
        <w:rPr>
          <w:rFonts w:ascii="Times New Roman" w:hAnsi="Times New Roman" w:cs="Times New Roman"/>
          <w:sz w:val="24"/>
          <w:szCs w:val="24"/>
        </w:rPr>
        <w:t xml:space="preserve">  Capital income as share of target region’s GRP</w:t>
      </w:r>
      <w:r>
        <w:rPr>
          <w:rFonts w:ascii="Times New Roman" w:hAnsi="Times New Roman" w:cs="Times New Roman"/>
          <w:b/>
          <w:sz w:val="24"/>
          <w:szCs w:val="24"/>
        </w:rPr>
        <w:br w:type="page"/>
      </w:r>
    </w:p>
    <w:p w:rsidR="002D1458" w:rsidRPr="00BC333D" w:rsidRDefault="002D1458" w:rsidP="002D1458">
      <w:pPr>
        <w:pStyle w:val="ListParagraph"/>
        <w:ind w:left="900" w:hanging="900"/>
        <w:contextualSpacing w:val="0"/>
        <w:jc w:val="center"/>
        <w:rPr>
          <w:rFonts w:ascii="Times New Roman" w:hAnsi="Times New Roman" w:cs="Times New Roman"/>
          <w:b/>
          <w:i/>
          <w:sz w:val="24"/>
          <w:szCs w:val="24"/>
        </w:rPr>
      </w:pPr>
      <w:r w:rsidRPr="00BC333D">
        <w:rPr>
          <w:rFonts w:ascii="Times New Roman" w:hAnsi="Times New Roman" w:cs="Times New Roman"/>
          <w:b/>
          <w:i/>
          <w:sz w:val="24"/>
          <w:szCs w:val="24"/>
        </w:rPr>
        <w:lastRenderedPageBreak/>
        <w:t xml:space="preserve">Table A3.  Coefficients, C(s,v), for </w:t>
      </w:r>
      <w:r w:rsidR="00B6529C" w:rsidRPr="00BC333D">
        <w:rPr>
          <w:rFonts w:ascii="Times New Roman" w:hAnsi="Times New Roman" w:cs="Times New Roman"/>
          <w:b/>
          <w:i/>
          <w:sz w:val="24"/>
          <w:szCs w:val="24"/>
        </w:rPr>
        <w:t>clean-up</w:t>
      </w:r>
      <w:r w:rsidRPr="00BC333D">
        <w:rPr>
          <w:rFonts w:ascii="Times New Roman" w:hAnsi="Times New Roman" w:cs="Times New Roman"/>
          <w:b/>
          <w:i/>
          <w:sz w:val="24"/>
          <w:szCs w:val="24"/>
        </w:rPr>
        <w:t xml:space="preserve"> expenditures (s=3) </w:t>
      </w:r>
    </w:p>
    <w:tbl>
      <w:tblPr>
        <w:tblStyle w:val="TableGrid"/>
        <w:tblW w:w="12422" w:type="dxa"/>
        <w:tblInd w:w="900" w:type="dxa"/>
        <w:tblLook w:val="04A0" w:firstRow="1" w:lastRow="0" w:firstColumn="1" w:lastColumn="0" w:noHBand="0" w:noVBand="1"/>
      </w:tblPr>
      <w:tblGrid>
        <w:gridCol w:w="495"/>
        <w:gridCol w:w="3150"/>
        <w:gridCol w:w="842"/>
        <w:gridCol w:w="910"/>
        <w:gridCol w:w="821"/>
        <w:gridCol w:w="900"/>
        <w:gridCol w:w="822"/>
        <w:gridCol w:w="900"/>
        <w:gridCol w:w="831"/>
        <w:gridCol w:w="904"/>
        <w:gridCol w:w="916"/>
        <w:gridCol w:w="931"/>
      </w:tblGrid>
      <w:tr w:rsidR="002D1458" w:rsidRPr="00E27213" w:rsidTr="001E7F73">
        <w:tc>
          <w:tcPr>
            <w:tcW w:w="495" w:type="dxa"/>
            <w:tcBorders>
              <w:top w:val="single" w:sz="18" w:space="0" w:color="7F7F7F" w:themeColor="text1" w:themeTint="80"/>
              <w:left w:val="nil"/>
              <w:bottom w:val="nil"/>
              <w:right w:val="nil"/>
            </w:tcBorders>
            <w:vAlign w:val="bottom"/>
          </w:tcPr>
          <w:p w:rsidR="002D1458" w:rsidRPr="00E27213" w:rsidRDefault="002D1458" w:rsidP="001E7F73">
            <w:pPr>
              <w:spacing w:before="0"/>
              <w:rPr>
                <w:rFonts w:ascii="Times New Roman" w:hAnsi="Times New Roman" w:cs="Times New Roman"/>
                <w:color w:val="000000"/>
                <w:sz w:val="20"/>
                <w:szCs w:val="20"/>
              </w:rPr>
            </w:pPr>
          </w:p>
        </w:tc>
        <w:tc>
          <w:tcPr>
            <w:tcW w:w="3150" w:type="dxa"/>
            <w:tcBorders>
              <w:top w:val="single" w:sz="18" w:space="0" w:color="7F7F7F" w:themeColor="text1" w:themeTint="80"/>
              <w:left w:val="nil"/>
              <w:bottom w:val="nil"/>
            </w:tcBorders>
            <w:vAlign w:val="center"/>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Target region (d)</w:t>
            </w:r>
          </w:p>
        </w:tc>
        <w:tc>
          <w:tcPr>
            <w:tcW w:w="1752"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FL24</w:t>
            </w:r>
          </w:p>
        </w:tc>
        <w:tc>
          <w:tcPr>
            <w:tcW w:w="1721"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AZ07</w:t>
            </w:r>
          </w:p>
        </w:tc>
        <w:tc>
          <w:tcPr>
            <w:tcW w:w="1722"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NY14</w:t>
            </w:r>
          </w:p>
        </w:tc>
        <w:tc>
          <w:tcPr>
            <w:tcW w:w="1735"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WA09</w:t>
            </w:r>
          </w:p>
        </w:tc>
        <w:tc>
          <w:tcPr>
            <w:tcW w:w="1847" w:type="dxa"/>
            <w:gridSpan w:val="2"/>
            <w:tcBorders>
              <w:top w:val="single" w:sz="18" w:space="0" w:color="7F7F7F" w:themeColor="text1" w:themeTint="80"/>
              <w:right w:val="nil"/>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Average</w:t>
            </w:r>
          </w:p>
        </w:tc>
      </w:tr>
      <w:tr w:rsidR="002D1458" w:rsidRPr="00E27213" w:rsidTr="001E7F73">
        <w:tc>
          <w:tcPr>
            <w:tcW w:w="495" w:type="dxa"/>
            <w:tcBorders>
              <w:top w:val="nil"/>
              <w:left w:val="nil"/>
              <w:bottom w:val="single" w:sz="18" w:space="0" w:color="7F7F7F" w:themeColor="text1" w:themeTint="80"/>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single" w:sz="18" w:space="0" w:color="7F7F7F" w:themeColor="text1" w:themeTint="80"/>
            </w:tcBorders>
            <w:vAlign w:val="bottom"/>
          </w:tcPr>
          <w:p w:rsidR="002D1458" w:rsidRPr="00E27213" w:rsidRDefault="002D1458" w:rsidP="001E7F73">
            <w:pPr>
              <w:spacing w:before="0"/>
              <w:rPr>
                <w:rFonts w:ascii="Times New Roman" w:hAnsi="Times New Roman" w:cs="Times New Roman"/>
                <w:color w:val="000000"/>
                <w:sz w:val="20"/>
                <w:szCs w:val="20"/>
              </w:rPr>
            </w:pPr>
            <w:r w:rsidRPr="00E27213">
              <w:rPr>
                <w:rFonts w:ascii="Times New Roman" w:hAnsi="Times New Roman" w:cs="Times New Roman"/>
                <w:color w:val="000000"/>
                <w:sz w:val="20"/>
                <w:szCs w:val="20"/>
              </w:rPr>
              <w:t>Implication variables (s)</w:t>
            </w:r>
          </w:p>
        </w:tc>
        <w:tc>
          <w:tcPr>
            <w:tcW w:w="842"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1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21"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22"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31"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4"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916"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31" w:type="dxa"/>
            <w:tcBorders>
              <w:bottom w:val="single" w:sz="18" w:space="0" w:color="7F7F7F" w:themeColor="text1" w:themeTint="80"/>
              <w:right w:val="nil"/>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r>
      <w:tr w:rsidR="002D1458" w:rsidRPr="00F901FE" w:rsidTr="001E7F73">
        <w:tc>
          <w:tcPr>
            <w:tcW w:w="3645" w:type="dxa"/>
            <w:gridSpan w:val="2"/>
            <w:tcBorders>
              <w:top w:val="single" w:sz="18" w:space="0" w:color="7F7F7F" w:themeColor="text1" w:themeTint="80"/>
              <w:left w:val="nil"/>
              <w:bottom w:val="nil"/>
              <w:right w:val="single" w:sz="4" w:space="0" w:color="auto"/>
            </w:tcBorders>
          </w:tcPr>
          <w:p w:rsidR="002D1458" w:rsidRPr="00F901FE" w:rsidRDefault="002D1458" w:rsidP="001E7F73">
            <w:pPr>
              <w:spacing w:before="0"/>
              <w:rPr>
                <w:rFonts w:ascii="Times New Roman" w:hAnsi="Times New Roman" w:cs="Times New Roman"/>
                <w:b/>
                <w:color w:val="000000"/>
                <w:sz w:val="20"/>
                <w:szCs w:val="20"/>
              </w:rPr>
            </w:pPr>
            <w:r w:rsidRPr="00F901FE">
              <w:rPr>
                <w:rFonts w:ascii="Times New Roman" w:hAnsi="Times New Roman" w:cs="Times New Roman"/>
                <w:b/>
                <w:color w:val="000000"/>
                <w:sz w:val="20"/>
                <w:szCs w:val="20"/>
              </w:rPr>
              <w:t>Keynesian</w:t>
            </w:r>
          </w:p>
        </w:tc>
        <w:tc>
          <w:tcPr>
            <w:tcW w:w="842"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39"/>
              </w:tabs>
              <w:spacing w:before="0"/>
              <w:ind w:left="0"/>
              <w:contextualSpacing w:val="0"/>
              <w:rPr>
                <w:rFonts w:ascii="Times New Roman" w:hAnsi="Times New Roman" w:cs="Times New Roman"/>
                <w:sz w:val="20"/>
                <w:szCs w:val="20"/>
              </w:rPr>
            </w:pPr>
          </w:p>
        </w:tc>
        <w:tc>
          <w:tcPr>
            <w:tcW w:w="931" w:type="dxa"/>
            <w:tcBorders>
              <w:top w:val="single" w:sz="18" w:space="0" w:color="7F7F7F" w:themeColor="text1" w:themeTint="80"/>
              <w:left w:val="nil"/>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r>
      <w:tr w:rsidR="002D1458" w:rsidRPr="00F901FE"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National </w:t>
            </w:r>
          </w:p>
        </w:tc>
        <w:tc>
          <w:tcPr>
            <w:tcW w:w="842"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nil"/>
              <w:left w:val="single" w:sz="4" w:space="0" w:color="auto"/>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r>
      <w:tr w:rsidR="002D1458" w:rsidTr="001E7F73">
        <w:trPr>
          <w:trHeight w:val="305"/>
        </w:trPr>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1</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GDP</w:t>
            </w:r>
          </w:p>
        </w:tc>
        <w:tc>
          <w:tcPr>
            <w:tcW w:w="842"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1.81</w:t>
            </w:r>
          </w:p>
        </w:tc>
        <w:tc>
          <w:tcPr>
            <w:tcW w:w="910"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0.000</w:t>
            </w:r>
          </w:p>
        </w:tc>
        <w:tc>
          <w:tcPr>
            <w:tcW w:w="821"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1.84</w:t>
            </w:r>
          </w:p>
        </w:tc>
        <w:tc>
          <w:tcPr>
            <w:tcW w:w="900"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-0.009</w:t>
            </w:r>
          </w:p>
        </w:tc>
        <w:tc>
          <w:tcPr>
            <w:tcW w:w="822"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1.87</w:t>
            </w:r>
          </w:p>
        </w:tc>
        <w:tc>
          <w:tcPr>
            <w:tcW w:w="900"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-0.008</w:t>
            </w:r>
          </w:p>
        </w:tc>
        <w:tc>
          <w:tcPr>
            <w:tcW w:w="831"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1.84</w:t>
            </w:r>
          </w:p>
        </w:tc>
        <w:tc>
          <w:tcPr>
            <w:tcW w:w="904"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-0.014</w:t>
            </w:r>
          </w:p>
        </w:tc>
        <w:tc>
          <w:tcPr>
            <w:tcW w:w="916"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1.84</w:t>
            </w:r>
          </w:p>
        </w:tc>
        <w:tc>
          <w:tcPr>
            <w:tcW w:w="931" w:type="dxa"/>
            <w:tcBorders>
              <w:top w:val="nil"/>
              <w:left w:val="nil"/>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-0.007</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1.65</w:t>
            </w:r>
          </w:p>
        </w:tc>
        <w:tc>
          <w:tcPr>
            <w:tcW w:w="910"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0.013</w:t>
            </w:r>
          </w:p>
        </w:tc>
        <w:tc>
          <w:tcPr>
            <w:tcW w:w="821"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1.68</w:t>
            </w:r>
          </w:p>
        </w:tc>
        <w:tc>
          <w:tcPr>
            <w:tcW w:w="900"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0.006</w:t>
            </w:r>
          </w:p>
        </w:tc>
        <w:tc>
          <w:tcPr>
            <w:tcW w:w="822"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1.71</w:t>
            </w:r>
          </w:p>
        </w:tc>
        <w:tc>
          <w:tcPr>
            <w:tcW w:w="900"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0.006</w:t>
            </w:r>
          </w:p>
        </w:tc>
        <w:tc>
          <w:tcPr>
            <w:tcW w:w="831"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1.69</w:t>
            </w:r>
          </w:p>
        </w:tc>
        <w:tc>
          <w:tcPr>
            <w:tcW w:w="904"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-0.001</w:t>
            </w:r>
          </w:p>
        </w:tc>
        <w:tc>
          <w:tcPr>
            <w:tcW w:w="916"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1.68</w:t>
            </w:r>
          </w:p>
        </w:tc>
        <w:tc>
          <w:tcPr>
            <w:tcW w:w="931" w:type="dxa"/>
            <w:tcBorders>
              <w:top w:val="nil"/>
              <w:left w:val="nil"/>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0.006</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3a</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0.05 discount rate</w:t>
            </w:r>
          </w:p>
        </w:tc>
        <w:tc>
          <w:tcPr>
            <w:tcW w:w="842" w:type="dxa"/>
            <w:tcBorders>
              <w:top w:val="nil"/>
              <w:left w:val="single" w:sz="4" w:space="0" w:color="auto"/>
              <w:bottom w:val="nil"/>
              <w:right w:val="nil"/>
            </w:tcBorders>
            <w:vAlign w:val="center"/>
          </w:tcPr>
          <w:p w:rsidR="002D1458" w:rsidRPr="00DD5C80" w:rsidRDefault="002D1458" w:rsidP="001E7F73">
            <w:pPr>
              <w:spacing w:before="0"/>
              <w:rPr>
                <w:rFonts w:ascii="Times New Roman" w:hAnsi="Times New Roman" w:cs="Times New Roman"/>
                <w:color w:val="000000"/>
                <w:sz w:val="20"/>
                <w:szCs w:val="20"/>
              </w:rPr>
            </w:pPr>
            <w:r w:rsidRPr="00DD5C80">
              <w:rPr>
                <w:rFonts w:ascii="Times New Roman" w:hAnsi="Times New Roman" w:cs="Times New Roman"/>
                <w:color w:val="000000"/>
                <w:sz w:val="20"/>
                <w:szCs w:val="20"/>
              </w:rPr>
              <w:t> </w:t>
            </w:r>
          </w:p>
        </w:tc>
        <w:tc>
          <w:tcPr>
            <w:tcW w:w="910"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-0.001</w:t>
            </w:r>
          </w:p>
        </w:tc>
        <w:tc>
          <w:tcPr>
            <w:tcW w:w="821" w:type="dxa"/>
            <w:tcBorders>
              <w:top w:val="nil"/>
              <w:left w:val="single" w:sz="4" w:space="0" w:color="auto"/>
              <w:bottom w:val="nil"/>
              <w:right w:val="nil"/>
            </w:tcBorders>
            <w:vAlign w:val="center"/>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-0.001</w:t>
            </w:r>
          </w:p>
        </w:tc>
        <w:tc>
          <w:tcPr>
            <w:tcW w:w="822" w:type="dxa"/>
            <w:tcBorders>
              <w:top w:val="nil"/>
              <w:left w:val="single" w:sz="4" w:space="0" w:color="auto"/>
              <w:bottom w:val="nil"/>
              <w:right w:val="nil"/>
            </w:tcBorders>
            <w:vAlign w:val="center"/>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0.000</w:t>
            </w:r>
          </w:p>
        </w:tc>
        <w:tc>
          <w:tcPr>
            <w:tcW w:w="831" w:type="dxa"/>
            <w:tcBorders>
              <w:top w:val="nil"/>
              <w:left w:val="single" w:sz="4" w:space="0" w:color="auto"/>
              <w:bottom w:val="nil"/>
              <w:right w:val="nil"/>
            </w:tcBorders>
            <w:vAlign w:val="center"/>
          </w:tcPr>
          <w:p w:rsidR="002D1458" w:rsidRPr="00DD5C80"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-0.001</w:t>
            </w:r>
          </w:p>
        </w:tc>
        <w:tc>
          <w:tcPr>
            <w:tcW w:w="916" w:type="dxa"/>
            <w:tcBorders>
              <w:top w:val="nil"/>
              <w:left w:val="single" w:sz="4" w:space="0" w:color="auto"/>
              <w:bottom w:val="nil"/>
              <w:right w:val="nil"/>
            </w:tcBorders>
            <w:vAlign w:val="center"/>
          </w:tcPr>
          <w:p w:rsidR="002D1458" w:rsidRPr="00DD5C80"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-0.001</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3b</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0.02 discount rate</w:t>
            </w:r>
          </w:p>
        </w:tc>
        <w:tc>
          <w:tcPr>
            <w:tcW w:w="842" w:type="dxa"/>
            <w:tcBorders>
              <w:top w:val="nil"/>
              <w:left w:val="single" w:sz="4" w:space="0" w:color="auto"/>
              <w:bottom w:val="nil"/>
              <w:right w:val="nil"/>
            </w:tcBorders>
            <w:vAlign w:val="center"/>
          </w:tcPr>
          <w:p w:rsidR="002D1458" w:rsidRPr="00DD5C80" w:rsidRDefault="002D1458" w:rsidP="001E7F73">
            <w:pPr>
              <w:spacing w:before="0"/>
              <w:rPr>
                <w:rFonts w:ascii="Times New Roman" w:hAnsi="Times New Roman" w:cs="Times New Roman"/>
                <w:color w:val="000000"/>
                <w:sz w:val="20"/>
                <w:szCs w:val="20"/>
              </w:rPr>
            </w:pPr>
            <w:r w:rsidRPr="00DD5C80">
              <w:rPr>
                <w:rFonts w:ascii="Times New Roman" w:hAnsi="Times New Roman" w:cs="Times New Roman"/>
                <w:color w:val="000000"/>
                <w:sz w:val="20"/>
                <w:szCs w:val="20"/>
              </w:rPr>
              <w:t> </w:t>
            </w:r>
          </w:p>
        </w:tc>
        <w:tc>
          <w:tcPr>
            <w:tcW w:w="910"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-0.006</w:t>
            </w:r>
          </w:p>
        </w:tc>
        <w:tc>
          <w:tcPr>
            <w:tcW w:w="821" w:type="dxa"/>
            <w:tcBorders>
              <w:top w:val="nil"/>
              <w:left w:val="single" w:sz="4" w:space="0" w:color="auto"/>
              <w:bottom w:val="nil"/>
              <w:right w:val="nil"/>
            </w:tcBorders>
            <w:vAlign w:val="center"/>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-0.006</w:t>
            </w:r>
          </w:p>
        </w:tc>
        <w:tc>
          <w:tcPr>
            <w:tcW w:w="822" w:type="dxa"/>
            <w:tcBorders>
              <w:top w:val="nil"/>
              <w:left w:val="single" w:sz="4" w:space="0" w:color="auto"/>
              <w:bottom w:val="nil"/>
              <w:right w:val="nil"/>
            </w:tcBorders>
            <w:vAlign w:val="center"/>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-0.005</w:t>
            </w:r>
          </w:p>
        </w:tc>
        <w:tc>
          <w:tcPr>
            <w:tcW w:w="831" w:type="dxa"/>
            <w:tcBorders>
              <w:top w:val="nil"/>
              <w:left w:val="single" w:sz="4" w:space="0" w:color="auto"/>
              <w:bottom w:val="nil"/>
              <w:right w:val="nil"/>
            </w:tcBorders>
            <w:vAlign w:val="center"/>
          </w:tcPr>
          <w:p w:rsidR="002D1458" w:rsidRPr="00DD5C80"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-0.006</w:t>
            </w:r>
          </w:p>
        </w:tc>
        <w:tc>
          <w:tcPr>
            <w:tcW w:w="916" w:type="dxa"/>
            <w:tcBorders>
              <w:top w:val="nil"/>
              <w:left w:val="single" w:sz="4" w:space="0" w:color="auto"/>
              <w:bottom w:val="nil"/>
              <w:right w:val="nil"/>
            </w:tcBorders>
            <w:vAlign w:val="center"/>
          </w:tcPr>
          <w:p w:rsidR="002D1458" w:rsidRPr="00DD5C80"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-0.005</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Target region </w:t>
            </w:r>
          </w:p>
        </w:tc>
        <w:tc>
          <w:tcPr>
            <w:tcW w:w="842" w:type="dxa"/>
            <w:tcBorders>
              <w:top w:val="nil"/>
              <w:left w:val="single" w:sz="4" w:space="0" w:color="auto"/>
              <w:bottom w:val="nil"/>
              <w:right w:val="nil"/>
            </w:tcBorders>
            <w:vAlign w:val="center"/>
          </w:tcPr>
          <w:p w:rsidR="002D1458" w:rsidRPr="00DD5C80" w:rsidRDefault="002D1458" w:rsidP="001E7F73">
            <w:pPr>
              <w:spacing w:before="0"/>
              <w:rPr>
                <w:rFonts w:ascii="Times New Roman" w:hAnsi="Times New Roman" w:cs="Times New Roman"/>
                <w:color w:val="000000"/>
                <w:sz w:val="20"/>
                <w:szCs w:val="20"/>
              </w:rPr>
            </w:pPr>
            <w:r w:rsidRPr="00DD5C80">
              <w:rPr>
                <w:rFonts w:ascii="Times New Roman" w:hAnsi="Times New Roman" w:cs="Times New Roman"/>
                <w:color w:val="000000"/>
                <w:sz w:val="20"/>
                <w:szCs w:val="20"/>
              </w:rPr>
              <w:t> </w:t>
            </w:r>
          </w:p>
        </w:tc>
        <w:tc>
          <w:tcPr>
            <w:tcW w:w="910" w:type="dxa"/>
            <w:tcBorders>
              <w:top w:val="nil"/>
              <w:left w:val="nil"/>
              <w:bottom w:val="nil"/>
              <w:right w:val="single" w:sz="4" w:space="0" w:color="auto"/>
            </w:tcBorders>
            <w:vAlign w:val="center"/>
          </w:tcPr>
          <w:p w:rsidR="002D1458" w:rsidRPr="00DD5C80" w:rsidRDefault="002D1458" w:rsidP="001E7F73">
            <w:pPr>
              <w:spacing w:before="0"/>
              <w:rPr>
                <w:rFonts w:ascii="Times New Roman" w:hAnsi="Times New Roman" w:cs="Times New Roman"/>
                <w:color w:val="000000"/>
                <w:sz w:val="20"/>
                <w:szCs w:val="20"/>
              </w:rPr>
            </w:pPr>
            <w:r w:rsidRPr="00DD5C80">
              <w:rPr>
                <w:rFonts w:ascii="Times New Roman" w:hAnsi="Times New Roman" w:cs="Times New Roman"/>
                <w:color w:val="000000"/>
                <w:sz w:val="20"/>
                <w:szCs w:val="20"/>
              </w:rPr>
              <w:t> </w:t>
            </w:r>
          </w:p>
        </w:tc>
        <w:tc>
          <w:tcPr>
            <w:tcW w:w="821" w:type="dxa"/>
            <w:tcBorders>
              <w:top w:val="nil"/>
              <w:left w:val="single" w:sz="4" w:space="0" w:color="auto"/>
              <w:bottom w:val="nil"/>
              <w:right w:val="nil"/>
            </w:tcBorders>
            <w:vAlign w:val="center"/>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center"/>
          </w:tcPr>
          <w:p w:rsidR="002D1458" w:rsidRPr="00DD5C80" w:rsidRDefault="002D1458" w:rsidP="001E7F73">
            <w:pPr>
              <w:spacing w:before="0"/>
              <w:rPr>
                <w:rFonts w:ascii="Times New Roman" w:hAnsi="Times New Roman" w:cs="Times New Roman"/>
                <w:color w:val="000000"/>
                <w:sz w:val="20"/>
                <w:szCs w:val="20"/>
              </w:rPr>
            </w:pPr>
            <w:r w:rsidRPr="00DD5C80">
              <w:rPr>
                <w:rFonts w:ascii="Times New Roman" w:hAnsi="Times New Roman" w:cs="Times New Roman"/>
                <w:color w:val="000000"/>
                <w:sz w:val="20"/>
                <w:szCs w:val="20"/>
              </w:rPr>
              <w:t> </w:t>
            </w:r>
          </w:p>
        </w:tc>
        <w:tc>
          <w:tcPr>
            <w:tcW w:w="822" w:type="dxa"/>
            <w:tcBorders>
              <w:top w:val="nil"/>
              <w:left w:val="single" w:sz="4" w:space="0" w:color="auto"/>
              <w:bottom w:val="nil"/>
              <w:right w:val="nil"/>
            </w:tcBorders>
            <w:vAlign w:val="center"/>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center"/>
          </w:tcPr>
          <w:p w:rsidR="002D1458" w:rsidRPr="00DD5C80" w:rsidRDefault="002D1458" w:rsidP="001E7F73">
            <w:pPr>
              <w:spacing w:before="0"/>
              <w:rPr>
                <w:rFonts w:ascii="Times New Roman" w:hAnsi="Times New Roman" w:cs="Times New Roman"/>
                <w:color w:val="000000"/>
                <w:sz w:val="20"/>
                <w:szCs w:val="20"/>
              </w:rPr>
            </w:pPr>
            <w:r w:rsidRPr="00DD5C80">
              <w:rPr>
                <w:rFonts w:ascii="Times New Roman" w:hAnsi="Times New Roman" w:cs="Times New Roman"/>
                <w:color w:val="000000"/>
                <w:sz w:val="20"/>
                <w:szCs w:val="20"/>
              </w:rPr>
              <w:t> </w:t>
            </w:r>
          </w:p>
        </w:tc>
        <w:tc>
          <w:tcPr>
            <w:tcW w:w="831" w:type="dxa"/>
            <w:tcBorders>
              <w:top w:val="nil"/>
              <w:left w:val="single" w:sz="4" w:space="0" w:color="auto"/>
              <w:bottom w:val="nil"/>
              <w:right w:val="nil"/>
            </w:tcBorders>
            <w:vAlign w:val="center"/>
          </w:tcPr>
          <w:p w:rsidR="002D1458" w:rsidRPr="00DD5C80"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center"/>
          </w:tcPr>
          <w:p w:rsidR="002D1458" w:rsidRPr="00DD5C80" w:rsidRDefault="002D1458" w:rsidP="001E7F73">
            <w:pPr>
              <w:spacing w:before="0"/>
              <w:rPr>
                <w:rFonts w:ascii="Times New Roman" w:hAnsi="Times New Roman" w:cs="Times New Roman"/>
                <w:color w:val="000000"/>
                <w:sz w:val="20"/>
                <w:szCs w:val="20"/>
              </w:rPr>
            </w:pPr>
            <w:r w:rsidRPr="00DD5C80">
              <w:rPr>
                <w:rFonts w:ascii="Times New Roman" w:hAnsi="Times New Roman" w:cs="Times New Roman"/>
                <w:color w:val="000000"/>
                <w:sz w:val="20"/>
                <w:szCs w:val="20"/>
              </w:rPr>
              <w:t> </w:t>
            </w:r>
          </w:p>
        </w:tc>
        <w:tc>
          <w:tcPr>
            <w:tcW w:w="916" w:type="dxa"/>
            <w:tcBorders>
              <w:top w:val="nil"/>
              <w:left w:val="single" w:sz="4" w:space="0" w:color="auto"/>
              <w:bottom w:val="nil"/>
              <w:right w:val="nil"/>
            </w:tcBorders>
            <w:vAlign w:val="center"/>
          </w:tcPr>
          <w:p w:rsidR="002D1458" w:rsidRPr="00DD5C80"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center"/>
          </w:tcPr>
          <w:p w:rsidR="002D1458" w:rsidRPr="00DD5C80" w:rsidRDefault="002D1458" w:rsidP="001E7F73">
            <w:pPr>
              <w:spacing w:before="0"/>
              <w:rPr>
                <w:rFonts w:ascii="Times New Roman" w:hAnsi="Times New Roman" w:cs="Times New Roman"/>
                <w:color w:val="000000"/>
                <w:sz w:val="20"/>
                <w:szCs w:val="20"/>
              </w:rPr>
            </w:pP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4</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GRP</w:t>
            </w:r>
          </w:p>
        </w:tc>
        <w:tc>
          <w:tcPr>
            <w:tcW w:w="842"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0.64</w:t>
            </w:r>
          </w:p>
        </w:tc>
        <w:tc>
          <w:tcPr>
            <w:tcW w:w="910"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-0.009</w:t>
            </w:r>
          </w:p>
        </w:tc>
        <w:tc>
          <w:tcPr>
            <w:tcW w:w="821"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0.56</w:t>
            </w:r>
          </w:p>
        </w:tc>
        <w:tc>
          <w:tcPr>
            <w:tcW w:w="900"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-0.008</w:t>
            </w:r>
          </w:p>
        </w:tc>
        <w:tc>
          <w:tcPr>
            <w:tcW w:w="822"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0.56</w:t>
            </w:r>
          </w:p>
        </w:tc>
        <w:tc>
          <w:tcPr>
            <w:tcW w:w="900"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-0.007</w:t>
            </w:r>
          </w:p>
        </w:tc>
        <w:tc>
          <w:tcPr>
            <w:tcW w:w="831"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0.50</w:t>
            </w:r>
          </w:p>
        </w:tc>
        <w:tc>
          <w:tcPr>
            <w:tcW w:w="904"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-0.008</w:t>
            </w:r>
          </w:p>
        </w:tc>
        <w:tc>
          <w:tcPr>
            <w:tcW w:w="916"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0.57</w:t>
            </w:r>
          </w:p>
        </w:tc>
        <w:tc>
          <w:tcPr>
            <w:tcW w:w="931" w:type="dxa"/>
            <w:tcBorders>
              <w:top w:val="nil"/>
              <w:left w:val="nil"/>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-0.008</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5</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0.72</w:t>
            </w:r>
          </w:p>
        </w:tc>
        <w:tc>
          <w:tcPr>
            <w:tcW w:w="910"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-0.002</w:t>
            </w:r>
          </w:p>
        </w:tc>
        <w:tc>
          <w:tcPr>
            <w:tcW w:w="821"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0.59</w:t>
            </w:r>
          </w:p>
        </w:tc>
        <w:tc>
          <w:tcPr>
            <w:tcW w:w="900"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-0.001</w:t>
            </w:r>
          </w:p>
        </w:tc>
        <w:tc>
          <w:tcPr>
            <w:tcW w:w="822"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0.56</w:t>
            </w:r>
          </w:p>
        </w:tc>
        <w:tc>
          <w:tcPr>
            <w:tcW w:w="900"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-0.001</w:t>
            </w:r>
          </w:p>
        </w:tc>
        <w:tc>
          <w:tcPr>
            <w:tcW w:w="831"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0.53</w:t>
            </w:r>
          </w:p>
        </w:tc>
        <w:tc>
          <w:tcPr>
            <w:tcW w:w="904"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-0.001</w:t>
            </w:r>
          </w:p>
        </w:tc>
        <w:tc>
          <w:tcPr>
            <w:tcW w:w="916"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0.60</w:t>
            </w:r>
          </w:p>
        </w:tc>
        <w:tc>
          <w:tcPr>
            <w:tcW w:w="931" w:type="dxa"/>
            <w:tcBorders>
              <w:top w:val="nil"/>
              <w:left w:val="nil"/>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-0.001</w:t>
            </w:r>
          </w:p>
        </w:tc>
      </w:tr>
      <w:tr w:rsidR="002D1458" w:rsidRPr="00857A94" w:rsidTr="001E7F73">
        <w:tc>
          <w:tcPr>
            <w:tcW w:w="3645" w:type="dxa"/>
            <w:gridSpan w:val="2"/>
            <w:tcBorders>
              <w:top w:val="single" w:sz="18" w:space="0" w:color="7F7F7F" w:themeColor="text1" w:themeTint="80"/>
              <w:left w:val="nil"/>
              <w:bottom w:val="nil"/>
              <w:right w:val="single" w:sz="4" w:space="0" w:color="auto"/>
            </w:tcBorders>
          </w:tcPr>
          <w:p w:rsidR="002D1458" w:rsidRPr="00F901FE" w:rsidRDefault="002D1458" w:rsidP="001E7F73">
            <w:pPr>
              <w:spacing w:before="0"/>
              <w:rPr>
                <w:rFonts w:ascii="Times New Roman" w:hAnsi="Times New Roman" w:cs="Times New Roman"/>
                <w:b/>
                <w:color w:val="000000"/>
                <w:sz w:val="20"/>
                <w:szCs w:val="20"/>
              </w:rPr>
            </w:pPr>
            <w:r w:rsidRPr="00F901FE">
              <w:rPr>
                <w:rFonts w:ascii="Times New Roman" w:hAnsi="Times New Roman" w:cs="Times New Roman"/>
                <w:b/>
                <w:color w:val="000000"/>
                <w:sz w:val="20"/>
                <w:szCs w:val="20"/>
              </w:rPr>
              <w:t>Neoclassical</w:t>
            </w:r>
          </w:p>
        </w:tc>
        <w:tc>
          <w:tcPr>
            <w:tcW w:w="842" w:type="dxa"/>
            <w:tcBorders>
              <w:top w:val="single" w:sz="18" w:space="0" w:color="7F7F7F" w:themeColor="text1" w:themeTint="80"/>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single" w:sz="18" w:space="0" w:color="7F7F7F" w:themeColor="text1" w:themeTint="80"/>
              <w:left w:val="nil"/>
              <w:bottom w:val="nil"/>
              <w:right w:val="single" w:sz="4" w:space="0" w:color="auto"/>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single" w:sz="18" w:space="0" w:color="7F7F7F" w:themeColor="text1" w:themeTint="80"/>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single" w:sz="18" w:space="0" w:color="7F7F7F" w:themeColor="text1" w:themeTint="80"/>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single" w:sz="18" w:space="0" w:color="7F7F7F" w:themeColor="text1" w:themeTint="80"/>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single" w:sz="18" w:space="0" w:color="7F7F7F" w:themeColor="text1" w:themeTint="80"/>
              <w:left w:val="nil"/>
              <w:bottom w:val="nil"/>
              <w:right w:val="single" w:sz="4" w:space="0" w:color="auto"/>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single" w:sz="18" w:space="0" w:color="7F7F7F" w:themeColor="text1" w:themeTint="80"/>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31" w:type="dxa"/>
            <w:tcBorders>
              <w:top w:val="single" w:sz="18" w:space="0" w:color="7F7F7F" w:themeColor="text1" w:themeTint="80"/>
              <w:left w:val="nil"/>
              <w:bottom w:val="nil"/>
              <w:right w:val="nil"/>
            </w:tcBorders>
          </w:tcPr>
          <w:p w:rsidR="002D1458" w:rsidRPr="00DD5C80" w:rsidRDefault="002D1458" w:rsidP="001E7F73">
            <w:pPr>
              <w:pStyle w:val="ListParagraph"/>
              <w:tabs>
                <w:tab w:val="decimal" w:pos="339"/>
              </w:tabs>
              <w:spacing w:before="0"/>
              <w:ind w:left="0"/>
              <w:contextualSpacing w:val="0"/>
              <w:rPr>
                <w:rFonts w:ascii="Times New Roman" w:hAnsi="Times New Roman" w:cs="Times New Roman"/>
                <w:sz w:val="20"/>
                <w:szCs w:val="20"/>
              </w:rPr>
            </w:pPr>
          </w:p>
        </w:tc>
      </w:tr>
      <w:tr w:rsidR="002D1458" w:rsidRPr="00857A94"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National </w:t>
            </w:r>
          </w:p>
        </w:tc>
        <w:tc>
          <w:tcPr>
            <w:tcW w:w="842" w:type="dxa"/>
            <w:tcBorders>
              <w:top w:val="nil"/>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nil"/>
              <w:left w:val="nil"/>
              <w:bottom w:val="nil"/>
              <w:right w:val="single" w:sz="4" w:space="0" w:color="auto"/>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nil"/>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nil"/>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nil"/>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nil"/>
              <w:left w:val="nil"/>
              <w:bottom w:val="nil"/>
              <w:right w:val="single" w:sz="4" w:space="0" w:color="auto"/>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nil"/>
              <w:left w:val="single" w:sz="4" w:space="0" w:color="auto"/>
              <w:bottom w:val="nil"/>
              <w:right w:val="nil"/>
            </w:tcBorders>
            <w:vAlign w:val="bottom"/>
          </w:tcPr>
          <w:p w:rsidR="002D1458" w:rsidRPr="00DD5C80" w:rsidRDefault="002D1458" w:rsidP="001E7F73">
            <w:pPr>
              <w:tabs>
                <w:tab w:val="decimal" w:pos="339"/>
              </w:tabs>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DD5C80" w:rsidRDefault="002D1458" w:rsidP="001E7F73">
            <w:pPr>
              <w:tabs>
                <w:tab w:val="decimal" w:pos="339"/>
              </w:tabs>
              <w:spacing w:before="0"/>
              <w:rPr>
                <w:rFonts w:ascii="Times New Roman" w:hAnsi="Times New Roman" w:cs="Times New Roman"/>
                <w:color w:val="000000"/>
                <w:sz w:val="20"/>
                <w:szCs w:val="20"/>
              </w:rPr>
            </w:pPr>
          </w:p>
        </w:tc>
      </w:tr>
      <w:tr w:rsidR="002D1458" w:rsidTr="001E7F73">
        <w:trPr>
          <w:trHeight w:val="305"/>
        </w:trPr>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1</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GDP</w:t>
            </w:r>
          </w:p>
        </w:tc>
        <w:tc>
          <w:tcPr>
            <w:tcW w:w="842"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0.71</w:t>
            </w:r>
          </w:p>
        </w:tc>
        <w:tc>
          <w:tcPr>
            <w:tcW w:w="910"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-0.014</w:t>
            </w:r>
          </w:p>
        </w:tc>
        <w:tc>
          <w:tcPr>
            <w:tcW w:w="821"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0.72</w:t>
            </w:r>
          </w:p>
        </w:tc>
        <w:tc>
          <w:tcPr>
            <w:tcW w:w="900"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-0.009</w:t>
            </w:r>
          </w:p>
        </w:tc>
        <w:tc>
          <w:tcPr>
            <w:tcW w:w="822"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0.71</w:t>
            </w:r>
          </w:p>
        </w:tc>
        <w:tc>
          <w:tcPr>
            <w:tcW w:w="900"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-0.009</w:t>
            </w:r>
          </w:p>
        </w:tc>
        <w:tc>
          <w:tcPr>
            <w:tcW w:w="831"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0.71</w:t>
            </w:r>
          </w:p>
        </w:tc>
        <w:tc>
          <w:tcPr>
            <w:tcW w:w="904"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-0.017</w:t>
            </w:r>
          </w:p>
        </w:tc>
        <w:tc>
          <w:tcPr>
            <w:tcW w:w="916"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0.71</w:t>
            </w:r>
          </w:p>
        </w:tc>
        <w:tc>
          <w:tcPr>
            <w:tcW w:w="931" w:type="dxa"/>
            <w:tcBorders>
              <w:top w:val="nil"/>
              <w:left w:val="nil"/>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-0.012</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1.39</w:t>
            </w:r>
          </w:p>
        </w:tc>
        <w:tc>
          <w:tcPr>
            <w:tcW w:w="910"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0.007</w:t>
            </w:r>
          </w:p>
        </w:tc>
        <w:tc>
          <w:tcPr>
            <w:tcW w:w="821"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1.40</w:t>
            </w:r>
          </w:p>
        </w:tc>
        <w:tc>
          <w:tcPr>
            <w:tcW w:w="900"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0.012</w:t>
            </w:r>
          </w:p>
        </w:tc>
        <w:tc>
          <w:tcPr>
            <w:tcW w:w="822"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1.38</w:t>
            </w:r>
          </w:p>
        </w:tc>
        <w:tc>
          <w:tcPr>
            <w:tcW w:w="900"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0.004</w:t>
            </w:r>
          </w:p>
        </w:tc>
        <w:tc>
          <w:tcPr>
            <w:tcW w:w="831"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1.38</w:t>
            </w:r>
          </w:p>
        </w:tc>
        <w:tc>
          <w:tcPr>
            <w:tcW w:w="904"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-0.001</w:t>
            </w:r>
          </w:p>
        </w:tc>
        <w:tc>
          <w:tcPr>
            <w:tcW w:w="916"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1.39</w:t>
            </w:r>
          </w:p>
        </w:tc>
        <w:tc>
          <w:tcPr>
            <w:tcW w:w="931" w:type="dxa"/>
            <w:tcBorders>
              <w:top w:val="nil"/>
              <w:left w:val="nil"/>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0.006</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3a</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0.05 discount rate</w:t>
            </w:r>
          </w:p>
        </w:tc>
        <w:tc>
          <w:tcPr>
            <w:tcW w:w="842" w:type="dxa"/>
            <w:tcBorders>
              <w:top w:val="nil"/>
              <w:left w:val="single" w:sz="4" w:space="0" w:color="auto"/>
              <w:bottom w:val="nil"/>
              <w:right w:val="nil"/>
            </w:tcBorders>
            <w:vAlign w:val="center"/>
          </w:tcPr>
          <w:p w:rsidR="002D1458" w:rsidRPr="00DD5C80" w:rsidRDefault="002D1458" w:rsidP="001E7F73">
            <w:pPr>
              <w:spacing w:before="0"/>
              <w:rPr>
                <w:rFonts w:ascii="Times New Roman" w:hAnsi="Times New Roman" w:cs="Times New Roman"/>
                <w:color w:val="000000"/>
                <w:sz w:val="20"/>
                <w:szCs w:val="20"/>
              </w:rPr>
            </w:pPr>
            <w:r w:rsidRPr="00DD5C80">
              <w:rPr>
                <w:rFonts w:ascii="Times New Roman" w:hAnsi="Times New Roman" w:cs="Times New Roman"/>
                <w:color w:val="000000"/>
                <w:sz w:val="20"/>
                <w:szCs w:val="20"/>
              </w:rPr>
              <w:t> </w:t>
            </w:r>
          </w:p>
        </w:tc>
        <w:tc>
          <w:tcPr>
            <w:tcW w:w="910"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-0.005</w:t>
            </w:r>
          </w:p>
        </w:tc>
        <w:tc>
          <w:tcPr>
            <w:tcW w:w="821" w:type="dxa"/>
            <w:tcBorders>
              <w:top w:val="nil"/>
              <w:left w:val="single" w:sz="4" w:space="0" w:color="auto"/>
              <w:bottom w:val="nil"/>
              <w:right w:val="nil"/>
            </w:tcBorders>
            <w:vAlign w:val="center"/>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-0.007</w:t>
            </w:r>
          </w:p>
        </w:tc>
        <w:tc>
          <w:tcPr>
            <w:tcW w:w="822" w:type="dxa"/>
            <w:tcBorders>
              <w:top w:val="nil"/>
              <w:left w:val="single" w:sz="4" w:space="0" w:color="auto"/>
              <w:bottom w:val="nil"/>
              <w:right w:val="nil"/>
            </w:tcBorders>
            <w:vAlign w:val="center"/>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-0.006</w:t>
            </w:r>
          </w:p>
        </w:tc>
        <w:tc>
          <w:tcPr>
            <w:tcW w:w="831" w:type="dxa"/>
            <w:tcBorders>
              <w:top w:val="nil"/>
              <w:left w:val="single" w:sz="4" w:space="0" w:color="auto"/>
              <w:bottom w:val="nil"/>
              <w:right w:val="nil"/>
            </w:tcBorders>
            <w:vAlign w:val="center"/>
          </w:tcPr>
          <w:p w:rsidR="002D1458" w:rsidRPr="00DD5C80"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-0.006</w:t>
            </w:r>
          </w:p>
        </w:tc>
        <w:tc>
          <w:tcPr>
            <w:tcW w:w="916" w:type="dxa"/>
            <w:tcBorders>
              <w:top w:val="nil"/>
              <w:left w:val="single" w:sz="4" w:space="0" w:color="auto"/>
              <w:bottom w:val="nil"/>
              <w:right w:val="nil"/>
            </w:tcBorders>
            <w:vAlign w:val="center"/>
          </w:tcPr>
          <w:p w:rsidR="002D1458" w:rsidRPr="00DD5C80"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-0.006</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3b</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0.02 discount rate</w:t>
            </w:r>
          </w:p>
        </w:tc>
        <w:tc>
          <w:tcPr>
            <w:tcW w:w="842" w:type="dxa"/>
            <w:tcBorders>
              <w:top w:val="nil"/>
              <w:left w:val="single" w:sz="4" w:space="0" w:color="auto"/>
              <w:bottom w:val="nil"/>
              <w:right w:val="nil"/>
            </w:tcBorders>
            <w:vAlign w:val="center"/>
          </w:tcPr>
          <w:p w:rsidR="002D1458" w:rsidRPr="00DD5C80" w:rsidRDefault="002D1458" w:rsidP="001E7F73">
            <w:pPr>
              <w:spacing w:before="0"/>
              <w:rPr>
                <w:rFonts w:ascii="Times New Roman" w:hAnsi="Times New Roman" w:cs="Times New Roman"/>
                <w:color w:val="000000"/>
                <w:sz w:val="20"/>
                <w:szCs w:val="20"/>
              </w:rPr>
            </w:pPr>
            <w:r w:rsidRPr="00DD5C80">
              <w:rPr>
                <w:rFonts w:ascii="Times New Roman" w:hAnsi="Times New Roman" w:cs="Times New Roman"/>
                <w:color w:val="000000"/>
                <w:sz w:val="20"/>
                <w:szCs w:val="20"/>
              </w:rPr>
              <w:t> </w:t>
            </w:r>
          </w:p>
        </w:tc>
        <w:tc>
          <w:tcPr>
            <w:tcW w:w="910"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-0.009</w:t>
            </w:r>
          </w:p>
        </w:tc>
        <w:tc>
          <w:tcPr>
            <w:tcW w:w="821" w:type="dxa"/>
            <w:tcBorders>
              <w:top w:val="nil"/>
              <w:left w:val="single" w:sz="4" w:space="0" w:color="auto"/>
              <w:bottom w:val="nil"/>
              <w:right w:val="nil"/>
            </w:tcBorders>
            <w:vAlign w:val="center"/>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-0.011</w:t>
            </w:r>
          </w:p>
        </w:tc>
        <w:tc>
          <w:tcPr>
            <w:tcW w:w="822" w:type="dxa"/>
            <w:tcBorders>
              <w:top w:val="nil"/>
              <w:left w:val="single" w:sz="4" w:space="0" w:color="auto"/>
              <w:bottom w:val="nil"/>
              <w:right w:val="nil"/>
            </w:tcBorders>
            <w:vAlign w:val="center"/>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-0.010</w:t>
            </w:r>
          </w:p>
        </w:tc>
        <w:tc>
          <w:tcPr>
            <w:tcW w:w="831" w:type="dxa"/>
            <w:tcBorders>
              <w:top w:val="nil"/>
              <w:left w:val="single" w:sz="4" w:space="0" w:color="auto"/>
              <w:bottom w:val="nil"/>
              <w:right w:val="nil"/>
            </w:tcBorders>
            <w:vAlign w:val="center"/>
          </w:tcPr>
          <w:p w:rsidR="002D1458" w:rsidRPr="00DD5C80"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-0.010</w:t>
            </w:r>
          </w:p>
        </w:tc>
        <w:tc>
          <w:tcPr>
            <w:tcW w:w="916" w:type="dxa"/>
            <w:tcBorders>
              <w:top w:val="nil"/>
              <w:left w:val="single" w:sz="4" w:space="0" w:color="auto"/>
              <w:bottom w:val="nil"/>
              <w:right w:val="nil"/>
            </w:tcBorders>
            <w:vAlign w:val="center"/>
          </w:tcPr>
          <w:p w:rsidR="002D1458" w:rsidRPr="00DD5C80"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-0.010</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Target region </w:t>
            </w:r>
          </w:p>
        </w:tc>
        <w:tc>
          <w:tcPr>
            <w:tcW w:w="842" w:type="dxa"/>
            <w:tcBorders>
              <w:top w:val="nil"/>
              <w:left w:val="single" w:sz="4" w:space="0" w:color="auto"/>
              <w:bottom w:val="nil"/>
              <w:right w:val="nil"/>
            </w:tcBorders>
            <w:vAlign w:val="center"/>
          </w:tcPr>
          <w:p w:rsidR="002D1458" w:rsidRPr="00DD5C80" w:rsidRDefault="002D1458" w:rsidP="001E7F73">
            <w:pPr>
              <w:spacing w:before="0"/>
              <w:rPr>
                <w:rFonts w:ascii="Times New Roman" w:hAnsi="Times New Roman" w:cs="Times New Roman"/>
                <w:color w:val="000000"/>
                <w:sz w:val="20"/>
                <w:szCs w:val="20"/>
              </w:rPr>
            </w:pPr>
            <w:r w:rsidRPr="00DD5C80">
              <w:rPr>
                <w:rFonts w:ascii="Times New Roman" w:hAnsi="Times New Roman" w:cs="Times New Roman"/>
                <w:color w:val="000000"/>
                <w:sz w:val="20"/>
                <w:szCs w:val="20"/>
              </w:rPr>
              <w:t> </w:t>
            </w:r>
          </w:p>
        </w:tc>
        <w:tc>
          <w:tcPr>
            <w:tcW w:w="910" w:type="dxa"/>
            <w:tcBorders>
              <w:top w:val="nil"/>
              <w:left w:val="nil"/>
              <w:bottom w:val="nil"/>
              <w:right w:val="single" w:sz="4" w:space="0" w:color="auto"/>
            </w:tcBorders>
            <w:vAlign w:val="center"/>
          </w:tcPr>
          <w:p w:rsidR="002D1458" w:rsidRPr="00DD5C80" w:rsidRDefault="002D1458" w:rsidP="001E7F73">
            <w:pPr>
              <w:spacing w:before="0"/>
              <w:rPr>
                <w:rFonts w:ascii="Times New Roman" w:hAnsi="Times New Roman" w:cs="Times New Roman"/>
                <w:color w:val="000000"/>
                <w:sz w:val="20"/>
                <w:szCs w:val="20"/>
              </w:rPr>
            </w:pPr>
            <w:r w:rsidRPr="00DD5C80">
              <w:rPr>
                <w:rFonts w:ascii="Times New Roman" w:hAnsi="Times New Roman" w:cs="Times New Roman"/>
                <w:color w:val="000000"/>
                <w:sz w:val="20"/>
                <w:szCs w:val="20"/>
              </w:rPr>
              <w:t> </w:t>
            </w:r>
          </w:p>
        </w:tc>
        <w:tc>
          <w:tcPr>
            <w:tcW w:w="821" w:type="dxa"/>
            <w:tcBorders>
              <w:top w:val="nil"/>
              <w:left w:val="single" w:sz="4" w:space="0" w:color="auto"/>
              <w:bottom w:val="nil"/>
              <w:right w:val="nil"/>
            </w:tcBorders>
            <w:vAlign w:val="center"/>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center"/>
          </w:tcPr>
          <w:p w:rsidR="002D1458" w:rsidRPr="00DD5C80" w:rsidRDefault="002D1458" w:rsidP="001E7F73">
            <w:pPr>
              <w:spacing w:before="0"/>
              <w:rPr>
                <w:rFonts w:ascii="Times New Roman" w:hAnsi="Times New Roman" w:cs="Times New Roman"/>
                <w:color w:val="000000"/>
                <w:sz w:val="20"/>
                <w:szCs w:val="20"/>
              </w:rPr>
            </w:pPr>
            <w:r w:rsidRPr="00DD5C80">
              <w:rPr>
                <w:rFonts w:ascii="Times New Roman" w:hAnsi="Times New Roman" w:cs="Times New Roman"/>
                <w:color w:val="000000"/>
                <w:sz w:val="20"/>
                <w:szCs w:val="20"/>
              </w:rPr>
              <w:t> </w:t>
            </w:r>
          </w:p>
        </w:tc>
        <w:tc>
          <w:tcPr>
            <w:tcW w:w="822" w:type="dxa"/>
            <w:tcBorders>
              <w:top w:val="nil"/>
              <w:left w:val="single" w:sz="4" w:space="0" w:color="auto"/>
              <w:bottom w:val="nil"/>
              <w:right w:val="nil"/>
            </w:tcBorders>
            <w:vAlign w:val="center"/>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center"/>
          </w:tcPr>
          <w:p w:rsidR="002D1458" w:rsidRPr="00DD5C80" w:rsidRDefault="002D1458" w:rsidP="001E7F73">
            <w:pPr>
              <w:spacing w:before="0"/>
              <w:rPr>
                <w:rFonts w:ascii="Times New Roman" w:hAnsi="Times New Roman" w:cs="Times New Roman"/>
                <w:color w:val="000000"/>
                <w:sz w:val="20"/>
                <w:szCs w:val="20"/>
              </w:rPr>
            </w:pPr>
            <w:r w:rsidRPr="00DD5C80">
              <w:rPr>
                <w:rFonts w:ascii="Times New Roman" w:hAnsi="Times New Roman" w:cs="Times New Roman"/>
                <w:color w:val="000000"/>
                <w:sz w:val="20"/>
                <w:szCs w:val="20"/>
              </w:rPr>
              <w:t> </w:t>
            </w:r>
          </w:p>
        </w:tc>
        <w:tc>
          <w:tcPr>
            <w:tcW w:w="831" w:type="dxa"/>
            <w:tcBorders>
              <w:top w:val="nil"/>
              <w:left w:val="single" w:sz="4" w:space="0" w:color="auto"/>
              <w:bottom w:val="nil"/>
              <w:right w:val="nil"/>
            </w:tcBorders>
            <w:vAlign w:val="center"/>
          </w:tcPr>
          <w:p w:rsidR="002D1458" w:rsidRPr="00DD5C80"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center"/>
          </w:tcPr>
          <w:p w:rsidR="002D1458" w:rsidRPr="00DD5C80" w:rsidRDefault="002D1458" w:rsidP="001E7F73">
            <w:pPr>
              <w:spacing w:before="0"/>
              <w:rPr>
                <w:rFonts w:ascii="Times New Roman" w:hAnsi="Times New Roman" w:cs="Times New Roman"/>
                <w:color w:val="000000"/>
                <w:sz w:val="20"/>
                <w:szCs w:val="20"/>
              </w:rPr>
            </w:pPr>
            <w:r w:rsidRPr="00DD5C80">
              <w:rPr>
                <w:rFonts w:ascii="Times New Roman" w:hAnsi="Times New Roman" w:cs="Times New Roman"/>
                <w:color w:val="000000"/>
                <w:sz w:val="20"/>
                <w:szCs w:val="20"/>
              </w:rPr>
              <w:t> </w:t>
            </w:r>
          </w:p>
        </w:tc>
        <w:tc>
          <w:tcPr>
            <w:tcW w:w="916" w:type="dxa"/>
            <w:tcBorders>
              <w:top w:val="nil"/>
              <w:left w:val="single" w:sz="4" w:space="0" w:color="auto"/>
              <w:bottom w:val="nil"/>
              <w:right w:val="nil"/>
            </w:tcBorders>
            <w:vAlign w:val="center"/>
          </w:tcPr>
          <w:p w:rsidR="002D1458" w:rsidRPr="00DD5C80"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center"/>
          </w:tcPr>
          <w:p w:rsidR="002D1458" w:rsidRPr="00DD5C80" w:rsidRDefault="002D1458" w:rsidP="001E7F73">
            <w:pPr>
              <w:spacing w:before="0"/>
              <w:rPr>
                <w:rFonts w:ascii="Times New Roman" w:hAnsi="Times New Roman" w:cs="Times New Roman"/>
                <w:color w:val="000000"/>
                <w:sz w:val="20"/>
                <w:szCs w:val="20"/>
              </w:rPr>
            </w:pP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4</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GRP</w:t>
            </w:r>
          </w:p>
        </w:tc>
        <w:tc>
          <w:tcPr>
            <w:tcW w:w="842"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0.16</w:t>
            </w:r>
          </w:p>
        </w:tc>
        <w:tc>
          <w:tcPr>
            <w:tcW w:w="910"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-0.007</w:t>
            </w:r>
          </w:p>
        </w:tc>
        <w:tc>
          <w:tcPr>
            <w:tcW w:w="821"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0.13</w:t>
            </w:r>
          </w:p>
        </w:tc>
        <w:tc>
          <w:tcPr>
            <w:tcW w:w="900"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-0.006</w:t>
            </w:r>
          </w:p>
        </w:tc>
        <w:tc>
          <w:tcPr>
            <w:tcW w:w="822"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0.14</w:t>
            </w:r>
          </w:p>
        </w:tc>
        <w:tc>
          <w:tcPr>
            <w:tcW w:w="900"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-0.005</w:t>
            </w:r>
          </w:p>
        </w:tc>
        <w:tc>
          <w:tcPr>
            <w:tcW w:w="831"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0.12</w:t>
            </w:r>
          </w:p>
        </w:tc>
        <w:tc>
          <w:tcPr>
            <w:tcW w:w="904" w:type="dxa"/>
            <w:tcBorders>
              <w:top w:val="nil"/>
              <w:left w:val="nil"/>
              <w:bottom w:val="nil"/>
              <w:right w:val="single" w:sz="4" w:space="0" w:color="auto"/>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-0.006</w:t>
            </w:r>
          </w:p>
        </w:tc>
        <w:tc>
          <w:tcPr>
            <w:tcW w:w="916" w:type="dxa"/>
            <w:tcBorders>
              <w:top w:val="nil"/>
              <w:left w:val="single" w:sz="4" w:space="0" w:color="auto"/>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0.14</w:t>
            </w:r>
          </w:p>
        </w:tc>
        <w:tc>
          <w:tcPr>
            <w:tcW w:w="931" w:type="dxa"/>
            <w:tcBorders>
              <w:top w:val="nil"/>
              <w:left w:val="nil"/>
              <w:bottom w:val="nil"/>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-0.006</w:t>
            </w:r>
          </w:p>
        </w:tc>
      </w:tr>
      <w:tr w:rsidR="002D1458" w:rsidTr="001E7F73">
        <w:tc>
          <w:tcPr>
            <w:tcW w:w="495" w:type="dxa"/>
            <w:tcBorders>
              <w:top w:val="nil"/>
              <w:left w:val="nil"/>
              <w:bottom w:val="single" w:sz="18" w:space="0" w:color="7F7F7F" w:themeColor="text1" w:themeTint="80"/>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5</w:t>
            </w:r>
          </w:p>
        </w:tc>
        <w:tc>
          <w:tcPr>
            <w:tcW w:w="3150" w:type="dxa"/>
            <w:tcBorders>
              <w:top w:val="nil"/>
              <w:left w:val="nil"/>
              <w:bottom w:val="single" w:sz="18" w:space="0" w:color="7F7F7F" w:themeColor="text1" w:themeTint="80"/>
              <w:right w:val="single" w:sz="4" w:space="0" w:color="000000" w:themeColor="text1"/>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000000" w:themeColor="text1"/>
              <w:bottom w:val="single" w:sz="18" w:space="0" w:color="7F7F7F" w:themeColor="text1" w:themeTint="80"/>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0.35</w:t>
            </w:r>
          </w:p>
        </w:tc>
        <w:tc>
          <w:tcPr>
            <w:tcW w:w="910" w:type="dxa"/>
            <w:tcBorders>
              <w:top w:val="nil"/>
              <w:left w:val="nil"/>
              <w:bottom w:val="single" w:sz="18" w:space="0" w:color="7F7F7F" w:themeColor="text1" w:themeTint="80"/>
              <w:right w:val="single" w:sz="4" w:space="0" w:color="000000" w:themeColor="text1"/>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-0.003</w:t>
            </w:r>
          </w:p>
        </w:tc>
        <w:tc>
          <w:tcPr>
            <w:tcW w:w="821" w:type="dxa"/>
            <w:tcBorders>
              <w:top w:val="nil"/>
              <w:left w:val="single" w:sz="4" w:space="0" w:color="000000" w:themeColor="text1"/>
              <w:bottom w:val="single" w:sz="18" w:space="0" w:color="7F7F7F" w:themeColor="text1" w:themeTint="80"/>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0.27</w:t>
            </w:r>
          </w:p>
        </w:tc>
        <w:tc>
          <w:tcPr>
            <w:tcW w:w="900" w:type="dxa"/>
            <w:tcBorders>
              <w:top w:val="nil"/>
              <w:left w:val="nil"/>
              <w:bottom w:val="single" w:sz="18" w:space="0" w:color="7F7F7F" w:themeColor="text1" w:themeTint="80"/>
              <w:right w:val="single" w:sz="4" w:space="0" w:color="000000" w:themeColor="text1"/>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-0.002</w:t>
            </w:r>
          </w:p>
        </w:tc>
        <w:tc>
          <w:tcPr>
            <w:tcW w:w="822" w:type="dxa"/>
            <w:tcBorders>
              <w:top w:val="nil"/>
              <w:left w:val="single" w:sz="4" w:space="0" w:color="000000" w:themeColor="text1"/>
              <w:bottom w:val="single" w:sz="18" w:space="0" w:color="7F7F7F" w:themeColor="text1" w:themeTint="80"/>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0.26</w:t>
            </w:r>
          </w:p>
        </w:tc>
        <w:tc>
          <w:tcPr>
            <w:tcW w:w="900" w:type="dxa"/>
            <w:tcBorders>
              <w:top w:val="nil"/>
              <w:left w:val="nil"/>
              <w:bottom w:val="single" w:sz="18" w:space="0" w:color="7F7F7F" w:themeColor="text1" w:themeTint="80"/>
              <w:right w:val="single" w:sz="4" w:space="0" w:color="000000" w:themeColor="text1"/>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-0.001</w:t>
            </w:r>
          </w:p>
        </w:tc>
        <w:tc>
          <w:tcPr>
            <w:tcW w:w="831" w:type="dxa"/>
            <w:tcBorders>
              <w:top w:val="nil"/>
              <w:left w:val="single" w:sz="4" w:space="0" w:color="000000" w:themeColor="text1"/>
              <w:bottom w:val="single" w:sz="18" w:space="0" w:color="7F7F7F" w:themeColor="text1" w:themeTint="80"/>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0.24</w:t>
            </w:r>
          </w:p>
        </w:tc>
        <w:tc>
          <w:tcPr>
            <w:tcW w:w="904" w:type="dxa"/>
            <w:tcBorders>
              <w:top w:val="nil"/>
              <w:left w:val="nil"/>
              <w:bottom w:val="single" w:sz="18" w:space="0" w:color="7F7F7F" w:themeColor="text1" w:themeTint="80"/>
              <w:right w:val="single" w:sz="4" w:space="0" w:color="000000" w:themeColor="text1"/>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-0.001</w:t>
            </w:r>
          </w:p>
        </w:tc>
        <w:tc>
          <w:tcPr>
            <w:tcW w:w="916" w:type="dxa"/>
            <w:tcBorders>
              <w:top w:val="nil"/>
              <w:left w:val="single" w:sz="4" w:space="0" w:color="000000" w:themeColor="text1"/>
              <w:bottom w:val="single" w:sz="18" w:space="0" w:color="7F7F7F" w:themeColor="text1" w:themeTint="80"/>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0.28</w:t>
            </w:r>
          </w:p>
        </w:tc>
        <w:tc>
          <w:tcPr>
            <w:tcW w:w="931" w:type="dxa"/>
            <w:tcBorders>
              <w:top w:val="nil"/>
              <w:left w:val="nil"/>
              <w:bottom w:val="single" w:sz="18" w:space="0" w:color="7F7F7F" w:themeColor="text1" w:themeTint="80"/>
              <w:right w:val="nil"/>
            </w:tcBorders>
            <w:vAlign w:val="center"/>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-0.002</w:t>
            </w:r>
          </w:p>
        </w:tc>
      </w:tr>
    </w:tbl>
    <w:p w:rsidR="002D1458" w:rsidRPr="0010392C" w:rsidRDefault="002D1458" w:rsidP="002D1458">
      <w:pPr>
        <w:pStyle w:val="ListParagraph"/>
        <w:tabs>
          <w:tab w:val="left" w:pos="720"/>
          <w:tab w:val="left" w:pos="1440"/>
        </w:tabs>
        <w:ind w:left="1530" w:hanging="810"/>
        <w:contextualSpacing w:val="0"/>
        <w:rPr>
          <w:rFonts w:ascii="Times New Roman" w:hAnsi="Times New Roman" w:cs="Times New Roman"/>
          <w:b/>
          <w:sz w:val="24"/>
          <w:szCs w:val="24"/>
        </w:rPr>
      </w:pPr>
      <w:r w:rsidRPr="0010392C">
        <w:rPr>
          <w:rFonts w:ascii="Times New Roman" w:hAnsi="Times New Roman" w:cs="Times New Roman"/>
          <w:b/>
          <w:sz w:val="24"/>
          <w:szCs w:val="24"/>
        </w:rPr>
        <w:t xml:space="preserve">Relevant variables.  </w:t>
      </w:r>
    </w:p>
    <w:p w:rsidR="002D1458" w:rsidRPr="0010392C" w:rsidRDefault="002D1458" w:rsidP="002D1458">
      <w:pPr>
        <w:pStyle w:val="ListParagraph"/>
        <w:tabs>
          <w:tab w:val="left" w:pos="1260"/>
        </w:tabs>
        <w:ind w:left="900" w:firstLine="90"/>
        <w:contextualSpacing w:val="0"/>
        <w:rPr>
          <w:rFonts w:ascii="Times New Roman" w:hAnsi="Times New Roman" w:cs="Times New Roman"/>
          <w:sz w:val="24"/>
          <w:szCs w:val="24"/>
        </w:rPr>
      </w:pPr>
      <w:r w:rsidRPr="0010392C">
        <w:rPr>
          <w:rFonts w:ascii="Times New Roman" w:hAnsi="Times New Roman" w:cs="Times New Roman"/>
          <w:b/>
          <w:sz w:val="24"/>
          <w:szCs w:val="24"/>
        </w:rPr>
        <w:t xml:space="preserve">National:  </w:t>
      </w:r>
      <w:r w:rsidRPr="0010392C">
        <w:rPr>
          <w:rFonts w:ascii="Times New Roman" w:hAnsi="Times New Roman" w:cs="Times New Roman"/>
          <w:sz w:val="24"/>
          <w:szCs w:val="24"/>
        </w:rPr>
        <w:t xml:space="preserve">Public consumption in </w:t>
      </w:r>
      <w:r w:rsidR="0010392C" w:rsidRPr="0010392C">
        <w:rPr>
          <w:rFonts w:ascii="Times New Roman" w:hAnsi="Times New Roman" w:cs="Times New Roman"/>
          <w:sz w:val="24"/>
          <w:szCs w:val="24"/>
        </w:rPr>
        <w:t>T</w:t>
      </w:r>
      <w:r w:rsidRPr="0010392C">
        <w:rPr>
          <w:rFonts w:ascii="Times New Roman" w:hAnsi="Times New Roman" w:cs="Times New Roman"/>
          <w:sz w:val="24"/>
          <w:szCs w:val="24"/>
        </w:rPr>
        <w:t>arget city as share of national GDP</w:t>
      </w:r>
    </w:p>
    <w:p w:rsidR="002D1458" w:rsidRPr="00FE6186" w:rsidRDefault="002D1458" w:rsidP="002D1458">
      <w:pPr>
        <w:pStyle w:val="ListParagraph"/>
        <w:tabs>
          <w:tab w:val="left" w:pos="1260"/>
        </w:tabs>
        <w:ind w:left="900" w:firstLine="90"/>
        <w:contextualSpacing w:val="0"/>
        <w:rPr>
          <w:rFonts w:ascii="Times New Roman" w:hAnsi="Times New Roman" w:cs="Times New Roman"/>
          <w:b/>
          <w:sz w:val="20"/>
          <w:szCs w:val="20"/>
        </w:rPr>
      </w:pPr>
      <w:r w:rsidRPr="0010392C">
        <w:rPr>
          <w:rFonts w:ascii="Times New Roman" w:hAnsi="Times New Roman" w:cs="Times New Roman"/>
          <w:b/>
          <w:i/>
          <w:sz w:val="24"/>
          <w:szCs w:val="24"/>
        </w:rPr>
        <w:t>Regional:</w:t>
      </w:r>
      <w:r w:rsidRPr="0010392C">
        <w:rPr>
          <w:rFonts w:ascii="Times New Roman" w:hAnsi="Times New Roman" w:cs="Times New Roman"/>
          <w:sz w:val="24"/>
          <w:szCs w:val="24"/>
        </w:rPr>
        <w:t xml:space="preserve">  Public consumption share of </w:t>
      </w:r>
      <w:r w:rsidR="0010392C" w:rsidRPr="0010392C">
        <w:rPr>
          <w:rFonts w:ascii="Times New Roman" w:hAnsi="Times New Roman" w:cs="Times New Roman"/>
          <w:sz w:val="24"/>
          <w:szCs w:val="24"/>
        </w:rPr>
        <w:t>T</w:t>
      </w:r>
      <w:r w:rsidRPr="0010392C">
        <w:rPr>
          <w:rFonts w:ascii="Times New Roman" w:hAnsi="Times New Roman" w:cs="Times New Roman"/>
          <w:sz w:val="24"/>
          <w:szCs w:val="24"/>
        </w:rPr>
        <w:t>arget city’s GRP</w:t>
      </w:r>
      <w:r w:rsidRPr="00FE6186">
        <w:rPr>
          <w:rFonts w:ascii="Times New Roman" w:hAnsi="Times New Roman" w:cs="Times New Roman"/>
          <w:b/>
          <w:sz w:val="20"/>
          <w:szCs w:val="20"/>
        </w:rPr>
        <w:br w:type="page"/>
      </w:r>
    </w:p>
    <w:p w:rsidR="002D1458" w:rsidRPr="00BC333D" w:rsidRDefault="002D1458" w:rsidP="002D1458">
      <w:pPr>
        <w:pStyle w:val="ListParagraph"/>
        <w:ind w:left="900" w:hanging="900"/>
        <w:contextualSpacing w:val="0"/>
        <w:jc w:val="center"/>
        <w:rPr>
          <w:rFonts w:ascii="Times New Roman" w:hAnsi="Times New Roman" w:cs="Times New Roman"/>
          <w:b/>
          <w:i/>
          <w:sz w:val="24"/>
          <w:szCs w:val="24"/>
        </w:rPr>
      </w:pPr>
      <w:r w:rsidRPr="00BC333D">
        <w:rPr>
          <w:rFonts w:ascii="Times New Roman" w:hAnsi="Times New Roman" w:cs="Times New Roman"/>
          <w:b/>
          <w:i/>
          <w:sz w:val="24"/>
          <w:szCs w:val="24"/>
        </w:rPr>
        <w:lastRenderedPageBreak/>
        <w:t xml:space="preserve">Table A4.  Coefficients, C(s,v), for public health expenditures (s=4) </w:t>
      </w:r>
    </w:p>
    <w:tbl>
      <w:tblPr>
        <w:tblStyle w:val="TableGrid"/>
        <w:tblW w:w="12422" w:type="dxa"/>
        <w:tblInd w:w="900" w:type="dxa"/>
        <w:tblLook w:val="04A0" w:firstRow="1" w:lastRow="0" w:firstColumn="1" w:lastColumn="0" w:noHBand="0" w:noVBand="1"/>
      </w:tblPr>
      <w:tblGrid>
        <w:gridCol w:w="495"/>
        <w:gridCol w:w="3150"/>
        <w:gridCol w:w="842"/>
        <w:gridCol w:w="910"/>
        <w:gridCol w:w="821"/>
        <w:gridCol w:w="900"/>
        <w:gridCol w:w="822"/>
        <w:gridCol w:w="900"/>
        <w:gridCol w:w="831"/>
        <w:gridCol w:w="904"/>
        <w:gridCol w:w="916"/>
        <w:gridCol w:w="931"/>
      </w:tblGrid>
      <w:tr w:rsidR="002D1458" w:rsidRPr="00E27213" w:rsidTr="001E7F73">
        <w:tc>
          <w:tcPr>
            <w:tcW w:w="495" w:type="dxa"/>
            <w:tcBorders>
              <w:top w:val="single" w:sz="18" w:space="0" w:color="7F7F7F" w:themeColor="text1" w:themeTint="80"/>
              <w:left w:val="nil"/>
              <w:bottom w:val="nil"/>
              <w:right w:val="nil"/>
            </w:tcBorders>
            <w:vAlign w:val="bottom"/>
          </w:tcPr>
          <w:p w:rsidR="002D1458" w:rsidRPr="00E27213" w:rsidRDefault="002D1458" w:rsidP="001E7F73">
            <w:pPr>
              <w:spacing w:before="0"/>
              <w:rPr>
                <w:rFonts w:ascii="Times New Roman" w:hAnsi="Times New Roman" w:cs="Times New Roman"/>
                <w:color w:val="000000"/>
                <w:sz w:val="20"/>
                <w:szCs w:val="20"/>
              </w:rPr>
            </w:pPr>
          </w:p>
        </w:tc>
        <w:tc>
          <w:tcPr>
            <w:tcW w:w="3150" w:type="dxa"/>
            <w:tcBorders>
              <w:top w:val="single" w:sz="18" w:space="0" w:color="7F7F7F" w:themeColor="text1" w:themeTint="80"/>
              <w:left w:val="nil"/>
              <w:bottom w:val="nil"/>
            </w:tcBorders>
            <w:vAlign w:val="center"/>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Target region (d)</w:t>
            </w:r>
          </w:p>
        </w:tc>
        <w:tc>
          <w:tcPr>
            <w:tcW w:w="1752"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FL24</w:t>
            </w:r>
          </w:p>
        </w:tc>
        <w:tc>
          <w:tcPr>
            <w:tcW w:w="1721"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AZ07</w:t>
            </w:r>
          </w:p>
        </w:tc>
        <w:tc>
          <w:tcPr>
            <w:tcW w:w="1722"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NY14</w:t>
            </w:r>
          </w:p>
        </w:tc>
        <w:tc>
          <w:tcPr>
            <w:tcW w:w="1735"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WA09</w:t>
            </w:r>
          </w:p>
        </w:tc>
        <w:tc>
          <w:tcPr>
            <w:tcW w:w="1847" w:type="dxa"/>
            <w:gridSpan w:val="2"/>
            <w:tcBorders>
              <w:top w:val="single" w:sz="18" w:space="0" w:color="7F7F7F" w:themeColor="text1" w:themeTint="80"/>
              <w:right w:val="nil"/>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Average</w:t>
            </w:r>
          </w:p>
        </w:tc>
      </w:tr>
      <w:tr w:rsidR="002D1458" w:rsidRPr="00E27213" w:rsidTr="001E7F73">
        <w:tc>
          <w:tcPr>
            <w:tcW w:w="495" w:type="dxa"/>
            <w:tcBorders>
              <w:top w:val="nil"/>
              <w:left w:val="nil"/>
              <w:bottom w:val="single" w:sz="18" w:space="0" w:color="7F7F7F" w:themeColor="text1" w:themeTint="80"/>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single" w:sz="18" w:space="0" w:color="7F7F7F" w:themeColor="text1" w:themeTint="80"/>
            </w:tcBorders>
            <w:vAlign w:val="bottom"/>
          </w:tcPr>
          <w:p w:rsidR="002D1458" w:rsidRPr="00E27213" w:rsidRDefault="002D1458" w:rsidP="001E7F73">
            <w:pPr>
              <w:spacing w:before="0"/>
              <w:rPr>
                <w:rFonts w:ascii="Times New Roman" w:hAnsi="Times New Roman" w:cs="Times New Roman"/>
                <w:color w:val="000000"/>
                <w:sz w:val="20"/>
                <w:szCs w:val="20"/>
              </w:rPr>
            </w:pPr>
            <w:r w:rsidRPr="00E27213">
              <w:rPr>
                <w:rFonts w:ascii="Times New Roman" w:hAnsi="Times New Roman" w:cs="Times New Roman"/>
                <w:color w:val="000000"/>
                <w:sz w:val="20"/>
                <w:szCs w:val="20"/>
              </w:rPr>
              <w:t>Implication variables (s)</w:t>
            </w:r>
          </w:p>
        </w:tc>
        <w:tc>
          <w:tcPr>
            <w:tcW w:w="842"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1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21"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22"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31"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4"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916"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31" w:type="dxa"/>
            <w:tcBorders>
              <w:bottom w:val="single" w:sz="18" w:space="0" w:color="7F7F7F" w:themeColor="text1" w:themeTint="80"/>
              <w:right w:val="nil"/>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r>
      <w:tr w:rsidR="002D1458" w:rsidRPr="00F901FE" w:rsidTr="001E7F73">
        <w:tc>
          <w:tcPr>
            <w:tcW w:w="3645" w:type="dxa"/>
            <w:gridSpan w:val="2"/>
            <w:tcBorders>
              <w:top w:val="single" w:sz="18" w:space="0" w:color="7F7F7F" w:themeColor="text1" w:themeTint="80"/>
              <w:left w:val="nil"/>
              <w:bottom w:val="nil"/>
              <w:right w:val="single" w:sz="4" w:space="0" w:color="auto"/>
            </w:tcBorders>
          </w:tcPr>
          <w:p w:rsidR="002D1458" w:rsidRPr="00F901FE" w:rsidRDefault="002D1458" w:rsidP="001E7F73">
            <w:pPr>
              <w:spacing w:before="0"/>
              <w:rPr>
                <w:rFonts w:ascii="Times New Roman" w:hAnsi="Times New Roman" w:cs="Times New Roman"/>
                <w:b/>
                <w:color w:val="000000"/>
                <w:sz w:val="20"/>
                <w:szCs w:val="20"/>
              </w:rPr>
            </w:pPr>
            <w:r w:rsidRPr="00F901FE">
              <w:rPr>
                <w:rFonts w:ascii="Times New Roman" w:hAnsi="Times New Roman" w:cs="Times New Roman"/>
                <w:b/>
                <w:color w:val="000000"/>
                <w:sz w:val="20"/>
                <w:szCs w:val="20"/>
              </w:rPr>
              <w:t>Keynesian</w:t>
            </w:r>
          </w:p>
        </w:tc>
        <w:tc>
          <w:tcPr>
            <w:tcW w:w="842"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39"/>
              </w:tabs>
              <w:spacing w:before="0"/>
              <w:ind w:left="0"/>
              <w:contextualSpacing w:val="0"/>
              <w:rPr>
                <w:rFonts w:ascii="Times New Roman" w:hAnsi="Times New Roman" w:cs="Times New Roman"/>
                <w:sz w:val="20"/>
                <w:szCs w:val="20"/>
              </w:rPr>
            </w:pPr>
          </w:p>
        </w:tc>
        <w:tc>
          <w:tcPr>
            <w:tcW w:w="931" w:type="dxa"/>
            <w:tcBorders>
              <w:top w:val="single" w:sz="18" w:space="0" w:color="7F7F7F" w:themeColor="text1" w:themeTint="80"/>
              <w:left w:val="nil"/>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r>
      <w:tr w:rsidR="002D1458" w:rsidRPr="00F901FE"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National </w:t>
            </w:r>
          </w:p>
        </w:tc>
        <w:tc>
          <w:tcPr>
            <w:tcW w:w="842"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nil"/>
              <w:left w:val="single" w:sz="4" w:space="0" w:color="auto"/>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r>
      <w:tr w:rsidR="002D1458" w:rsidTr="001E7F73">
        <w:trPr>
          <w:trHeight w:val="305"/>
        </w:trPr>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1</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GDP</w:t>
            </w:r>
          </w:p>
        </w:tc>
        <w:tc>
          <w:tcPr>
            <w:tcW w:w="84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1.63</w:t>
            </w:r>
          </w:p>
        </w:tc>
        <w:tc>
          <w:tcPr>
            <w:tcW w:w="91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0.002</w:t>
            </w:r>
          </w:p>
        </w:tc>
        <w:tc>
          <w:tcPr>
            <w:tcW w:w="82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1.68</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0.011</w:t>
            </w:r>
          </w:p>
        </w:tc>
        <w:tc>
          <w:tcPr>
            <w:tcW w:w="82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1.70</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0.009</w:t>
            </w:r>
          </w:p>
        </w:tc>
        <w:tc>
          <w:tcPr>
            <w:tcW w:w="83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1.64</w:t>
            </w:r>
          </w:p>
        </w:tc>
        <w:tc>
          <w:tcPr>
            <w:tcW w:w="904"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0.005</w:t>
            </w:r>
          </w:p>
        </w:tc>
        <w:tc>
          <w:tcPr>
            <w:tcW w:w="916"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1.66</w:t>
            </w:r>
          </w:p>
        </w:tc>
        <w:tc>
          <w:tcPr>
            <w:tcW w:w="931" w:type="dxa"/>
            <w:tcBorders>
              <w:top w:val="nil"/>
              <w:left w:val="nil"/>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0.007</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1.64</w:t>
            </w:r>
          </w:p>
        </w:tc>
        <w:tc>
          <w:tcPr>
            <w:tcW w:w="91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-0.004</w:t>
            </w:r>
          </w:p>
        </w:tc>
        <w:tc>
          <w:tcPr>
            <w:tcW w:w="82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1.69</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0.007</w:t>
            </w:r>
          </w:p>
        </w:tc>
        <w:tc>
          <w:tcPr>
            <w:tcW w:w="82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1.70</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0.007</w:t>
            </w:r>
          </w:p>
        </w:tc>
        <w:tc>
          <w:tcPr>
            <w:tcW w:w="83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1.67</w:t>
            </w:r>
          </w:p>
        </w:tc>
        <w:tc>
          <w:tcPr>
            <w:tcW w:w="904"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0.007</w:t>
            </w:r>
          </w:p>
        </w:tc>
        <w:tc>
          <w:tcPr>
            <w:tcW w:w="916"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1.67</w:t>
            </w:r>
          </w:p>
        </w:tc>
        <w:tc>
          <w:tcPr>
            <w:tcW w:w="931" w:type="dxa"/>
            <w:tcBorders>
              <w:top w:val="nil"/>
              <w:left w:val="nil"/>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0.004</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3a</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0.05 discount rate</w:t>
            </w:r>
          </w:p>
        </w:tc>
        <w:tc>
          <w:tcPr>
            <w:tcW w:w="84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-0.002</w:t>
            </w:r>
          </w:p>
        </w:tc>
        <w:tc>
          <w:tcPr>
            <w:tcW w:w="82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-0.002</w:t>
            </w:r>
          </w:p>
        </w:tc>
        <w:tc>
          <w:tcPr>
            <w:tcW w:w="82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-0.001</w:t>
            </w:r>
          </w:p>
        </w:tc>
        <w:tc>
          <w:tcPr>
            <w:tcW w:w="83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-0.002</w:t>
            </w:r>
          </w:p>
        </w:tc>
        <w:tc>
          <w:tcPr>
            <w:tcW w:w="916"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-0.002</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3b</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0.02 discount rate</w:t>
            </w:r>
          </w:p>
        </w:tc>
        <w:tc>
          <w:tcPr>
            <w:tcW w:w="84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-0.005</w:t>
            </w:r>
          </w:p>
        </w:tc>
        <w:tc>
          <w:tcPr>
            <w:tcW w:w="82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-0.005</w:t>
            </w:r>
          </w:p>
        </w:tc>
        <w:tc>
          <w:tcPr>
            <w:tcW w:w="82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-0.004</w:t>
            </w:r>
          </w:p>
        </w:tc>
        <w:tc>
          <w:tcPr>
            <w:tcW w:w="83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-0.006</w:t>
            </w:r>
          </w:p>
        </w:tc>
        <w:tc>
          <w:tcPr>
            <w:tcW w:w="916"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-0.005</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Target region </w:t>
            </w:r>
          </w:p>
        </w:tc>
        <w:tc>
          <w:tcPr>
            <w:tcW w:w="84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82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82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83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16"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4</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GRP</w:t>
            </w:r>
          </w:p>
        </w:tc>
        <w:tc>
          <w:tcPr>
            <w:tcW w:w="84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0.66</w:t>
            </w:r>
          </w:p>
        </w:tc>
        <w:tc>
          <w:tcPr>
            <w:tcW w:w="91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0.000</w:t>
            </w:r>
          </w:p>
        </w:tc>
        <w:tc>
          <w:tcPr>
            <w:tcW w:w="82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0.62</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-0.002</w:t>
            </w:r>
          </w:p>
        </w:tc>
        <w:tc>
          <w:tcPr>
            <w:tcW w:w="82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0.65</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-0.001</w:t>
            </w:r>
          </w:p>
        </w:tc>
        <w:tc>
          <w:tcPr>
            <w:tcW w:w="83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0.73</w:t>
            </w:r>
          </w:p>
        </w:tc>
        <w:tc>
          <w:tcPr>
            <w:tcW w:w="904"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-0.001</w:t>
            </w:r>
          </w:p>
        </w:tc>
        <w:tc>
          <w:tcPr>
            <w:tcW w:w="916"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0.66</w:t>
            </w:r>
          </w:p>
        </w:tc>
        <w:tc>
          <w:tcPr>
            <w:tcW w:w="931" w:type="dxa"/>
            <w:tcBorders>
              <w:top w:val="nil"/>
              <w:left w:val="nil"/>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-0.001</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5</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0.84</w:t>
            </w:r>
          </w:p>
        </w:tc>
        <w:tc>
          <w:tcPr>
            <w:tcW w:w="91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-0.004</w:t>
            </w:r>
          </w:p>
        </w:tc>
        <w:tc>
          <w:tcPr>
            <w:tcW w:w="82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0.73</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-0.004</w:t>
            </w:r>
          </w:p>
        </w:tc>
        <w:tc>
          <w:tcPr>
            <w:tcW w:w="82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0.73</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-0.002</w:t>
            </w:r>
          </w:p>
        </w:tc>
        <w:tc>
          <w:tcPr>
            <w:tcW w:w="83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0.90</w:t>
            </w:r>
          </w:p>
        </w:tc>
        <w:tc>
          <w:tcPr>
            <w:tcW w:w="904"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-0.004</w:t>
            </w:r>
          </w:p>
        </w:tc>
        <w:tc>
          <w:tcPr>
            <w:tcW w:w="916"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0.80</w:t>
            </w:r>
          </w:p>
        </w:tc>
        <w:tc>
          <w:tcPr>
            <w:tcW w:w="931" w:type="dxa"/>
            <w:tcBorders>
              <w:top w:val="nil"/>
              <w:left w:val="nil"/>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-0.003</w:t>
            </w:r>
          </w:p>
        </w:tc>
      </w:tr>
      <w:tr w:rsidR="002D1458" w:rsidRPr="00857A94" w:rsidTr="001E7F73">
        <w:tc>
          <w:tcPr>
            <w:tcW w:w="3645" w:type="dxa"/>
            <w:gridSpan w:val="2"/>
            <w:tcBorders>
              <w:top w:val="single" w:sz="18" w:space="0" w:color="7F7F7F" w:themeColor="text1" w:themeTint="80"/>
              <w:left w:val="nil"/>
              <w:bottom w:val="nil"/>
              <w:right w:val="single" w:sz="4" w:space="0" w:color="auto"/>
            </w:tcBorders>
          </w:tcPr>
          <w:p w:rsidR="002D1458" w:rsidRPr="00F901FE" w:rsidRDefault="002D1458" w:rsidP="001E7F73">
            <w:pPr>
              <w:spacing w:before="0"/>
              <w:rPr>
                <w:rFonts w:ascii="Times New Roman" w:hAnsi="Times New Roman" w:cs="Times New Roman"/>
                <w:b/>
                <w:color w:val="000000"/>
                <w:sz w:val="20"/>
                <w:szCs w:val="20"/>
              </w:rPr>
            </w:pPr>
            <w:r w:rsidRPr="00F901FE">
              <w:rPr>
                <w:rFonts w:ascii="Times New Roman" w:hAnsi="Times New Roman" w:cs="Times New Roman"/>
                <w:b/>
                <w:color w:val="000000"/>
                <w:sz w:val="20"/>
                <w:szCs w:val="20"/>
              </w:rPr>
              <w:t>Neoclassical</w:t>
            </w:r>
          </w:p>
        </w:tc>
        <w:tc>
          <w:tcPr>
            <w:tcW w:w="842" w:type="dxa"/>
            <w:tcBorders>
              <w:top w:val="single" w:sz="18" w:space="0" w:color="7F7F7F" w:themeColor="text1" w:themeTint="80"/>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single" w:sz="18" w:space="0" w:color="7F7F7F" w:themeColor="text1" w:themeTint="80"/>
              <w:left w:val="nil"/>
              <w:bottom w:val="nil"/>
              <w:right w:val="single" w:sz="4" w:space="0" w:color="auto"/>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single" w:sz="18" w:space="0" w:color="7F7F7F" w:themeColor="text1" w:themeTint="80"/>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single" w:sz="18" w:space="0" w:color="7F7F7F" w:themeColor="text1" w:themeTint="80"/>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single" w:sz="18" w:space="0" w:color="7F7F7F" w:themeColor="text1" w:themeTint="80"/>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single" w:sz="18" w:space="0" w:color="7F7F7F" w:themeColor="text1" w:themeTint="80"/>
              <w:left w:val="nil"/>
              <w:bottom w:val="nil"/>
              <w:right w:val="single" w:sz="4" w:space="0" w:color="auto"/>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single" w:sz="18" w:space="0" w:color="7F7F7F" w:themeColor="text1" w:themeTint="80"/>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31" w:type="dxa"/>
            <w:tcBorders>
              <w:top w:val="single" w:sz="18" w:space="0" w:color="7F7F7F" w:themeColor="text1" w:themeTint="80"/>
              <w:left w:val="nil"/>
              <w:bottom w:val="nil"/>
              <w:right w:val="nil"/>
            </w:tcBorders>
          </w:tcPr>
          <w:p w:rsidR="002D1458" w:rsidRPr="00DD5C80" w:rsidRDefault="002D1458" w:rsidP="001E7F73">
            <w:pPr>
              <w:pStyle w:val="ListParagraph"/>
              <w:tabs>
                <w:tab w:val="decimal" w:pos="339"/>
              </w:tabs>
              <w:spacing w:before="0"/>
              <w:ind w:left="0"/>
              <w:contextualSpacing w:val="0"/>
              <w:rPr>
                <w:rFonts w:ascii="Times New Roman" w:hAnsi="Times New Roman" w:cs="Times New Roman"/>
                <w:sz w:val="20"/>
                <w:szCs w:val="20"/>
              </w:rPr>
            </w:pPr>
          </w:p>
        </w:tc>
      </w:tr>
      <w:tr w:rsidR="002D1458" w:rsidRPr="00857A94"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National </w:t>
            </w:r>
          </w:p>
        </w:tc>
        <w:tc>
          <w:tcPr>
            <w:tcW w:w="842" w:type="dxa"/>
            <w:tcBorders>
              <w:top w:val="nil"/>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nil"/>
              <w:left w:val="nil"/>
              <w:bottom w:val="nil"/>
              <w:right w:val="single" w:sz="4" w:space="0" w:color="auto"/>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nil"/>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nil"/>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nil"/>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nil"/>
              <w:left w:val="nil"/>
              <w:bottom w:val="nil"/>
              <w:right w:val="single" w:sz="4" w:space="0" w:color="auto"/>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nil"/>
              <w:left w:val="single" w:sz="4" w:space="0" w:color="auto"/>
              <w:bottom w:val="nil"/>
              <w:right w:val="nil"/>
            </w:tcBorders>
            <w:vAlign w:val="bottom"/>
          </w:tcPr>
          <w:p w:rsidR="002D1458" w:rsidRPr="00DD5C80" w:rsidRDefault="002D1458" w:rsidP="001E7F73">
            <w:pPr>
              <w:tabs>
                <w:tab w:val="decimal" w:pos="339"/>
              </w:tabs>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DD5C80" w:rsidRDefault="002D1458" w:rsidP="001E7F73">
            <w:pPr>
              <w:tabs>
                <w:tab w:val="decimal" w:pos="339"/>
              </w:tabs>
              <w:spacing w:before="0"/>
              <w:rPr>
                <w:rFonts w:ascii="Times New Roman" w:hAnsi="Times New Roman" w:cs="Times New Roman"/>
                <w:color w:val="000000"/>
                <w:sz w:val="20"/>
                <w:szCs w:val="20"/>
              </w:rPr>
            </w:pPr>
          </w:p>
        </w:tc>
      </w:tr>
      <w:tr w:rsidR="002D1458" w:rsidTr="001E7F73">
        <w:trPr>
          <w:trHeight w:val="305"/>
        </w:trPr>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1</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GDP</w:t>
            </w:r>
          </w:p>
        </w:tc>
        <w:tc>
          <w:tcPr>
            <w:tcW w:w="84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0.46</w:t>
            </w:r>
          </w:p>
        </w:tc>
        <w:tc>
          <w:tcPr>
            <w:tcW w:w="91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-0.005</w:t>
            </w:r>
          </w:p>
        </w:tc>
        <w:tc>
          <w:tcPr>
            <w:tcW w:w="82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0.48</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0.001</w:t>
            </w:r>
          </w:p>
        </w:tc>
        <w:tc>
          <w:tcPr>
            <w:tcW w:w="82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0.46</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0.013</w:t>
            </w:r>
          </w:p>
        </w:tc>
        <w:tc>
          <w:tcPr>
            <w:tcW w:w="83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0.46</w:t>
            </w:r>
          </w:p>
        </w:tc>
        <w:tc>
          <w:tcPr>
            <w:tcW w:w="904"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0.010</w:t>
            </w:r>
          </w:p>
        </w:tc>
        <w:tc>
          <w:tcPr>
            <w:tcW w:w="916"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0.46</w:t>
            </w:r>
          </w:p>
        </w:tc>
        <w:tc>
          <w:tcPr>
            <w:tcW w:w="931" w:type="dxa"/>
            <w:tcBorders>
              <w:top w:val="nil"/>
              <w:left w:val="nil"/>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0.005</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0.87</w:t>
            </w:r>
          </w:p>
        </w:tc>
        <w:tc>
          <w:tcPr>
            <w:tcW w:w="91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-0.008</w:t>
            </w:r>
          </w:p>
        </w:tc>
        <w:tc>
          <w:tcPr>
            <w:tcW w:w="82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0.89</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-0.002</w:t>
            </w:r>
          </w:p>
        </w:tc>
        <w:tc>
          <w:tcPr>
            <w:tcW w:w="82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0.85</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0.007</w:t>
            </w:r>
          </w:p>
        </w:tc>
        <w:tc>
          <w:tcPr>
            <w:tcW w:w="83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0.85</w:t>
            </w:r>
          </w:p>
        </w:tc>
        <w:tc>
          <w:tcPr>
            <w:tcW w:w="904"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0.005</w:t>
            </w:r>
          </w:p>
        </w:tc>
        <w:tc>
          <w:tcPr>
            <w:tcW w:w="916"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0.86</w:t>
            </w:r>
          </w:p>
        </w:tc>
        <w:tc>
          <w:tcPr>
            <w:tcW w:w="931" w:type="dxa"/>
            <w:tcBorders>
              <w:top w:val="nil"/>
              <w:left w:val="nil"/>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0.001</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3a</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0.05 discount rate</w:t>
            </w:r>
          </w:p>
        </w:tc>
        <w:tc>
          <w:tcPr>
            <w:tcW w:w="84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-0.005</w:t>
            </w:r>
          </w:p>
        </w:tc>
        <w:tc>
          <w:tcPr>
            <w:tcW w:w="82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-0.006</w:t>
            </w:r>
          </w:p>
        </w:tc>
        <w:tc>
          <w:tcPr>
            <w:tcW w:w="82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-0.005</w:t>
            </w:r>
          </w:p>
        </w:tc>
        <w:tc>
          <w:tcPr>
            <w:tcW w:w="83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-0.004</w:t>
            </w:r>
          </w:p>
        </w:tc>
        <w:tc>
          <w:tcPr>
            <w:tcW w:w="916"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-0.005</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3b</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0.02 discount rate</w:t>
            </w:r>
          </w:p>
        </w:tc>
        <w:tc>
          <w:tcPr>
            <w:tcW w:w="84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-0.008</w:t>
            </w:r>
          </w:p>
        </w:tc>
        <w:tc>
          <w:tcPr>
            <w:tcW w:w="82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-0.009</w:t>
            </w:r>
          </w:p>
        </w:tc>
        <w:tc>
          <w:tcPr>
            <w:tcW w:w="82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-0.008</w:t>
            </w:r>
          </w:p>
        </w:tc>
        <w:tc>
          <w:tcPr>
            <w:tcW w:w="83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-0.007</w:t>
            </w:r>
          </w:p>
        </w:tc>
        <w:tc>
          <w:tcPr>
            <w:tcW w:w="916"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-0.008</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Target region </w:t>
            </w:r>
          </w:p>
        </w:tc>
        <w:tc>
          <w:tcPr>
            <w:tcW w:w="84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82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82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83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16"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4</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GRP</w:t>
            </w:r>
          </w:p>
        </w:tc>
        <w:tc>
          <w:tcPr>
            <w:tcW w:w="84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0.21</w:t>
            </w:r>
          </w:p>
        </w:tc>
        <w:tc>
          <w:tcPr>
            <w:tcW w:w="91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0.003</w:t>
            </w:r>
          </w:p>
        </w:tc>
        <w:tc>
          <w:tcPr>
            <w:tcW w:w="82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0.19</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0.003</w:t>
            </w:r>
          </w:p>
        </w:tc>
        <w:tc>
          <w:tcPr>
            <w:tcW w:w="82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0.20</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0.001</w:t>
            </w:r>
          </w:p>
        </w:tc>
        <w:tc>
          <w:tcPr>
            <w:tcW w:w="83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0.26</w:t>
            </w:r>
          </w:p>
        </w:tc>
        <w:tc>
          <w:tcPr>
            <w:tcW w:w="904"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0.004</w:t>
            </w:r>
          </w:p>
        </w:tc>
        <w:tc>
          <w:tcPr>
            <w:tcW w:w="916"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0.21</w:t>
            </w:r>
          </w:p>
        </w:tc>
        <w:tc>
          <w:tcPr>
            <w:tcW w:w="931" w:type="dxa"/>
            <w:tcBorders>
              <w:top w:val="nil"/>
              <w:left w:val="nil"/>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0.002</w:t>
            </w:r>
          </w:p>
        </w:tc>
      </w:tr>
      <w:tr w:rsidR="002D1458" w:rsidTr="001E7F73">
        <w:tc>
          <w:tcPr>
            <w:tcW w:w="495" w:type="dxa"/>
            <w:tcBorders>
              <w:top w:val="nil"/>
              <w:left w:val="nil"/>
              <w:bottom w:val="single" w:sz="18" w:space="0" w:color="7F7F7F" w:themeColor="text1" w:themeTint="80"/>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5</w:t>
            </w:r>
          </w:p>
        </w:tc>
        <w:tc>
          <w:tcPr>
            <w:tcW w:w="3150" w:type="dxa"/>
            <w:tcBorders>
              <w:top w:val="nil"/>
              <w:left w:val="nil"/>
              <w:bottom w:val="single" w:sz="18" w:space="0" w:color="7F7F7F" w:themeColor="text1" w:themeTint="80"/>
              <w:right w:val="single" w:sz="4" w:space="0" w:color="000000" w:themeColor="text1"/>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000000" w:themeColor="text1"/>
              <w:bottom w:val="single" w:sz="18" w:space="0" w:color="7F7F7F" w:themeColor="text1" w:themeTint="80"/>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0.44</w:t>
            </w:r>
          </w:p>
        </w:tc>
        <w:tc>
          <w:tcPr>
            <w:tcW w:w="910" w:type="dxa"/>
            <w:tcBorders>
              <w:top w:val="nil"/>
              <w:left w:val="nil"/>
              <w:bottom w:val="single" w:sz="18" w:space="0" w:color="7F7F7F" w:themeColor="text1" w:themeTint="80"/>
              <w:right w:val="single" w:sz="4" w:space="0" w:color="000000" w:themeColor="text1"/>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-0.005</w:t>
            </w:r>
          </w:p>
        </w:tc>
        <w:tc>
          <w:tcPr>
            <w:tcW w:w="821" w:type="dxa"/>
            <w:tcBorders>
              <w:top w:val="nil"/>
              <w:left w:val="single" w:sz="4" w:space="0" w:color="000000" w:themeColor="text1"/>
              <w:bottom w:val="single" w:sz="18" w:space="0" w:color="7F7F7F" w:themeColor="text1" w:themeTint="80"/>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0.35</w:t>
            </w:r>
          </w:p>
        </w:tc>
        <w:tc>
          <w:tcPr>
            <w:tcW w:w="900" w:type="dxa"/>
            <w:tcBorders>
              <w:top w:val="nil"/>
              <w:left w:val="nil"/>
              <w:bottom w:val="single" w:sz="18" w:space="0" w:color="7F7F7F" w:themeColor="text1" w:themeTint="80"/>
              <w:right w:val="single" w:sz="4" w:space="0" w:color="000000" w:themeColor="text1"/>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-0.002</w:t>
            </w:r>
          </w:p>
        </w:tc>
        <w:tc>
          <w:tcPr>
            <w:tcW w:w="822" w:type="dxa"/>
            <w:tcBorders>
              <w:top w:val="nil"/>
              <w:left w:val="single" w:sz="4" w:space="0" w:color="000000" w:themeColor="text1"/>
              <w:bottom w:val="single" w:sz="18" w:space="0" w:color="7F7F7F" w:themeColor="text1" w:themeTint="80"/>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0.35</w:t>
            </w:r>
          </w:p>
        </w:tc>
        <w:tc>
          <w:tcPr>
            <w:tcW w:w="900" w:type="dxa"/>
            <w:tcBorders>
              <w:top w:val="nil"/>
              <w:left w:val="nil"/>
              <w:bottom w:val="single" w:sz="18" w:space="0" w:color="7F7F7F" w:themeColor="text1" w:themeTint="80"/>
              <w:right w:val="single" w:sz="4" w:space="0" w:color="000000" w:themeColor="text1"/>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-0.003</w:t>
            </w:r>
          </w:p>
        </w:tc>
        <w:tc>
          <w:tcPr>
            <w:tcW w:w="831" w:type="dxa"/>
            <w:tcBorders>
              <w:top w:val="nil"/>
              <w:left w:val="single" w:sz="4" w:space="0" w:color="000000" w:themeColor="text1"/>
              <w:bottom w:val="single" w:sz="18" w:space="0" w:color="7F7F7F" w:themeColor="text1" w:themeTint="80"/>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0.48</w:t>
            </w:r>
          </w:p>
        </w:tc>
        <w:tc>
          <w:tcPr>
            <w:tcW w:w="904" w:type="dxa"/>
            <w:tcBorders>
              <w:top w:val="nil"/>
              <w:left w:val="nil"/>
              <w:bottom w:val="single" w:sz="18" w:space="0" w:color="7F7F7F" w:themeColor="text1" w:themeTint="80"/>
              <w:right w:val="single" w:sz="4" w:space="0" w:color="000000" w:themeColor="text1"/>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-0.003</w:t>
            </w:r>
          </w:p>
        </w:tc>
        <w:tc>
          <w:tcPr>
            <w:tcW w:w="916" w:type="dxa"/>
            <w:tcBorders>
              <w:top w:val="nil"/>
              <w:left w:val="single" w:sz="4" w:space="0" w:color="000000" w:themeColor="text1"/>
              <w:bottom w:val="single" w:sz="18" w:space="0" w:color="7F7F7F" w:themeColor="text1" w:themeTint="80"/>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0.40</w:t>
            </w:r>
          </w:p>
        </w:tc>
        <w:tc>
          <w:tcPr>
            <w:tcW w:w="931" w:type="dxa"/>
            <w:tcBorders>
              <w:top w:val="nil"/>
              <w:left w:val="nil"/>
              <w:bottom w:val="single" w:sz="18" w:space="0" w:color="7F7F7F" w:themeColor="text1" w:themeTint="80"/>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-0.003</w:t>
            </w:r>
          </w:p>
        </w:tc>
      </w:tr>
    </w:tbl>
    <w:p w:rsidR="002D1458" w:rsidRDefault="002D1458" w:rsidP="002D1458">
      <w:pPr>
        <w:pStyle w:val="ListParagraph"/>
        <w:ind w:left="900" w:hanging="900"/>
        <w:contextualSpacing w:val="0"/>
        <w:rPr>
          <w:rFonts w:ascii="Times New Roman" w:hAnsi="Times New Roman" w:cs="Times New Roman"/>
          <w:b/>
          <w:sz w:val="24"/>
          <w:szCs w:val="24"/>
        </w:rPr>
      </w:pPr>
      <w:r>
        <w:rPr>
          <w:rFonts w:ascii="Times New Roman" w:hAnsi="Times New Roman" w:cs="Times New Roman"/>
          <w:b/>
          <w:sz w:val="24"/>
          <w:szCs w:val="24"/>
        </w:rPr>
        <w:t xml:space="preserve">Relevant variables.  </w:t>
      </w:r>
    </w:p>
    <w:p w:rsidR="002D1458" w:rsidRDefault="002D1458" w:rsidP="002D1458">
      <w:pPr>
        <w:pStyle w:val="ListParagraph"/>
        <w:ind w:left="900" w:hanging="900"/>
        <w:contextualSpacing w:val="0"/>
        <w:rPr>
          <w:rFonts w:ascii="Times New Roman" w:hAnsi="Times New Roman" w:cs="Times New Roman"/>
          <w:sz w:val="24"/>
          <w:szCs w:val="24"/>
        </w:rPr>
      </w:pPr>
      <w:r w:rsidRPr="00D21E8E">
        <w:rPr>
          <w:rFonts w:ascii="Times New Roman" w:hAnsi="Times New Roman" w:cs="Times New Roman"/>
          <w:b/>
          <w:i/>
          <w:sz w:val="24"/>
          <w:szCs w:val="24"/>
        </w:rPr>
        <w:t xml:space="preserve">National: </w:t>
      </w:r>
      <w:r>
        <w:rPr>
          <w:rFonts w:ascii="Times New Roman" w:hAnsi="Times New Roman" w:cs="Times New Roman"/>
          <w:b/>
          <w:i/>
          <w:sz w:val="24"/>
          <w:szCs w:val="24"/>
        </w:rPr>
        <w:t xml:space="preserve"> </w:t>
      </w:r>
      <w:r>
        <w:rPr>
          <w:rFonts w:ascii="Times New Roman" w:hAnsi="Times New Roman" w:cs="Times New Roman"/>
          <w:sz w:val="24"/>
          <w:szCs w:val="24"/>
        </w:rPr>
        <w:t xml:space="preserve">Public health expenditure in </w:t>
      </w:r>
      <w:r w:rsidR="0010392C">
        <w:rPr>
          <w:rFonts w:ascii="Times New Roman" w:hAnsi="Times New Roman" w:cs="Times New Roman"/>
          <w:sz w:val="24"/>
          <w:szCs w:val="24"/>
        </w:rPr>
        <w:t>T</w:t>
      </w:r>
      <w:r>
        <w:rPr>
          <w:rFonts w:ascii="Times New Roman" w:hAnsi="Times New Roman" w:cs="Times New Roman"/>
          <w:sz w:val="24"/>
          <w:szCs w:val="24"/>
        </w:rPr>
        <w:t>arget city as share of national GDP</w:t>
      </w:r>
    </w:p>
    <w:p w:rsidR="002D1458" w:rsidRDefault="002D1458" w:rsidP="002D1458">
      <w:pPr>
        <w:pStyle w:val="ListParagraph"/>
        <w:ind w:left="900" w:hanging="900"/>
        <w:contextualSpacing w:val="0"/>
        <w:rPr>
          <w:rFonts w:ascii="Times New Roman" w:hAnsi="Times New Roman" w:cs="Times New Roman"/>
          <w:b/>
          <w:sz w:val="24"/>
          <w:szCs w:val="24"/>
        </w:rPr>
      </w:pPr>
      <w:r>
        <w:rPr>
          <w:rFonts w:ascii="Times New Roman" w:hAnsi="Times New Roman" w:cs="Times New Roman"/>
          <w:b/>
          <w:i/>
          <w:sz w:val="24"/>
          <w:szCs w:val="24"/>
        </w:rPr>
        <w:t>Regional:</w:t>
      </w:r>
      <w:r>
        <w:rPr>
          <w:rFonts w:ascii="Times New Roman" w:hAnsi="Times New Roman" w:cs="Times New Roman"/>
          <w:sz w:val="24"/>
          <w:szCs w:val="24"/>
        </w:rPr>
        <w:t xml:space="preserve">  {Public health expenditure in </w:t>
      </w:r>
      <w:r w:rsidR="0010392C">
        <w:rPr>
          <w:rFonts w:ascii="Times New Roman" w:hAnsi="Times New Roman" w:cs="Times New Roman"/>
          <w:sz w:val="24"/>
          <w:szCs w:val="24"/>
        </w:rPr>
        <w:t>T</w:t>
      </w:r>
      <w:r>
        <w:rPr>
          <w:rFonts w:ascii="Times New Roman" w:hAnsi="Times New Roman" w:cs="Times New Roman"/>
          <w:sz w:val="24"/>
          <w:szCs w:val="24"/>
        </w:rPr>
        <w:t xml:space="preserve">arget city </w:t>
      </w:r>
      <w:r w:rsidRPr="00C6496D">
        <w:rPr>
          <w:rFonts w:ascii="Times New Roman" w:hAnsi="Times New Roman" w:cs="Times New Roman"/>
          <w:i/>
          <w:sz w:val="24"/>
          <w:szCs w:val="24"/>
        </w:rPr>
        <w:t>times</w:t>
      </w:r>
      <w:r>
        <w:rPr>
          <w:rFonts w:ascii="Times New Roman" w:hAnsi="Times New Roman" w:cs="Times New Roman"/>
          <w:sz w:val="24"/>
          <w:szCs w:val="24"/>
        </w:rPr>
        <w:t xml:space="preserve"> share of target region in supplying health services to </w:t>
      </w:r>
      <w:r w:rsidR="0010392C">
        <w:rPr>
          <w:rFonts w:ascii="Times New Roman" w:hAnsi="Times New Roman" w:cs="Times New Roman"/>
          <w:sz w:val="24"/>
          <w:szCs w:val="24"/>
        </w:rPr>
        <w:t>T</w:t>
      </w:r>
      <w:r>
        <w:rPr>
          <w:rFonts w:ascii="Times New Roman" w:hAnsi="Times New Roman" w:cs="Times New Roman"/>
          <w:sz w:val="24"/>
          <w:szCs w:val="24"/>
        </w:rPr>
        <w:t xml:space="preserve">arget city} </w:t>
      </w:r>
      <w:r w:rsidRPr="00C6496D">
        <w:rPr>
          <w:rFonts w:ascii="Times New Roman" w:hAnsi="Times New Roman" w:cs="Times New Roman"/>
          <w:i/>
          <w:sz w:val="24"/>
          <w:szCs w:val="24"/>
        </w:rPr>
        <w:t>divided</w:t>
      </w:r>
      <w:r>
        <w:rPr>
          <w:rFonts w:ascii="Times New Roman" w:hAnsi="Times New Roman" w:cs="Times New Roman"/>
          <w:sz w:val="24"/>
          <w:szCs w:val="24"/>
        </w:rPr>
        <w:t xml:space="preserve"> </w:t>
      </w:r>
      <w:r w:rsidRPr="00C6496D">
        <w:rPr>
          <w:rFonts w:ascii="Times New Roman" w:hAnsi="Times New Roman" w:cs="Times New Roman"/>
          <w:i/>
          <w:sz w:val="24"/>
          <w:szCs w:val="24"/>
        </w:rPr>
        <w:t>by</w:t>
      </w:r>
      <w:r>
        <w:rPr>
          <w:rFonts w:ascii="Times New Roman" w:hAnsi="Times New Roman" w:cs="Times New Roman"/>
          <w:sz w:val="24"/>
          <w:szCs w:val="24"/>
        </w:rPr>
        <w:t xml:space="preserve"> GRP of target region  </w:t>
      </w:r>
      <w:r>
        <w:rPr>
          <w:rFonts w:ascii="Times New Roman" w:hAnsi="Times New Roman" w:cs="Times New Roman"/>
          <w:b/>
          <w:sz w:val="24"/>
          <w:szCs w:val="24"/>
        </w:rPr>
        <w:br w:type="page"/>
      </w:r>
    </w:p>
    <w:p w:rsidR="002D1458" w:rsidRPr="00BC333D" w:rsidRDefault="002D1458" w:rsidP="002D1458">
      <w:pPr>
        <w:pStyle w:val="ListParagraph"/>
        <w:ind w:left="900" w:hanging="900"/>
        <w:contextualSpacing w:val="0"/>
        <w:jc w:val="center"/>
        <w:rPr>
          <w:rFonts w:ascii="Times New Roman" w:hAnsi="Times New Roman" w:cs="Times New Roman"/>
          <w:b/>
          <w:i/>
          <w:sz w:val="24"/>
          <w:szCs w:val="24"/>
        </w:rPr>
      </w:pPr>
      <w:r w:rsidRPr="00BC333D">
        <w:rPr>
          <w:rFonts w:ascii="Times New Roman" w:hAnsi="Times New Roman" w:cs="Times New Roman"/>
          <w:b/>
          <w:i/>
          <w:sz w:val="24"/>
          <w:szCs w:val="24"/>
        </w:rPr>
        <w:lastRenderedPageBreak/>
        <w:t xml:space="preserve">Table A5.  Coefficients, C(s,v), for temporary accommodation expenses in </w:t>
      </w:r>
      <w:r w:rsidR="0010392C" w:rsidRPr="00BC333D">
        <w:rPr>
          <w:rFonts w:ascii="Times New Roman" w:hAnsi="Times New Roman" w:cs="Times New Roman"/>
          <w:b/>
          <w:i/>
          <w:sz w:val="24"/>
          <w:szCs w:val="24"/>
        </w:rPr>
        <w:t>T</w:t>
      </w:r>
      <w:r w:rsidRPr="00BC333D">
        <w:rPr>
          <w:rFonts w:ascii="Times New Roman" w:hAnsi="Times New Roman" w:cs="Times New Roman"/>
          <w:b/>
          <w:i/>
          <w:sz w:val="24"/>
          <w:szCs w:val="24"/>
        </w:rPr>
        <w:t xml:space="preserve">arget city (s=5)  </w:t>
      </w:r>
    </w:p>
    <w:tbl>
      <w:tblPr>
        <w:tblStyle w:val="TableGrid"/>
        <w:tblW w:w="12422" w:type="dxa"/>
        <w:tblInd w:w="900" w:type="dxa"/>
        <w:tblLook w:val="04A0" w:firstRow="1" w:lastRow="0" w:firstColumn="1" w:lastColumn="0" w:noHBand="0" w:noVBand="1"/>
      </w:tblPr>
      <w:tblGrid>
        <w:gridCol w:w="495"/>
        <w:gridCol w:w="3150"/>
        <w:gridCol w:w="842"/>
        <w:gridCol w:w="910"/>
        <w:gridCol w:w="821"/>
        <w:gridCol w:w="900"/>
        <w:gridCol w:w="822"/>
        <w:gridCol w:w="900"/>
        <w:gridCol w:w="831"/>
        <w:gridCol w:w="904"/>
        <w:gridCol w:w="916"/>
        <w:gridCol w:w="931"/>
      </w:tblGrid>
      <w:tr w:rsidR="002D1458" w:rsidRPr="00E27213" w:rsidTr="001E7F73">
        <w:tc>
          <w:tcPr>
            <w:tcW w:w="495" w:type="dxa"/>
            <w:tcBorders>
              <w:top w:val="single" w:sz="18" w:space="0" w:color="7F7F7F" w:themeColor="text1" w:themeTint="80"/>
              <w:left w:val="nil"/>
              <w:bottom w:val="nil"/>
              <w:right w:val="nil"/>
            </w:tcBorders>
            <w:vAlign w:val="bottom"/>
          </w:tcPr>
          <w:p w:rsidR="002D1458" w:rsidRPr="00E27213" w:rsidRDefault="002D1458" w:rsidP="001E7F73">
            <w:pPr>
              <w:spacing w:before="0"/>
              <w:rPr>
                <w:rFonts w:ascii="Times New Roman" w:hAnsi="Times New Roman" w:cs="Times New Roman"/>
                <w:color w:val="000000"/>
                <w:sz w:val="20"/>
                <w:szCs w:val="20"/>
              </w:rPr>
            </w:pPr>
          </w:p>
        </w:tc>
        <w:tc>
          <w:tcPr>
            <w:tcW w:w="3150" w:type="dxa"/>
            <w:tcBorders>
              <w:top w:val="single" w:sz="18" w:space="0" w:color="7F7F7F" w:themeColor="text1" w:themeTint="80"/>
              <w:left w:val="nil"/>
              <w:bottom w:val="nil"/>
            </w:tcBorders>
            <w:vAlign w:val="center"/>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Target region (d)</w:t>
            </w:r>
          </w:p>
        </w:tc>
        <w:tc>
          <w:tcPr>
            <w:tcW w:w="1752"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FL24</w:t>
            </w:r>
          </w:p>
        </w:tc>
        <w:tc>
          <w:tcPr>
            <w:tcW w:w="1721"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AZ07</w:t>
            </w:r>
          </w:p>
        </w:tc>
        <w:tc>
          <w:tcPr>
            <w:tcW w:w="1722"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NY14</w:t>
            </w:r>
          </w:p>
        </w:tc>
        <w:tc>
          <w:tcPr>
            <w:tcW w:w="1735"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WA09</w:t>
            </w:r>
          </w:p>
        </w:tc>
        <w:tc>
          <w:tcPr>
            <w:tcW w:w="1847" w:type="dxa"/>
            <w:gridSpan w:val="2"/>
            <w:tcBorders>
              <w:top w:val="single" w:sz="18" w:space="0" w:color="7F7F7F" w:themeColor="text1" w:themeTint="80"/>
              <w:right w:val="nil"/>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Average</w:t>
            </w:r>
          </w:p>
        </w:tc>
      </w:tr>
      <w:tr w:rsidR="002D1458" w:rsidRPr="00E27213" w:rsidTr="001E7F73">
        <w:tc>
          <w:tcPr>
            <w:tcW w:w="495" w:type="dxa"/>
            <w:tcBorders>
              <w:top w:val="nil"/>
              <w:left w:val="nil"/>
              <w:bottom w:val="single" w:sz="18" w:space="0" w:color="7F7F7F" w:themeColor="text1" w:themeTint="80"/>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single" w:sz="18" w:space="0" w:color="7F7F7F" w:themeColor="text1" w:themeTint="80"/>
            </w:tcBorders>
            <w:vAlign w:val="bottom"/>
          </w:tcPr>
          <w:p w:rsidR="002D1458" w:rsidRPr="00E27213" w:rsidRDefault="002D1458" w:rsidP="001E7F73">
            <w:pPr>
              <w:spacing w:before="0"/>
              <w:rPr>
                <w:rFonts w:ascii="Times New Roman" w:hAnsi="Times New Roman" w:cs="Times New Roman"/>
                <w:color w:val="000000"/>
                <w:sz w:val="20"/>
                <w:szCs w:val="20"/>
              </w:rPr>
            </w:pPr>
            <w:r w:rsidRPr="00E27213">
              <w:rPr>
                <w:rFonts w:ascii="Times New Roman" w:hAnsi="Times New Roman" w:cs="Times New Roman"/>
                <w:color w:val="000000"/>
                <w:sz w:val="20"/>
                <w:szCs w:val="20"/>
              </w:rPr>
              <w:t>Implication variables (s)</w:t>
            </w:r>
          </w:p>
        </w:tc>
        <w:tc>
          <w:tcPr>
            <w:tcW w:w="842"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1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21"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22"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31"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4"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916"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31" w:type="dxa"/>
            <w:tcBorders>
              <w:bottom w:val="single" w:sz="18" w:space="0" w:color="7F7F7F" w:themeColor="text1" w:themeTint="80"/>
              <w:right w:val="nil"/>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r>
      <w:tr w:rsidR="002D1458" w:rsidRPr="00F901FE" w:rsidTr="001E7F73">
        <w:tc>
          <w:tcPr>
            <w:tcW w:w="3645" w:type="dxa"/>
            <w:gridSpan w:val="2"/>
            <w:tcBorders>
              <w:top w:val="single" w:sz="18" w:space="0" w:color="7F7F7F" w:themeColor="text1" w:themeTint="80"/>
              <w:left w:val="nil"/>
              <w:bottom w:val="nil"/>
              <w:right w:val="single" w:sz="4" w:space="0" w:color="auto"/>
            </w:tcBorders>
          </w:tcPr>
          <w:p w:rsidR="002D1458" w:rsidRPr="00F901FE" w:rsidRDefault="002D1458" w:rsidP="001E7F73">
            <w:pPr>
              <w:spacing w:before="0"/>
              <w:rPr>
                <w:rFonts w:ascii="Times New Roman" w:hAnsi="Times New Roman" w:cs="Times New Roman"/>
                <w:b/>
                <w:color w:val="000000"/>
                <w:sz w:val="20"/>
                <w:szCs w:val="20"/>
              </w:rPr>
            </w:pPr>
            <w:r w:rsidRPr="00F901FE">
              <w:rPr>
                <w:rFonts w:ascii="Times New Roman" w:hAnsi="Times New Roman" w:cs="Times New Roman"/>
                <w:b/>
                <w:color w:val="000000"/>
                <w:sz w:val="20"/>
                <w:szCs w:val="20"/>
              </w:rPr>
              <w:t>Keynesian</w:t>
            </w:r>
          </w:p>
        </w:tc>
        <w:tc>
          <w:tcPr>
            <w:tcW w:w="842"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39"/>
              </w:tabs>
              <w:spacing w:before="0"/>
              <w:ind w:left="0"/>
              <w:contextualSpacing w:val="0"/>
              <w:rPr>
                <w:rFonts w:ascii="Times New Roman" w:hAnsi="Times New Roman" w:cs="Times New Roman"/>
                <w:sz w:val="20"/>
                <w:szCs w:val="20"/>
              </w:rPr>
            </w:pPr>
          </w:p>
        </w:tc>
        <w:tc>
          <w:tcPr>
            <w:tcW w:w="931" w:type="dxa"/>
            <w:tcBorders>
              <w:top w:val="single" w:sz="18" w:space="0" w:color="7F7F7F" w:themeColor="text1" w:themeTint="80"/>
              <w:left w:val="nil"/>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r>
      <w:tr w:rsidR="002D1458" w:rsidRPr="00F901FE"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National </w:t>
            </w:r>
          </w:p>
        </w:tc>
        <w:tc>
          <w:tcPr>
            <w:tcW w:w="842"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nil"/>
              <w:left w:val="single" w:sz="4" w:space="0" w:color="auto"/>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r>
      <w:tr w:rsidR="002D1458" w:rsidRPr="00C318B3" w:rsidTr="001E7F73">
        <w:trPr>
          <w:trHeight w:val="305"/>
        </w:trPr>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1</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GDP</w:t>
            </w:r>
          </w:p>
        </w:tc>
        <w:tc>
          <w:tcPr>
            <w:tcW w:w="84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1.54</w:t>
            </w:r>
          </w:p>
        </w:tc>
        <w:tc>
          <w:tcPr>
            <w:tcW w:w="91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0.042</w:t>
            </w:r>
          </w:p>
        </w:tc>
        <w:tc>
          <w:tcPr>
            <w:tcW w:w="82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1.55</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0.006</w:t>
            </w:r>
          </w:p>
        </w:tc>
        <w:tc>
          <w:tcPr>
            <w:tcW w:w="82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1.58</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0.007</w:t>
            </w:r>
          </w:p>
        </w:tc>
        <w:tc>
          <w:tcPr>
            <w:tcW w:w="83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1.56</w:t>
            </w:r>
          </w:p>
        </w:tc>
        <w:tc>
          <w:tcPr>
            <w:tcW w:w="904"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0.015</w:t>
            </w:r>
          </w:p>
        </w:tc>
        <w:tc>
          <w:tcPr>
            <w:tcW w:w="916"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1.56</w:t>
            </w:r>
          </w:p>
        </w:tc>
        <w:tc>
          <w:tcPr>
            <w:tcW w:w="931" w:type="dxa"/>
            <w:tcBorders>
              <w:top w:val="nil"/>
              <w:left w:val="nil"/>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0.018</w:t>
            </w:r>
          </w:p>
        </w:tc>
      </w:tr>
      <w:tr w:rsidR="002D1458" w:rsidRPr="00C318B3"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1.41</w:t>
            </w:r>
          </w:p>
        </w:tc>
        <w:tc>
          <w:tcPr>
            <w:tcW w:w="91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0.049</w:t>
            </w:r>
          </w:p>
        </w:tc>
        <w:tc>
          <w:tcPr>
            <w:tcW w:w="82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1.42</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0.006</w:t>
            </w:r>
          </w:p>
        </w:tc>
        <w:tc>
          <w:tcPr>
            <w:tcW w:w="82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1.46</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0.005</w:t>
            </w:r>
          </w:p>
        </w:tc>
        <w:tc>
          <w:tcPr>
            <w:tcW w:w="83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1.45</w:t>
            </w:r>
          </w:p>
        </w:tc>
        <w:tc>
          <w:tcPr>
            <w:tcW w:w="904"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0.019</w:t>
            </w:r>
          </w:p>
        </w:tc>
        <w:tc>
          <w:tcPr>
            <w:tcW w:w="916"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1.44</w:t>
            </w:r>
          </w:p>
        </w:tc>
        <w:tc>
          <w:tcPr>
            <w:tcW w:w="931" w:type="dxa"/>
            <w:tcBorders>
              <w:top w:val="nil"/>
              <w:left w:val="nil"/>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0.020</w:t>
            </w:r>
          </w:p>
        </w:tc>
      </w:tr>
      <w:tr w:rsidR="002D1458" w:rsidRPr="00C318B3"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3a</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0.05 discount rate</w:t>
            </w:r>
          </w:p>
        </w:tc>
        <w:tc>
          <w:tcPr>
            <w:tcW w:w="84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-0.006</w:t>
            </w:r>
          </w:p>
        </w:tc>
        <w:tc>
          <w:tcPr>
            <w:tcW w:w="82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-0.008</w:t>
            </w:r>
          </w:p>
        </w:tc>
        <w:tc>
          <w:tcPr>
            <w:tcW w:w="82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-0.006</w:t>
            </w:r>
          </w:p>
        </w:tc>
        <w:tc>
          <w:tcPr>
            <w:tcW w:w="83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-0.007</w:t>
            </w:r>
          </w:p>
        </w:tc>
        <w:tc>
          <w:tcPr>
            <w:tcW w:w="916"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-0.007</w:t>
            </w:r>
          </w:p>
        </w:tc>
      </w:tr>
      <w:tr w:rsidR="002D1458" w:rsidRPr="00C318B3"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3b</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0.02 discount rate</w:t>
            </w:r>
          </w:p>
        </w:tc>
        <w:tc>
          <w:tcPr>
            <w:tcW w:w="84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-0.010</w:t>
            </w:r>
          </w:p>
        </w:tc>
        <w:tc>
          <w:tcPr>
            <w:tcW w:w="82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-0.012</w:t>
            </w:r>
          </w:p>
        </w:tc>
        <w:tc>
          <w:tcPr>
            <w:tcW w:w="82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-0.011</w:t>
            </w:r>
          </w:p>
        </w:tc>
        <w:tc>
          <w:tcPr>
            <w:tcW w:w="83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-0.012</w:t>
            </w:r>
          </w:p>
        </w:tc>
        <w:tc>
          <w:tcPr>
            <w:tcW w:w="916"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-0.011</w:t>
            </w:r>
          </w:p>
        </w:tc>
      </w:tr>
      <w:tr w:rsidR="002D1458" w:rsidRPr="00C318B3"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Target region </w:t>
            </w:r>
          </w:p>
        </w:tc>
        <w:tc>
          <w:tcPr>
            <w:tcW w:w="84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82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82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83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16"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r>
      <w:tr w:rsidR="002D1458" w:rsidRPr="00C318B3"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4</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GRP</w:t>
            </w:r>
          </w:p>
        </w:tc>
        <w:tc>
          <w:tcPr>
            <w:tcW w:w="84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0.64</w:t>
            </w:r>
          </w:p>
        </w:tc>
        <w:tc>
          <w:tcPr>
            <w:tcW w:w="91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0.027</w:t>
            </w:r>
          </w:p>
        </w:tc>
        <w:tc>
          <w:tcPr>
            <w:tcW w:w="82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0.76</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0.016</w:t>
            </w:r>
          </w:p>
        </w:tc>
        <w:tc>
          <w:tcPr>
            <w:tcW w:w="82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1.01</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0.015</w:t>
            </w:r>
          </w:p>
        </w:tc>
        <w:tc>
          <w:tcPr>
            <w:tcW w:w="83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0.72</w:t>
            </w:r>
          </w:p>
        </w:tc>
        <w:tc>
          <w:tcPr>
            <w:tcW w:w="904"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0.014</w:t>
            </w:r>
          </w:p>
        </w:tc>
        <w:tc>
          <w:tcPr>
            <w:tcW w:w="916"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0.78</w:t>
            </w:r>
          </w:p>
        </w:tc>
        <w:tc>
          <w:tcPr>
            <w:tcW w:w="931" w:type="dxa"/>
            <w:tcBorders>
              <w:top w:val="nil"/>
              <w:left w:val="nil"/>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0.018</w:t>
            </w:r>
          </w:p>
        </w:tc>
      </w:tr>
      <w:tr w:rsidR="002D1458" w:rsidRPr="00C318B3"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5</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0.81</w:t>
            </w:r>
          </w:p>
        </w:tc>
        <w:tc>
          <w:tcPr>
            <w:tcW w:w="91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0.021</w:t>
            </w:r>
          </w:p>
        </w:tc>
        <w:tc>
          <w:tcPr>
            <w:tcW w:w="82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0.81</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0.009</w:t>
            </w:r>
          </w:p>
        </w:tc>
        <w:tc>
          <w:tcPr>
            <w:tcW w:w="82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1.03</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0.007</w:t>
            </w:r>
          </w:p>
        </w:tc>
        <w:tc>
          <w:tcPr>
            <w:tcW w:w="83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0.79</w:t>
            </w:r>
          </w:p>
        </w:tc>
        <w:tc>
          <w:tcPr>
            <w:tcW w:w="904"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0.008</w:t>
            </w:r>
          </w:p>
        </w:tc>
        <w:tc>
          <w:tcPr>
            <w:tcW w:w="916"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0.86</w:t>
            </w:r>
          </w:p>
        </w:tc>
        <w:tc>
          <w:tcPr>
            <w:tcW w:w="931" w:type="dxa"/>
            <w:tcBorders>
              <w:top w:val="nil"/>
              <w:left w:val="nil"/>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0.011</w:t>
            </w:r>
          </w:p>
        </w:tc>
      </w:tr>
      <w:tr w:rsidR="002D1458" w:rsidRPr="00857A94" w:rsidTr="001E7F73">
        <w:tc>
          <w:tcPr>
            <w:tcW w:w="3645" w:type="dxa"/>
            <w:gridSpan w:val="2"/>
            <w:tcBorders>
              <w:top w:val="single" w:sz="18" w:space="0" w:color="7F7F7F" w:themeColor="text1" w:themeTint="80"/>
              <w:left w:val="nil"/>
              <w:bottom w:val="nil"/>
              <w:right w:val="single" w:sz="4" w:space="0" w:color="auto"/>
            </w:tcBorders>
          </w:tcPr>
          <w:p w:rsidR="002D1458" w:rsidRPr="00F901FE" w:rsidRDefault="002D1458" w:rsidP="001E7F73">
            <w:pPr>
              <w:spacing w:before="0"/>
              <w:rPr>
                <w:rFonts w:ascii="Times New Roman" w:hAnsi="Times New Roman" w:cs="Times New Roman"/>
                <w:b/>
                <w:color w:val="000000"/>
                <w:sz w:val="20"/>
                <w:szCs w:val="20"/>
              </w:rPr>
            </w:pPr>
            <w:r w:rsidRPr="00F901FE">
              <w:rPr>
                <w:rFonts w:ascii="Times New Roman" w:hAnsi="Times New Roman" w:cs="Times New Roman"/>
                <w:b/>
                <w:color w:val="000000"/>
                <w:sz w:val="20"/>
                <w:szCs w:val="20"/>
              </w:rPr>
              <w:t>Neoclassical</w:t>
            </w:r>
          </w:p>
        </w:tc>
        <w:tc>
          <w:tcPr>
            <w:tcW w:w="842" w:type="dxa"/>
            <w:tcBorders>
              <w:top w:val="single" w:sz="18" w:space="0" w:color="7F7F7F" w:themeColor="text1" w:themeTint="80"/>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single" w:sz="18" w:space="0" w:color="7F7F7F" w:themeColor="text1" w:themeTint="80"/>
              <w:left w:val="nil"/>
              <w:bottom w:val="nil"/>
              <w:right w:val="single" w:sz="4" w:space="0" w:color="auto"/>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single" w:sz="18" w:space="0" w:color="7F7F7F" w:themeColor="text1" w:themeTint="80"/>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single" w:sz="18" w:space="0" w:color="7F7F7F" w:themeColor="text1" w:themeTint="80"/>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single" w:sz="18" w:space="0" w:color="7F7F7F" w:themeColor="text1" w:themeTint="80"/>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single" w:sz="18" w:space="0" w:color="7F7F7F" w:themeColor="text1" w:themeTint="80"/>
              <w:left w:val="nil"/>
              <w:bottom w:val="nil"/>
              <w:right w:val="single" w:sz="4" w:space="0" w:color="auto"/>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single" w:sz="18" w:space="0" w:color="7F7F7F" w:themeColor="text1" w:themeTint="80"/>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31" w:type="dxa"/>
            <w:tcBorders>
              <w:top w:val="single" w:sz="18" w:space="0" w:color="7F7F7F" w:themeColor="text1" w:themeTint="80"/>
              <w:left w:val="nil"/>
              <w:bottom w:val="nil"/>
              <w:right w:val="nil"/>
            </w:tcBorders>
          </w:tcPr>
          <w:p w:rsidR="002D1458" w:rsidRPr="00DD5C80" w:rsidRDefault="002D1458" w:rsidP="001E7F73">
            <w:pPr>
              <w:pStyle w:val="ListParagraph"/>
              <w:tabs>
                <w:tab w:val="decimal" w:pos="339"/>
              </w:tabs>
              <w:spacing w:before="0"/>
              <w:ind w:left="0"/>
              <w:contextualSpacing w:val="0"/>
              <w:rPr>
                <w:rFonts w:ascii="Times New Roman" w:hAnsi="Times New Roman" w:cs="Times New Roman"/>
                <w:sz w:val="20"/>
                <w:szCs w:val="20"/>
              </w:rPr>
            </w:pPr>
          </w:p>
        </w:tc>
      </w:tr>
      <w:tr w:rsidR="002D1458" w:rsidRPr="00857A94"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National </w:t>
            </w:r>
          </w:p>
        </w:tc>
        <w:tc>
          <w:tcPr>
            <w:tcW w:w="842" w:type="dxa"/>
            <w:tcBorders>
              <w:top w:val="nil"/>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nil"/>
              <w:left w:val="nil"/>
              <w:bottom w:val="nil"/>
              <w:right w:val="single" w:sz="4" w:space="0" w:color="auto"/>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nil"/>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nil"/>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nil"/>
              <w:left w:val="single" w:sz="4" w:space="0" w:color="auto"/>
              <w:bottom w:val="nil"/>
              <w:right w:val="nil"/>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nil"/>
              <w:left w:val="nil"/>
              <w:bottom w:val="nil"/>
              <w:right w:val="single" w:sz="4" w:space="0" w:color="auto"/>
            </w:tcBorders>
          </w:tcPr>
          <w:p w:rsidR="002D1458" w:rsidRPr="00DD5C80"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nil"/>
              <w:left w:val="single" w:sz="4" w:space="0" w:color="auto"/>
              <w:bottom w:val="nil"/>
              <w:right w:val="nil"/>
            </w:tcBorders>
            <w:vAlign w:val="bottom"/>
          </w:tcPr>
          <w:p w:rsidR="002D1458" w:rsidRPr="00DD5C80" w:rsidRDefault="002D1458" w:rsidP="001E7F73">
            <w:pPr>
              <w:tabs>
                <w:tab w:val="decimal" w:pos="339"/>
              </w:tabs>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DD5C80" w:rsidRDefault="002D1458" w:rsidP="001E7F73">
            <w:pPr>
              <w:tabs>
                <w:tab w:val="decimal" w:pos="339"/>
              </w:tabs>
              <w:spacing w:before="0"/>
              <w:rPr>
                <w:rFonts w:ascii="Times New Roman" w:hAnsi="Times New Roman" w:cs="Times New Roman"/>
                <w:color w:val="000000"/>
                <w:sz w:val="20"/>
                <w:szCs w:val="20"/>
              </w:rPr>
            </w:pPr>
          </w:p>
        </w:tc>
      </w:tr>
      <w:tr w:rsidR="002D1458" w:rsidTr="001E7F73">
        <w:trPr>
          <w:trHeight w:val="305"/>
        </w:trPr>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1</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GDP</w:t>
            </w:r>
          </w:p>
        </w:tc>
        <w:tc>
          <w:tcPr>
            <w:tcW w:w="84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0.43</w:t>
            </w:r>
          </w:p>
        </w:tc>
        <w:tc>
          <w:tcPr>
            <w:tcW w:w="91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-0.010</w:t>
            </w:r>
          </w:p>
        </w:tc>
        <w:tc>
          <w:tcPr>
            <w:tcW w:w="82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0.42</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-0.001</w:t>
            </w:r>
          </w:p>
        </w:tc>
        <w:tc>
          <w:tcPr>
            <w:tcW w:w="82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0.42</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0.008</w:t>
            </w:r>
          </w:p>
        </w:tc>
        <w:tc>
          <w:tcPr>
            <w:tcW w:w="83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0.41</w:t>
            </w:r>
          </w:p>
        </w:tc>
        <w:tc>
          <w:tcPr>
            <w:tcW w:w="904"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-0.007</w:t>
            </w:r>
          </w:p>
        </w:tc>
        <w:tc>
          <w:tcPr>
            <w:tcW w:w="916"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0.42</w:t>
            </w:r>
          </w:p>
        </w:tc>
        <w:tc>
          <w:tcPr>
            <w:tcW w:w="931" w:type="dxa"/>
            <w:tcBorders>
              <w:top w:val="nil"/>
              <w:left w:val="nil"/>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-0.002</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0.66</w:t>
            </w:r>
          </w:p>
        </w:tc>
        <w:tc>
          <w:tcPr>
            <w:tcW w:w="91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-0.012</w:t>
            </w:r>
          </w:p>
        </w:tc>
        <w:tc>
          <w:tcPr>
            <w:tcW w:w="82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0.65</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-0.005</w:t>
            </w:r>
          </w:p>
        </w:tc>
        <w:tc>
          <w:tcPr>
            <w:tcW w:w="82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0.64</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0.001</w:t>
            </w:r>
          </w:p>
        </w:tc>
        <w:tc>
          <w:tcPr>
            <w:tcW w:w="83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0.62</w:t>
            </w:r>
          </w:p>
        </w:tc>
        <w:tc>
          <w:tcPr>
            <w:tcW w:w="904"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-0.011</w:t>
            </w:r>
          </w:p>
        </w:tc>
        <w:tc>
          <w:tcPr>
            <w:tcW w:w="916"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0.64</w:t>
            </w:r>
          </w:p>
        </w:tc>
        <w:tc>
          <w:tcPr>
            <w:tcW w:w="931" w:type="dxa"/>
            <w:tcBorders>
              <w:top w:val="nil"/>
              <w:left w:val="nil"/>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-0.007</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3a</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0.05 discount rate</w:t>
            </w:r>
          </w:p>
        </w:tc>
        <w:tc>
          <w:tcPr>
            <w:tcW w:w="84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-0.011</w:t>
            </w:r>
          </w:p>
        </w:tc>
        <w:tc>
          <w:tcPr>
            <w:tcW w:w="82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-0.013</w:t>
            </w:r>
          </w:p>
        </w:tc>
        <w:tc>
          <w:tcPr>
            <w:tcW w:w="82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-0.011</w:t>
            </w:r>
          </w:p>
        </w:tc>
        <w:tc>
          <w:tcPr>
            <w:tcW w:w="83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-0.011</w:t>
            </w:r>
          </w:p>
        </w:tc>
        <w:tc>
          <w:tcPr>
            <w:tcW w:w="916"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-0.011</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3b</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0.02 discount rate</w:t>
            </w:r>
          </w:p>
        </w:tc>
        <w:tc>
          <w:tcPr>
            <w:tcW w:w="84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-0.016</w:t>
            </w:r>
          </w:p>
        </w:tc>
        <w:tc>
          <w:tcPr>
            <w:tcW w:w="82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-0.018</w:t>
            </w:r>
          </w:p>
        </w:tc>
        <w:tc>
          <w:tcPr>
            <w:tcW w:w="82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-0.016</w:t>
            </w:r>
          </w:p>
        </w:tc>
        <w:tc>
          <w:tcPr>
            <w:tcW w:w="83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-0.015</w:t>
            </w:r>
          </w:p>
        </w:tc>
        <w:tc>
          <w:tcPr>
            <w:tcW w:w="916"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-0.016</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Target region </w:t>
            </w:r>
          </w:p>
        </w:tc>
        <w:tc>
          <w:tcPr>
            <w:tcW w:w="84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82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822"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831"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16" w:type="dxa"/>
            <w:tcBorders>
              <w:top w:val="nil"/>
              <w:left w:val="single" w:sz="4" w:space="0" w:color="auto"/>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DD5C80" w:rsidRDefault="002D1458" w:rsidP="001E7F73">
            <w:pPr>
              <w:spacing w:before="0"/>
              <w:rPr>
                <w:rFonts w:ascii="Times New Roman" w:hAnsi="Times New Roman" w:cs="Times New Roman"/>
                <w:color w:val="000000"/>
                <w:sz w:val="20"/>
                <w:szCs w:val="20"/>
              </w:rPr>
            </w:pP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4</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GRP</w:t>
            </w:r>
          </w:p>
        </w:tc>
        <w:tc>
          <w:tcPr>
            <w:tcW w:w="84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0.42</w:t>
            </w:r>
          </w:p>
        </w:tc>
        <w:tc>
          <w:tcPr>
            <w:tcW w:w="91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0.032</w:t>
            </w:r>
          </w:p>
        </w:tc>
        <w:tc>
          <w:tcPr>
            <w:tcW w:w="82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0.33</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0.031</w:t>
            </w:r>
          </w:p>
        </w:tc>
        <w:tc>
          <w:tcPr>
            <w:tcW w:w="822"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0.43</w:t>
            </w:r>
          </w:p>
        </w:tc>
        <w:tc>
          <w:tcPr>
            <w:tcW w:w="900"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0.039</w:t>
            </w:r>
          </w:p>
        </w:tc>
        <w:tc>
          <w:tcPr>
            <w:tcW w:w="831"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0.31</w:t>
            </w:r>
          </w:p>
        </w:tc>
        <w:tc>
          <w:tcPr>
            <w:tcW w:w="904" w:type="dxa"/>
            <w:tcBorders>
              <w:top w:val="nil"/>
              <w:left w:val="nil"/>
              <w:bottom w:val="nil"/>
              <w:right w:val="single" w:sz="4" w:space="0" w:color="auto"/>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0.033</w:t>
            </w:r>
          </w:p>
        </w:tc>
        <w:tc>
          <w:tcPr>
            <w:tcW w:w="916" w:type="dxa"/>
            <w:tcBorders>
              <w:top w:val="nil"/>
              <w:left w:val="single" w:sz="4" w:space="0" w:color="auto"/>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0.37</w:t>
            </w:r>
          </w:p>
        </w:tc>
        <w:tc>
          <w:tcPr>
            <w:tcW w:w="931" w:type="dxa"/>
            <w:tcBorders>
              <w:top w:val="nil"/>
              <w:left w:val="nil"/>
              <w:bottom w:val="nil"/>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0.034</w:t>
            </w:r>
          </w:p>
        </w:tc>
      </w:tr>
      <w:tr w:rsidR="002D1458" w:rsidTr="001E7F73">
        <w:tc>
          <w:tcPr>
            <w:tcW w:w="495" w:type="dxa"/>
            <w:tcBorders>
              <w:top w:val="nil"/>
              <w:left w:val="nil"/>
              <w:bottom w:val="single" w:sz="18" w:space="0" w:color="7F7F7F" w:themeColor="text1" w:themeTint="80"/>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5</w:t>
            </w:r>
          </w:p>
        </w:tc>
        <w:tc>
          <w:tcPr>
            <w:tcW w:w="3150" w:type="dxa"/>
            <w:tcBorders>
              <w:top w:val="nil"/>
              <w:left w:val="nil"/>
              <w:bottom w:val="single" w:sz="18" w:space="0" w:color="7F7F7F" w:themeColor="text1" w:themeTint="80"/>
              <w:right w:val="single" w:sz="4" w:space="0" w:color="000000" w:themeColor="text1"/>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000000" w:themeColor="text1"/>
              <w:bottom w:val="single" w:sz="18" w:space="0" w:color="7F7F7F" w:themeColor="text1" w:themeTint="80"/>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0.71</w:t>
            </w:r>
          </w:p>
        </w:tc>
        <w:tc>
          <w:tcPr>
            <w:tcW w:w="910" w:type="dxa"/>
            <w:tcBorders>
              <w:top w:val="nil"/>
              <w:left w:val="nil"/>
              <w:bottom w:val="single" w:sz="18" w:space="0" w:color="7F7F7F" w:themeColor="text1" w:themeTint="80"/>
              <w:right w:val="single" w:sz="4" w:space="0" w:color="000000" w:themeColor="text1"/>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0.024</w:t>
            </w:r>
          </w:p>
        </w:tc>
        <w:tc>
          <w:tcPr>
            <w:tcW w:w="821" w:type="dxa"/>
            <w:tcBorders>
              <w:top w:val="nil"/>
              <w:left w:val="single" w:sz="4" w:space="0" w:color="000000" w:themeColor="text1"/>
              <w:bottom w:val="single" w:sz="18" w:space="0" w:color="7F7F7F" w:themeColor="text1" w:themeTint="80"/>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0.49</w:t>
            </w:r>
          </w:p>
        </w:tc>
        <w:tc>
          <w:tcPr>
            <w:tcW w:w="900" w:type="dxa"/>
            <w:tcBorders>
              <w:top w:val="nil"/>
              <w:left w:val="nil"/>
              <w:bottom w:val="single" w:sz="18" w:space="0" w:color="7F7F7F" w:themeColor="text1" w:themeTint="80"/>
              <w:right w:val="single" w:sz="4" w:space="0" w:color="000000" w:themeColor="text1"/>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0.015</w:t>
            </w:r>
          </w:p>
        </w:tc>
        <w:tc>
          <w:tcPr>
            <w:tcW w:w="822" w:type="dxa"/>
            <w:tcBorders>
              <w:top w:val="nil"/>
              <w:left w:val="single" w:sz="4" w:space="0" w:color="000000" w:themeColor="text1"/>
              <w:bottom w:val="single" w:sz="18" w:space="0" w:color="7F7F7F" w:themeColor="text1" w:themeTint="80"/>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0.61</w:t>
            </w:r>
          </w:p>
        </w:tc>
        <w:tc>
          <w:tcPr>
            <w:tcW w:w="900" w:type="dxa"/>
            <w:tcBorders>
              <w:top w:val="nil"/>
              <w:left w:val="nil"/>
              <w:bottom w:val="single" w:sz="18" w:space="0" w:color="7F7F7F" w:themeColor="text1" w:themeTint="80"/>
              <w:right w:val="single" w:sz="4" w:space="0" w:color="000000" w:themeColor="text1"/>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0.016</w:t>
            </w:r>
          </w:p>
        </w:tc>
        <w:tc>
          <w:tcPr>
            <w:tcW w:w="831" w:type="dxa"/>
            <w:tcBorders>
              <w:top w:val="nil"/>
              <w:left w:val="single" w:sz="4" w:space="0" w:color="000000" w:themeColor="text1"/>
              <w:bottom w:val="single" w:sz="18" w:space="0" w:color="7F7F7F" w:themeColor="text1" w:themeTint="80"/>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0.45</w:t>
            </w:r>
          </w:p>
        </w:tc>
        <w:tc>
          <w:tcPr>
            <w:tcW w:w="904" w:type="dxa"/>
            <w:tcBorders>
              <w:top w:val="nil"/>
              <w:left w:val="nil"/>
              <w:bottom w:val="single" w:sz="18" w:space="0" w:color="7F7F7F" w:themeColor="text1" w:themeTint="80"/>
              <w:right w:val="single" w:sz="4" w:space="0" w:color="000000" w:themeColor="text1"/>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0.017</w:t>
            </w:r>
          </w:p>
        </w:tc>
        <w:tc>
          <w:tcPr>
            <w:tcW w:w="916" w:type="dxa"/>
            <w:tcBorders>
              <w:top w:val="nil"/>
              <w:left w:val="single" w:sz="4" w:space="0" w:color="000000" w:themeColor="text1"/>
              <w:bottom w:val="single" w:sz="18" w:space="0" w:color="7F7F7F" w:themeColor="text1" w:themeTint="80"/>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0.57</w:t>
            </w:r>
          </w:p>
        </w:tc>
        <w:tc>
          <w:tcPr>
            <w:tcW w:w="931" w:type="dxa"/>
            <w:tcBorders>
              <w:top w:val="nil"/>
              <w:left w:val="nil"/>
              <w:bottom w:val="single" w:sz="18" w:space="0" w:color="7F7F7F" w:themeColor="text1" w:themeTint="80"/>
              <w:right w:val="nil"/>
            </w:tcBorders>
            <w:vAlign w:val="bottom"/>
          </w:tcPr>
          <w:p w:rsidR="002D1458" w:rsidRPr="00DD5C80" w:rsidRDefault="002D1458" w:rsidP="001E7F73">
            <w:pPr>
              <w:spacing w:before="0"/>
              <w:jc w:val="right"/>
              <w:rPr>
                <w:rFonts w:ascii="Times New Roman" w:hAnsi="Times New Roman" w:cs="Times New Roman"/>
                <w:color w:val="000000"/>
                <w:sz w:val="20"/>
                <w:szCs w:val="20"/>
              </w:rPr>
            </w:pPr>
            <w:r w:rsidRPr="00DD5C80">
              <w:rPr>
                <w:rFonts w:ascii="Times New Roman" w:hAnsi="Times New Roman" w:cs="Times New Roman"/>
                <w:color w:val="000000"/>
                <w:sz w:val="20"/>
                <w:szCs w:val="20"/>
              </w:rPr>
              <w:t>0.018</w:t>
            </w:r>
          </w:p>
        </w:tc>
      </w:tr>
    </w:tbl>
    <w:p w:rsidR="002D1458" w:rsidRDefault="002D1458" w:rsidP="002D1458">
      <w:pPr>
        <w:pStyle w:val="ListParagraph"/>
        <w:ind w:left="900" w:hanging="900"/>
        <w:contextualSpacing w:val="0"/>
        <w:rPr>
          <w:rFonts w:ascii="Times New Roman" w:hAnsi="Times New Roman" w:cs="Times New Roman"/>
          <w:b/>
          <w:sz w:val="24"/>
          <w:szCs w:val="24"/>
        </w:rPr>
      </w:pPr>
      <w:r>
        <w:rPr>
          <w:rFonts w:ascii="Times New Roman" w:hAnsi="Times New Roman" w:cs="Times New Roman"/>
          <w:b/>
          <w:sz w:val="24"/>
          <w:szCs w:val="24"/>
        </w:rPr>
        <w:t xml:space="preserve">Relevant variables.  </w:t>
      </w:r>
    </w:p>
    <w:p w:rsidR="002D1458" w:rsidRDefault="002D1458" w:rsidP="002D1458">
      <w:pPr>
        <w:pStyle w:val="ListParagraph"/>
        <w:ind w:left="900" w:hanging="900"/>
        <w:contextualSpacing w:val="0"/>
        <w:rPr>
          <w:rFonts w:ascii="Times New Roman" w:hAnsi="Times New Roman" w:cs="Times New Roman"/>
          <w:sz w:val="24"/>
          <w:szCs w:val="24"/>
        </w:rPr>
      </w:pPr>
      <w:r w:rsidRPr="00D21E8E">
        <w:rPr>
          <w:rFonts w:ascii="Times New Roman" w:hAnsi="Times New Roman" w:cs="Times New Roman"/>
          <w:b/>
          <w:i/>
          <w:sz w:val="24"/>
          <w:szCs w:val="24"/>
        </w:rPr>
        <w:t xml:space="preserve">National: </w:t>
      </w:r>
      <w:r>
        <w:rPr>
          <w:rFonts w:ascii="Times New Roman" w:hAnsi="Times New Roman" w:cs="Times New Roman"/>
          <w:b/>
          <w:i/>
          <w:sz w:val="24"/>
          <w:szCs w:val="24"/>
        </w:rPr>
        <w:t xml:space="preserve"> </w:t>
      </w:r>
      <w:r w:rsidRPr="00E4318C">
        <w:rPr>
          <w:rFonts w:ascii="Times New Roman" w:hAnsi="Times New Roman" w:cs="Times New Roman"/>
          <w:sz w:val="24"/>
          <w:szCs w:val="24"/>
        </w:rPr>
        <w:t xml:space="preserve">0.75 </w:t>
      </w:r>
      <w:r w:rsidRPr="00E4318C">
        <w:rPr>
          <w:rFonts w:ascii="Times New Roman" w:hAnsi="Times New Roman" w:cs="Times New Roman"/>
          <w:i/>
          <w:sz w:val="24"/>
          <w:szCs w:val="24"/>
        </w:rPr>
        <w:t>times</w:t>
      </w:r>
      <w:r>
        <w:rPr>
          <w:rFonts w:ascii="Times New Roman" w:hAnsi="Times New Roman" w:cs="Times New Roman"/>
          <w:sz w:val="24"/>
          <w:szCs w:val="24"/>
        </w:rPr>
        <w:t xml:space="preserve"> household expenditure on Hotels &amp; restaurants in </w:t>
      </w:r>
      <w:r w:rsidR="0010392C">
        <w:rPr>
          <w:rFonts w:ascii="Times New Roman" w:hAnsi="Times New Roman" w:cs="Times New Roman"/>
          <w:sz w:val="24"/>
          <w:szCs w:val="24"/>
        </w:rPr>
        <w:t>T</w:t>
      </w:r>
      <w:r>
        <w:rPr>
          <w:rFonts w:ascii="Times New Roman" w:hAnsi="Times New Roman" w:cs="Times New Roman"/>
          <w:sz w:val="24"/>
          <w:szCs w:val="24"/>
        </w:rPr>
        <w:t>arget city as share of national GDP</w:t>
      </w:r>
    </w:p>
    <w:p w:rsidR="002D1458" w:rsidRDefault="002D1458" w:rsidP="002D1458">
      <w:pPr>
        <w:pStyle w:val="ListParagraph"/>
        <w:ind w:left="900" w:hanging="900"/>
        <w:contextualSpacing w:val="0"/>
        <w:rPr>
          <w:rFonts w:ascii="Times New Roman" w:hAnsi="Times New Roman" w:cs="Times New Roman"/>
          <w:sz w:val="24"/>
          <w:szCs w:val="24"/>
        </w:rPr>
      </w:pPr>
      <w:r>
        <w:rPr>
          <w:rFonts w:ascii="Times New Roman" w:hAnsi="Times New Roman" w:cs="Times New Roman"/>
          <w:b/>
          <w:i/>
          <w:sz w:val="24"/>
          <w:szCs w:val="24"/>
        </w:rPr>
        <w:t>Regional:</w:t>
      </w:r>
      <w:r>
        <w:rPr>
          <w:rFonts w:ascii="Times New Roman" w:hAnsi="Times New Roman" w:cs="Times New Roman"/>
          <w:sz w:val="24"/>
          <w:szCs w:val="24"/>
        </w:rPr>
        <w:t xml:space="preserve">  </w:t>
      </w:r>
      <w:r w:rsidRPr="00E4318C">
        <w:rPr>
          <w:rFonts w:ascii="Times New Roman" w:hAnsi="Times New Roman" w:cs="Times New Roman"/>
          <w:sz w:val="24"/>
          <w:szCs w:val="24"/>
        </w:rPr>
        <w:t xml:space="preserve">0.75 </w:t>
      </w:r>
      <w:r w:rsidRPr="00E4318C">
        <w:rPr>
          <w:rFonts w:ascii="Times New Roman" w:hAnsi="Times New Roman" w:cs="Times New Roman"/>
          <w:i/>
          <w:sz w:val="24"/>
          <w:szCs w:val="24"/>
        </w:rPr>
        <w:t>times</w:t>
      </w:r>
      <w:r>
        <w:rPr>
          <w:rFonts w:ascii="Times New Roman" w:hAnsi="Times New Roman" w:cs="Times New Roman"/>
          <w:sz w:val="24"/>
          <w:szCs w:val="24"/>
        </w:rPr>
        <w:t xml:space="preserve"> {household expenditure on Hotels &amp; restaurants in </w:t>
      </w:r>
      <w:r w:rsidR="0010392C">
        <w:rPr>
          <w:rFonts w:ascii="Times New Roman" w:hAnsi="Times New Roman" w:cs="Times New Roman"/>
          <w:sz w:val="24"/>
          <w:szCs w:val="24"/>
        </w:rPr>
        <w:t>T</w:t>
      </w:r>
      <w:r>
        <w:rPr>
          <w:rFonts w:ascii="Times New Roman" w:hAnsi="Times New Roman" w:cs="Times New Roman"/>
          <w:sz w:val="24"/>
          <w:szCs w:val="24"/>
        </w:rPr>
        <w:t xml:space="preserve">arget city} </w:t>
      </w:r>
      <w:r>
        <w:rPr>
          <w:rFonts w:ascii="Times New Roman" w:hAnsi="Times New Roman" w:cs="Times New Roman"/>
          <w:i/>
          <w:sz w:val="24"/>
          <w:szCs w:val="24"/>
        </w:rPr>
        <w:t>times</w:t>
      </w:r>
      <w:r>
        <w:rPr>
          <w:rFonts w:ascii="Times New Roman" w:hAnsi="Times New Roman" w:cs="Times New Roman"/>
          <w:sz w:val="24"/>
          <w:szCs w:val="24"/>
        </w:rPr>
        <w:t xml:space="preserve"> {share of target region in supplying Hotels &amp; restaurants to </w:t>
      </w:r>
      <w:r w:rsidR="0010392C">
        <w:rPr>
          <w:rFonts w:ascii="Times New Roman" w:hAnsi="Times New Roman" w:cs="Times New Roman"/>
          <w:sz w:val="24"/>
          <w:szCs w:val="24"/>
        </w:rPr>
        <w:t>T</w:t>
      </w:r>
      <w:r>
        <w:rPr>
          <w:rFonts w:ascii="Times New Roman" w:hAnsi="Times New Roman" w:cs="Times New Roman"/>
          <w:sz w:val="24"/>
          <w:szCs w:val="24"/>
        </w:rPr>
        <w:t xml:space="preserve">arget city} </w:t>
      </w:r>
      <w:r w:rsidRPr="00C6496D">
        <w:rPr>
          <w:rFonts w:ascii="Times New Roman" w:hAnsi="Times New Roman" w:cs="Times New Roman"/>
          <w:i/>
          <w:sz w:val="24"/>
          <w:szCs w:val="24"/>
        </w:rPr>
        <w:t>divided</w:t>
      </w:r>
      <w:r>
        <w:rPr>
          <w:rFonts w:ascii="Times New Roman" w:hAnsi="Times New Roman" w:cs="Times New Roman"/>
          <w:sz w:val="24"/>
          <w:szCs w:val="24"/>
        </w:rPr>
        <w:t xml:space="preserve"> </w:t>
      </w:r>
      <w:r w:rsidRPr="00C6496D">
        <w:rPr>
          <w:rFonts w:ascii="Times New Roman" w:hAnsi="Times New Roman" w:cs="Times New Roman"/>
          <w:i/>
          <w:sz w:val="24"/>
          <w:szCs w:val="24"/>
        </w:rPr>
        <w:t>by</w:t>
      </w:r>
      <w:r>
        <w:rPr>
          <w:rFonts w:ascii="Times New Roman" w:hAnsi="Times New Roman" w:cs="Times New Roman"/>
          <w:sz w:val="24"/>
          <w:szCs w:val="24"/>
        </w:rPr>
        <w:t xml:space="preserve"> GRP of target region  </w:t>
      </w:r>
    </w:p>
    <w:p w:rsidR="002D1458" w:rsidRDefault="002D1458" w:rsidP="002D1458">
      <w:pPr>
        <w:rPr>
          <w:rFonts w:ascii="Times New Roman" w:hAnsi="Times New Roman" w:cs="Times New Roman"/>
          <w:b/>
          <w:i/>
          <w:sz w:val="24"/>
          <w:szCs w:val="24"/>
        </w:rPr>
      </w:pPr>
      <w:r>
        <w:rPr>
          <w:rFonts w:ascii="Times New Roman" w:hAnsi="Times New Roman" w:cs="Times New Roman"/>
          <w:b/>
          <w:i/>
          <w:sz w:val="24"/>
          <w:szCs w:val="24"/>
        </w:rPr>
        <w:br w:type="page"/>
      </w:r>
    </w:p>
    <w:p w:rsidR="002D1458" w:rsidRPr="00BC333D" w:rsidRDefault="002D1458" w:rsidP="002D1458">
      <w:pPr>
        <w:pStyle w:val="ListParagraph"/>
        <w:ind w:left="900" w:hanging="900"/>
        <w:contextualSpacing w:val="0"/>
        <w:jc w:val="center"/>
        <w:rPr>
          <w:rFonts w:ascii="Times New Roman" w:hAnsi="Times New Roman" w:cs="Times New Roman"/>
          <w:b/>
          <w:i/>
          <w:sz w:val="24"/>
          <w:szCs w:val="24"/>
        </w:rPr>
      </w:pPr>
      <w:r w:rsidRPr="00BC333D">
        <w:rPr>
          <w:rFonts w:ascii="Times New Roman" w:hAnsi="Times New Roman" w:cs="Times New Roman"/>
          <w:b/>
          <w:i/>
          <w:sz w:val="24"/>
          <w:szCs w:val="24"/>
        </w:rPr>
        <w:lastRenderedPageBreak/>
        <w:t xml:space="preserve">Table A6.  Coefficients, C(s,v), for temporary accommodation expenses outside </w:t>
      </w:r>
      <w:r w:rsidR="0010392C" w:rsidRPr="00BC333D">
        <w:rPr>
          <w:rFonts w:ascii="Times New Roman" w:hAnsi="Times New Roman" w:cs="Times New Roman"/>
          <w:b/>
          <w:i/>
          <w:sz w:val="24"/>
          <w:szCs w:val="24"/>
        </w:rPr>
        <w:t>T</w:t>
      </w:r>
      <w:r w:rsidRPr="00BC333D">
        <w:rPr>
          <w:rFonts w:ascii="Times New Roman" w:hAnsi="Times New Roman" w:cs="Times New Roman"/>
          <w:b/>
          <w:i/>
          <w:sz w:val="24"/>
          <w:szCs w:val="24"/>
        </w:rPr>
        <w:t xml:space="preserve">arget city (s=6)  </w:t>
      </w:r>
    </w:p>
    <w:tbl>
      <w:tblPr>
        <w:tblStyle w:val="TableGrid"/>
        <w:tblW w:w="12422" w:type="dxa"/>
        <w:tblInd w:w="900" w:type="dxa"/>
        <w:tblLook w:val="04A0" w:firstRow="1" w:lastRow="0" w:firstColumn="1" w:lastColumn="0" w:noHBand="0" w:noVBand="1"/>
      </w:tblPr>
      <w:tblGrid>
        <w:gridCol w:w="495"/>
        <w:gridCol w:w="3150"/>
        <w:gridCol w:w="842"/>
        <w:gridCol w:w="910"/>
        <w:gridCol w:w="821"/>
        <w:gridCol w:w="900"/>
        <w:gridCol w:w="822"/>
        <w:gridCol w:w="900"/>
        <w:gridCol w:w="831"/>
        <w:gridCol w:w="904"/>
        <w:gridCol w:w="916"/>
        <w:gridCol w:w="931"/>
      </w:tblGrid>
      <w:tr w:rsidR="002D1458" w:rsidRPr="00E27213" w:rsidTr="001E7F73">
        <w:tc>
          <w:tcPr>
            <w:tcW w:w="495" w:type="dxa"/>
            <w:tcBorders>
              <w:top w:val="single" w:sz="18" w:space="0" w:color="7F7F7F" w:themeColor="text1" w:themeTint="80"/>
              <w:left w:val="nil"/>
              <w:bottom w:val="nil"/>
              <w:right w:val="nil"/>
            </w:tcBorders>
            <w:vAlign w:val="bottom"/>
          </w:tcPr>
          <w:p w:rsidR="002D1458" w:rsidRPr="00E27213" w:rsidRDefault="002D1458" w:rsidP="001E7F73">
            <w:pPr>
              <w:spacing w:before="0"/>
              <w:rPr>
                <w:rFonts w:ascii="Times New Roman" w:hAnsi="Times New Roman" w:cs="Times New Roman"/>
                <w:color w:val="000000"/>
                <w:sz w:val="20"/>
                <w:szCs w:val="20"/>
              </w:rPr>
            </w:pPr>
          </w:p>
        </w:tc>
        <w:tc>
          <w:tcPr>
            <w:tcW w:w="3150" w:type="dxa"/>
            <w:tcBorders>
              <w:top w:val="single" w:sz="18" w:space="0" w:color="7F7F7F" w:themeColor="text1" w:themeTint="80"/>
              <w:left w:val="nil"/>
              <w:bottom w:val="nil"/>
            </w:tcBorders>
            <w:vAlign w:val="center"/>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Target region (d)</w:t>
            </w:r>
          </w:p>
        </w:tc>
        <w:tc>
          <w:tcPr>
            <w:tcW w:w="1752"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FL24</w:t>
            </w:r>
          </w:p>
        </w:tc>
        <w:tc>
          <w:tcPr>
            <w:tcW w:w="1721"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AZ07</w:t>
            </w:r>
          </w:p>
        </w:tc>
        <w:tc>
          <w:tcPr>
            <w:tcW w:w="1722"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NY14</w:t>
            </w:r>
          </w:p>
        </w:tc>
        <w:tc>
          <w:tcPr>
            <w:tcW w:w="1735"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WA09</w:t>
            </w:r>
          </w:p>
        </w:tc>
        <w:tc>
          <w:tcPr>
            <w:tcW w:w="1847" w:type="dxa"/>
            <w:gridSpan w:val="2"/>
            <w:tcBorders>
              <w:top w:val="single" w:sz="18" w:space="0" w:color="7F7F7F" w:themeColor="text1" w:themeTint="80"/>
              <w:right w:val="nil"/>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Average</w:t>
            </w:r>
          </w:p>
        </w:tc>
      </w:tr>
      <w:tr w:rsidR="002D1458" w:rsidRPr="00E27213" w:rsidTr="001E7F73">
        <w:tc>
          <w:tcPr>
            <w:tcW w:w="495" w:type="dxa"/>
            <w:tcBorders>
              <w:top w:val="nil"/>
              <w:left w:val="nil"/>
              <w:bottom w:val="single" w:sz="18" w:space="0" w:color="7F7F7F" w:themeColor="text1" w:themeTint="80"/>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single" w:sz="18" w:space="0" w:color="7F7F7F" w:themeColor="text1" w:themeTint="80"/>
            </w:tcBorders>
            <w:vAlign w:val="bottom"/>
          </w:tcPr>
          <w:p w:rsidR="002D1458" w:rsidRPr="00E27213" w:rsidRDefault="002D1458" w:rsidP="001E7F73">
            <w:pPr>
              <w:spacing w:before="0"/>
              <w:rPr>
                <w:rFonts w:ascii="Times New Roman" w:hAnsi="Times New Roman" w:cs="Times New Roman"/>
                <w:color w:val="000000"/>
                <w:sz w:val="20"/>
                <w:szCs w:val="20"/>
              </w:rPr>
            </w:pPr>
            <w:r w:rsidRPr="00E27213">
              <w:rPr>
                <w:rFonts w:ascii="Times New Roman" w:hAnsi="Times New Roman" w:cs="Times New Roman"/>
                <w:color w:val="000000"/>
                <w:sz w:val="20"/>
                <w:szCs w:val="20"/>
              </w:rPr>
              <w:t>Implication variables (s)</w:t>
            </w:r>
          </w:p>
        </w:tc>
        <w:tc>
          <w:tcPr>
            <w:tcW w:w="842"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1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21"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22"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31"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4"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916"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31" w:type="dxa"/>
            <w:tcBorders>
              <w:bottom w:val="single" w:sz="18" w:space="0" w:color="7F7F7F" w:themeColor="text1" w:themeTint="80"/>
              <w:right w:val="nil"/>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r>
      <w:tr w:rsidR="002D1458" w:rsidRPr="00F901FE" w:rsidTr="001E7F73">
        <w:tc>
          <w:tcPr>
            <w:tcW w:w="3645" w:type="dxa"/>
            <w:gridSpan w:val="2"/>
            <w:tcBorders>
              <w:top w:val="single" w:sz="18" w:space="0" w:color="7F7F7F" w:themeColor="text1" w:themeTint="80"/>
              <w:left w:val="nil"/>
              <w:bottom w:val="nil"/>
              <w:right w:val="single" w:sz="4" w:space="0" w:color="auto"/>
            </w:tcBorders>
          </w:tcPr>
          <w:p w:rsidR="002D1458" w:rsidRPr="00F901FE" w:rsidRDefault="002D1458" w:rsidP="001E7F73">
            <w:pPr>
              <w:spacing w:before="0"/>
              <w:rPr>
                <w:rFonts w:ascii="Times New Roman" w:hAnsi="Times New Roman" w:cs="Times New Roman"/>
                <w:b/>
                <w:color w:val="000000"/>
                <w:sz w:val="20"/>
                <w:szCs w:val="20"/>
              </w:rPr>
            </w:pPr>
            <w:r w:rsidRPr="00F901FE">
              <w:rPr>
                <w:rFonts w:ascii="Times New Roman" w:hAnsi="Times New Roman" w:cs="Times New Roman"/>
                <w:b/>
                <w:color w:val="000000"/>
                <w:sz w:val="20"/>
                <w:szCs w:val="20"/>
              </w:rPr>
              <w:t>Keynesian</w:t>
            </w:r>
          </w:p>
        </w:tc>
        <w:tc>
          <w:tcPr>
            <w:tcW w:w="842"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39"/>
              </w:tabs>
              <w:spacing w:before="0"/>
              <w:ind w:left="0"/>
              <w:contextualSpacing w:val="0"/>
              <w:rPr>
                <w:rFonts w:ascii="Times New Roman" w:hAnsi="Times New Roman" w:cs="Times New Roman"/>
                <w:sz w:val="20"/>
                <w:szCs w:val="20"/>
              </w:rPr>
            </w:pPr>
          </w:p>
        </w:tc>
        <w:tc>
          <w:tcPr>
            <w:tcW w:w="931" w:type="dxa"/>
            <w:tcBorders>
              <w:top w:val="single" w:sz="18" w:space="0" w:color="7F7F7F" w:themeColor="text1" w:themeTint="80"/>
              <w:left w:val="nil"/>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r>
      <w:tr w:rsidR="002D1458" w:rsidRPr="00F901FE"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National </w:t>
            </w:r>
          </w:p>
        </w:tc>
        <w:tc>
          <w:tcPr>
            <w:tcW w:w="842"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nil"/>
              <w:left w:val="single" w:sz="4" w:space="0" w:color="auto"/>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r>
      <w:tr w:rsidR="002D1458" w:rsidTr="001E7F73">
        <w:trPr>
          <w:trHeight w:val="305"/>
        </w:trPr>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1</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GDP</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1.54</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0.009</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1.54</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0.007</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1.54</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0.007</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1.54</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0.008</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1.54</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0.008</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1.42</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0.006</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1.42</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0.006</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1.42</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0.006</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1.42</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0.008</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1.42</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0.006</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3a</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0.05 discount rate</w:t>
            </w:r>
          </w:p>
        </w:tc>
        <w:tc>
          <w:tcPr>
            <w:tcW w:w="84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-0.007</w:t>
            </w:r>
          </w:p>
        </w:tc>
        <w:tc>
          <w:tcPr>
            <w:tcW w:w="82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-0.007</w:t>
            </w:r>
          </w:p>
        </w:tc>
        <w:tc>
          <w:tcPr>
            <w:tcW w:w="82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-0.007</w:t>
            </w:r>
          </w:p>
        </w:tc>
        <w:tc>
          <w:tcPr>
            <w:tcW w:w="83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-0.007</w:t>
            </w:r>
          </w:p>
        </w:tc>
        <w:tc>
          <w:tcPr>
            <w:tcW w:w="916"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-0.007</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3b</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0.02 discount rate</w:t>
            </w:r>
          </w:p>
        </w:tc>
        <w:tc>
          <w:tcPr>
            <w:tcW w:w="84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-0.012</w:t>
            </w:r>
          </w:p>
        </w:tc>
        <w:tc>
          <w:tcPr>
            <w:tcW w:w="82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-0.012</w:t>
            </w:r>
          </w:p>
        </w:tc>
        <w:tc>
          <w:tcPr>
            <w:tcW w:w="82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-0.012</w:t>
            </w:r>
          </w:p>
        </w:tc>
        <w:tc>
          <w:tcPr>
            <w:tcW w:w="83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-0.012</w:t>
            </w:r>
          </w:p>
        </w:tc>
        <w:tc>
          <w:tcPr>
            <w:tcW w:w="916"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-0.012</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Target region </w:t>
            </w:r>
          </w:p>
        </w:tc>
        <w:tc>
          <w:tcPr>
            <w:tcW w:w="84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10"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82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82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83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4"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16"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31" w:type="dxa"/>
            <w:tcBorders>
              <w:top w:val="nil"/>
              <w:left w:val="nil"/>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4</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GRP</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2.42</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0.039</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3.74</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-0.011</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4.17</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-0.013</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2.03</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3.09</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0.004</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5</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2.15</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0.033</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2.93</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0.004</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3.51</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-0.007</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1.51</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0.014</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2.53</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0.011</w:t>
            </w:r>
          </w:p>
        </w:tc>
      </w:tr>
      <w:tr w:rsidR="002D1458" w:rsidRPr="00857A94" w:rsidTr="001E7F73">
        <w:tc>
          <w:tcPr>
            <w:tcW w:w="3645" w:type="dxa"/>
            <w:gridSpan w:val="2"/>
            <w:tcBorders>
              <w:top w:val="single" w:sz="18" w:space="0" w:color="7F7F7F" w:themeColor="text1" w:themeTint="80"/>
              <w:left w:val="nil"/>
              <w:bottom w:val="nil"/>
              <w:right w:val="single" w:sz="4" w:space="0" w:color="auto"/>
            </w:tcBorders>
          </w:tcPr>
          <w:p w:rsidR="002D1458" w:rsidRPr="00F901FE" w:rsidRDefault="002D1458" w:rsidP="001E7F73">
            <w:pPr>
              <w:spacing w:before="0"/>
              <w:rPr>
                <w:rFonts w:ascii="Times New Roman" w:hAnsi="Times New Roman" w:cs="Times New Roman"/>
                <w:b/>
                <w:color w:val="000000"/>
                <w:sz w:val="20"/>
                <w:szCs w:val="20"/>
              </w:rPr>
            </w:pPr>
            <w:r w:rsidRPr="00F901FE">
              <w:rPr>
                <w:rFonts w:ascii="Times New Roman" w:hAnsi="Times New Roman" w:cs="Times New Roman"/>
                <w:b/>
                <w:color w:val="000000"/>
                <w:sz w:val="20"/>
                <w:szCs w:val="20"/>
              </w:rPr>
              <w:t>Neoclassical</w:t>
            </w:r>
          </w:p>
        </w:tc>
        <w:tc>
          <w:tcPr>
            <w:tcW w:w="842" w:type="dxa"/>
            <w:tcBorders>
              <w:top w:val="single" w:sz="18" w:space="0" w:color="7F7F7F" w:themeColor="text1" w:themeTint="80"/>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single" w:sz="18" w:space="0" w:color="7F7F7F" w:themeColor="text1" w:themeTint="80"/>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single" w:sz="18" w:space="0" w:color="7F7F7F" w:themeColor="text1" w:themeTint="80"/>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single" w:sz="18" w:space="0" w:color="7F7F7F" w:themeColor="text1" w:themeTint="80"/>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single" w:sz="18" w:space="0" w:color="7F7F7F" w:themeColor="text1" w:themeTint="80"/>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single" w:sz="18" w:space="0" w:color="7F7F7F" w:themeColor="text1" w:themeTint="80"/>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single" w:sz="18" w:space="0" w:color="7F7F7F" w:themeColor="text1" w:themeTint="80"/>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31" w:type="dxa"/>
            <w:tcBorders>
              <w:top w:val="single" w:sz="18" w:space="0" w:color="7F7F7F" w:themeColor="text1" w:themeTint="80"/>
              <w:left w:val="nil"/>
              <w:bottom w:val="nil"/>
              <w:right w:val="nil"/>
            </w:tcBorders>
          </w:tcPr>
          <w:p w:rsidR="002D1458" w:rsidRPr="00BC333D" w:rsidRDefault="002D1458" w:rsidP="001E7F73">
            <w:pPr>
              <w:pStyle w:val="ListParagraph"/>
              <w:tabs>
                <w:tab w:val="decimal" w:pos="339"/>
              </w:tabs>
              <w:spacing w:before="0"/>
              <w:ind w:left="0"/>
              <w:contextualSpacing w:val="0"/>
              <w:rPr>
                <w:rFonts w:ascii="Times New Roman" w:hAnsi="Times New Roman" w:cs="Times New Roman"/>
                <w:sz w:val="20"/>
                <w:szCs w:val="20"/>
              </w:rPr>
            </w:pPr>
          </w:p>
        </w:tc>
      </w:tr>
      <w:tr w:rsidR="002D1458" w:rsidRPr="00857A94"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National </w:t>
            </w:r>
          </w:p>
        </w:tc>
        <w:tc>
          <w:tcPr>
            <w:tcW w:w="842" w:type="dxa"/>
            <w:tcBorders>
              <w:top w:val="nil"/>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nil"/>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nil"/>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nil"/>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nil"/>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nil"/>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nil"/>
              <w:left w:val="single" w:sz="4" w:space="0" w:color="auto"/>
              <w:bottom w:val="nil"/>
              <w:right w:val="nil"/>
            </w:tcBorders>
            <w:vAlign w:val="bottom"/>
          </w:tcPr>
          <w:p w:rsidR="002D1458" w:rsidRPr="00BC333D" w:rsidRDefault="002D1458" w:rsidP="001E7F73">
            <w:pPr>
              <w:tabs>
                <w:tab w:val="decimal" w:pos="339"/>
              </w:tabs>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BC333D" w:rsidRDefault="002D1458" w:rsidP="001E7F73">
            <w:pPr>
              <w:tabs>
                <w:tab w:val="decimal" w:pos="339"/>
              </w:tabs>
              <w:spacing w:before="0"/>
              <w:rPr>
                <w:rFonts w:ascii="Times New Roman" w:hAnsi="Times New Roman" w:cs="Times New Roman"/>
                <w:color w:val="000000"/>
                <w:sz w:val="20"/>
                <w:szCs w:val="20"/>
              </w:rPr>
            </w:pPr>
          </w:p>
        </w:tc>
      </w:tr>
      <w:tr w:rsidR="002D1458" w:rsidTr="001E7F73">
        <w:trPr>
          <w:trHeight w:val="305"/>
        </w:trPr>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1</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GDP</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0.43</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0.004</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0.43</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-0.002</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0.43</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0.004</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0.43</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-0.004</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0.43</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0.66</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0.001</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0.66</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-0.002</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0.66</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0.005</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0.66</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-0.004</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0.66</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3a</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0.05 discount rate</w:t>
            </w:r>
          </w:p>
        </w:tc>
        <w:tc>
          <w:tcPr>
            <w:tcW w:w="84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-0.011</w:t>
            </w:r>
          </w:p>
        </w:tc>
        <w:tc>
          <w:tcPr>
            <w:tcW w:w="82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-0.012</w:t>
            </w:r>
          </w:p>
        </w:tc>
        <w:tc>
          <w:tcPr>
            <w:tcW w:w="82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-0.011</w:t>
            </w:r>
          </w:p>
        </w:tc>
        <w:tc>
          <w:tcPr>
            <w:tcW w:w="83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-0.012</w:t>
            </w:r>
          </w:p>
        </w:tc>
        <w:tc>
          <w:tcPr>
            <w:tcW w:w="916"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-0.012</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3b</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0.02 discount rate</w:t>
            </w:r>
          </w:p>
        </w:tc>
        <w:tc>
          <w:tcPr>
            <w:tcW w:w="84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-0.016</w:t>
            </w:r>
          </w:p>
        </w:tc>
        <w:tc>
          <w:tcPr>
            <w:tcW w:w="82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-0.017</w:t>
            </w:r>
          </w:p>
        </w:tc>
        <w:tc>
          <w:tcPr>
            <w:tcW w:w="82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-0.016</w:t>
            </w:r>
          </w:p>
        </w:tc>
        <w:tc>
          <w:tcPr>
            <w:tcW w:w="83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-0.017</w:t>
            </w:r>
          </w:p>
        </w:tc>
        <w:tc>
          <w:tcPr>
            <w:tcW w:w="916"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-0.016</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Target region </w:t>
            </w:r>
          </w:p>
        </w:tc>
        <w:tc>
          <w:tcPr>
            <w:tcW w:w="84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10"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82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82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83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4"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16"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31" w:type="dxa"/>
            <w:tcBorders>
              <w:top w:val="nil"/>
              <w:left w:val="nil"/>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4</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GRP</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-0.06</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0.003</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0.71</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-0.040</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0.92</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-0.041</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0.13</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-0.011</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0.42</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-0.022</w:t>
            </w:r>
          </w:p>
        </w:tc>
      </w:tr>
      <w:tr w:rsidR="002D1458" w:rsidTr="001E7F73">
        <w:tc>
          <w:tcPr>
            <w:tcW w:w="495" w:type="dxa"/>
            <w:tcBorders>
              <w:top w:val="nil"/>
              <w:left w:val="nil"/>
              <w:bottom w:val="single" w:sz="18" w:space="0" w:color="7F7F7F" w:themeColor="text1" w:themeTint="80"/>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5</w:t>
            </w:r>
          </w:p>
        </w:tc>
        <w:tc>
          <w:tcPr>
            <w:tcW w:w="3150" w:type="dxa"/>
            <w:tcBorders>
              <w:top w:val="nil"/>
              <w:left w:val="nil"/>
              <w:bottom w:val="single" w:sz="18" w:space="0" w:color="7F7F7F" w:themeColor="text1" w:themeTint="80"/>
              <w:right w:val="single" w:sz="4" w:space="0" w:color="000000" w:themeColor="text1"/>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000000" w:themeColor="text1"/>
              <w:bottom w:val="single" w:sz="18" w:space="0" w:color="7F7F7F" w:themeColor="text1" w:themeTint="80"/>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1.37</w:t>
            </w:r>
          </w:p>
        </w:tc>
        <w:tc>
          <w:tcPr>
            <w:tcW w:w="910" w:type="dxa"/>
            <w:tcBorders>
              <w:top w:val="nil"/>
              <w:left w:val="nil"/>
              <w:bottom w:val="single" w:sz="18" w:space="0" w:color="7F7F7F" w:themeColor="text1" w:themeTint="80"/>
              <w:right w:val="single" w:sz="4" w:space="0" w:color="000000" w:themeColor="text1"/>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-0.003</w:t>
            </w:r>
          </w:p>
        </w:tc>
        <w:tc>
          <w:tcPr>
            <w:tcW w:w="821" w:type="dxa"/>
            <w:tcBorders>
              <w:top w:val="nil"/>
              <w:left w:val="single" w:sz="4" w:space="0" w:color="000000" w:themeColor="text1"/>
              <w:bottom w:val="single" w:sz="18" w:space="0" w:color="7F7F7F" w:themeColor="text1" w:themeTint="80"/>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1.02</w:t>
            </w:r>
          </w:p>
        </w:tc>
        <w:tc>
          <w:tcPr>
            <w:tcW w:w="900" w:type="dxa"/>
            <w:tcBorders>
              <w:top w:val="nil"/>
              <w:left w:val="nil"/>
              <w:bottom w:val="single" w:sz="18" w:space="0" w:color="7F7F7F" w:themeColor="text1" w:themeTint="80"/>
              <w:right w:val="single" w:sz="4" w:space="0" w:color="000000" w:themeColor="text1"/>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-0.015</w:t>
            </w:r>
          </w:p>
        </w:tc>
        <w:tc>
          <w:tcPr>
            <w:tcW w:w="822" w:type="dxa"/>
            <w:tcBorders>
              <w:top w:val="nil"/>
              <w:left w:val="single" w:sz="4" w:space="0" w:color="000000" w:themeColor="text1"/>
              <w:bottom w:val="single" w:sz="18" w:space="0" w:color="7F7F7F" w:themeColor="text1" w:themeTint="80"/>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1.34</w:t>
            </w:r>
          </w:p>
        </w:tc>
        <w:tc>
          <w:tcPr>
            <w:tcW w:w="900" w:type="dxa"/>
            <w:tcBorders>
              <w:top w:val="nil"/>
              <w:left w:val="nil"/>
              <w:bottom w:val="single" w:sz="18" w:space="0" w:color="7F7F7F" w:themeColor="text1" w:themeTint="80"/>
              <w:right w:val="single" w:sz="4" w:space="0" w:color="000000" w:themeColor="text1"/>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-0.023</w:t>
            </w:r>
          </w:p>
        </w:tc>
        <w:tc>
          <w:tcPr>
            <w:tcW w:w="831" w:type="dxa"/>
            <w:tcBorders>
              <w:top w:val="nil"/>
              <w:left w:val="single" w:sz="4" w:space="0" w:color="000000" w:themeColor="text1"/>
              <w:bottom w:val="single" w:sz="18" w:space="0" w:color="7F7F7F" w:themeColor="text1" w:themeTint="80"/>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0.14</w:t>
            </w:r>
          </w:p>
        </w:tc>
        <w:tc>
          <w:tcPr>
            <w:tcW w:w="904" w:type="dxa"/>
            <w:tcBorders>
              <w:top w:val="nil"/>
              <w:left w:val="nil"/>
              <w:bottom w:val="single" w:sz="18" w:space="0" w:color="7F7F7F" w:themeColor="text1" w:themeTint="80"/>
              <w:right w:val="single" w:sz="4" w:space="0" w:color="000000" w:themeColor="text1"/>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0.016</w:t>
            </w:r>
          </w:p>
        </w:tc>
        <w:tc>
          <w:tcPr>
            <w:tcW w:w="916" w:type="dxa"/>
            <w:tcBorders>
              <w:top w:val="nil"/>
              <w:left w:val="single" w:sz="4" w:space="0" w:color="000000" w:themeColor="text1"/>
              <w:bottom w:val="single" w:sz="18" w:space="0" w:color="7F7F7F" w:themeColor="text1" w:themeTint="80"/>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0.97</w:t>
            </w:r>
          </w:p>
        </w:tc>
        <w:tc>
          <w:tcPr>
            <w:tcW w:w="931" w:type="dxa"/>
            <w:tcBorders>
              <w:top w:val="nil"/>
              <w:left w:val="nil"/>
              <w:bottom w:val="single" w:sz="18" w:space="0" w:color="7F7F7F" w:themeColor="text1" w:themeTint="80"/>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-0.006</w:t>
            </w:r>
          </w:p>
        </w:tc>
      </w:tr>
    </w:tbl>
    <w:p w:rsidR="002D1458" w:rsidRDefault="002D1458" w:rsidP="002D1458">
      <w:pPr>
        <w:pStyle w:val="ListParagraph"/>
        <w:ind w:left="900" w:hanging="900"/>
        <w:contextualSpacing w:val="0"/>
        <w:rPr>
          <w:rFonts w:ascii="Times New Roman" w:hAnsi="Times New Roman" w:cs="Times New Roman"/>
          <w:b/>
          <w:sz w:val="24"/>
          <w:szCs w:val="24"/>
        </w:rPr>
      </w:pPr>
      <w:r>
        <w:rPr>
          <w:rFonts w:ascii="Times New Roman" w:hAnsi="Times New Roman" w:cs="Times New Roman"/>
          <w:b/>
          <w:sz w:val="24"/>
          <w:szCs w:val="24"/>
        </w:rPr>
        <w:t xml:space="preserve">Relevant variables.  </w:t>
      </w:r>
    </w:p>
    <w:p w:rsidR="002D1458" w:rsidRDefault="002D1458" w:rsidP="002D1458">
      <w:pPr>
        <w:pStyle w:val="ListParagraph"/>
        <w:ind w:left="900" w:hanging="900"/>
        <w:contextualSpacing w:val="0"/>
        <w:rPr>
          <w:rFonts w:ascii="Times New Roman" w:hAnsi="Times New Roman" w:cs="Times New Roman"/>
          <w:sz w:val="24"/>
          <w:szCs w:val="24"/>
        </w:rPr>
      </w:pPr>
      <w:r w:rsidRPr="00D21E8E">
        <w:rPr>
          <w:rFonts w:ascii="Times New Roman" w:hAnsi="Times New Roman" w:cs="Times New Roman"/>
          <w:b/>
          <w:i/>
          <w:sz w:val="24"/>
          <w:szCs w:val="24"/>
        </w:rPr>
        <w:t xml:space="preserve">National: </w:t>
      </w:r>
      <w:r>
        <w:rPr>
          <w:rFonts w:ascii="Times New Roman" w:hAnsi="Times New Roman" w:cs="Times New Roman"/>
          <w:b/>
          <w:i/>
          <w:sz w:val="24"/>
          <w:szCs w:val="24"/>
        </w:rPr>
        <w:t xml:space="preserve"> </w:t>
      </w:r>
      <w:r w:rsidRPr="00E4318C">
        <w:rPr>
          <w:rFonts w:ascii="Times New Roman" w:hAnsi="Times New Roman" w:cs="Times New Roman"/>
          <w:sz w:val="24"/>
          <w:szCs w:val="24"/>
        </w:rPr>
        <w:t xml:space="preserve">0.75 </w:t>
      </w:r>
      <w:r w:rsidRPr="00E4318C">
        <w:rPr>
          <w:rFonts w:ascii="Times New Roman" w:hAnsi="Times New Roman" w:cs="Times New Roman"/>
          <w:i/>
          <w:sz w:val="24"/>
          <w:szCs w:val="24"/>
        </w:rPr>
        <w:t>times</w:t>
      </w:r>
      <w:r>
        <w:rPr>
          <w:rFonts w:ascii="Times New Roman" w:hAnsi="Times New Roman" w:cs="Times New Roman"/>
          <w:sz w:val="24"/>
          <w:szCs w:val="24"/>
        </w:rPr>
        <w:t xml:space="preserve"> household expenditure on Hotels &amp; restaurants outside </w:t>
      </w:r>
      <w:r w:rsidR="0010392C">
        <w:rPr>
          <w:rFonts w:ascii="Times New Roman" w:hAnsi="Times New Roman" w:cs="Times New Roman"/>
          <w:sz w:val="24"/>
          <w:szCs w:val="24"/>
        </w:rPr>
        <w:t>T</w:t>
      </w:r>
      <w:r>
        <w:rPr>
          <w:rFonts w:ascii="Times New Roman" w:hAnsi="Times New Roman" w:cs="Times New Roman"/>
          <w:sz w:val="24"/>
          <w:szCs w:val="24"/>
        </w:rPr>
        <w:t>arget city as share of national GDP</w:t>
      </w:r>
    </w:p>
    <w:p w:rsidR="002D1458" w:rsidRPr="00D21E8E" w:rsidRDefault="002D1458" w:rsidP="002D1458">
      <w:pPr>
        <w:pStyle w:val="ListParagraph"/>
        <w:ind w:left="900" w:hanging="900"/>
        <w:contextualSpacing w:val="0"/>
        <w:rPr>
          <w:rFonts w:ascii="Times New Roman" w:hAnsi="Times New Roman" w:cs="Times New Roman"/>
          <w:sz w:val="24"/>
          <w:szCs w:val="24"/>
        </w:rPr>
      </w:pPr>
      <w:r>
        <w:rPr>
          <w:rFonts w:ascii="Times New Roman" w:hAnsi="Times New Roman" w:cs="Times New Roman"/>
          <w:b/>
          <w:i/>
          <w:sz w:val="24"/>
          <w:szCs w:val="24"/>
        </w:rPr>
        <w:t>Regional:</w:t>
      </w:r>
      <w:r>
        <w:rPr>
          <w:rFonts w:ascii="Times New Roman" w:hAnsi="Times New Roman" w:cs="Times New Roman"/>
          <w:sz w:val="24"/>
          <w:szCs w:val="24"/>
        </w:rPr>
        <w:t xml:space="preserve">  Share of target region’s output that is sold to Rest of state &amp; Rest of USA </w:t>
      </w:r>
      <w:r>
        <w:rPr>
          <w:rFonts w:ascii="Times New Roman" w:hAnsi="Times New Roman" w:cs="Times New Roman"/>
          <w:i/>
          <w:sz w:val="24"/>
          <w:szCs w:val="24"/>
        </w:rPr>
        <w:t xml:space="preserve">times </w:t>
      </w:r>
      <w:r w:rsidRPr="00E4318C">
        <w:rPr>
          <w:rFonts w:ascii="Times New Roman" w:hAnsi="Times New Roman" w:cs="Times New Roman"/>
          <w:sz w:val="24"/>
          <w:szCs w:val="24"/>
        </w:rPr>
        <w:t xml:space="preserve">0.75 </w:t>
      </w:r>
      <w:r w:rsidRPr="00E4318C">
        <w:rPr>
          <w:rFonts w:ascii="Times New Roman" w:hAnsi="Times New Roman" w:cs="Times New Roman"/>
          <w:i/>
          <w:sz w:val="24"/>
          <w:szCs w:val="24"/>
        </w:rPr>
        <w:t>times</w:t>
      </w:r>
      <w:r>
        <w:rPr>
          <w:rFonts w:ascii="Times New Roman" w:hAnsi="Times New Roman" w:cs="Times New Roman"/>
          <w:sz w:val="24"/>
          <w:szCs w:val="24"/>
        </w:rPr>
        <w:t xml:space="preserve"> [{household expenditure on Hotels &amp; restaurants outside </w:t>
      </w:r>
      <w:r w:rsidR="0010392C">
        <w:rPr>
          <w:rFonts w:ascii="Times New Roman" w:hAnsi="Times New Roman" w:cs="Times New Roman"/>
          <w:sz w:val="24"/>
          <w:szCs w:val="24"/>
        </w:rPr>
        <w:t>T</w:t>
      </w:r>
      <w:r>
        <w:rPr>
          <w:rFonts w:ascii="Times New Roman" w:hAnsi="Times New Roman" w:cs="Times New Roman"/>
          <w:sz w:val="24"/>
          <w:szCs w:val="24"/>
        </w:rPr>
        <w:t xml:space="preserve">arget city} </w:t>
      </w:r>
      <w:r w:rsidRPr="00C6496D">
        <w:rPr>
          <w:rFonts w:ascii="Times New Roman" w:hAnsi="Times New Roman" w:cs="Times New Roman"/>
          <w:i/>
          <w:sz w:val="24"/>
          <w:szCs w:val="24"/>
        </w:rPr>
        <w:t>divided</w:t>
      </w:r>
      <w:r>
        <w:rPr>
          <w:rFonts w:ascii="Times New Roman" w:hAnsi="Times New Roman" w:cs="Times New Roman"/>
          <w:sz w:val="24"/>
          <w:szCs w:val="24"/>
        </w:rPr>
        <w:t xml:space="preserve"> </w:t>
      </w:r>
      <w:r w:rsidRPr="00C6496D">
        <w:rPr>
          <w:rFonts w:ascii="Times New Roman" w:hAnsi="Times New Roman" w:cs="Times New Roman"/>
          <w:i/>
          <w:sz w:val="24"/>
          <w:szCs w:val="24"/>
        </w:rPr>
        <w:t>by</w:t>
      </w:r>
      <w:r>
        <w:rPr>
          <w:rFonts w:ascii="Times New Roman" w:hAnsi="Times New Roman" w:cs="Times New Roman"/>
          <w:sz w:val="24"/>
          <w:szCs w:val="24"/>
        </w:rPr>
        <w:t xml:space="preserve"> GRP in Rest of state &amp; Rest of USA] </w:t>
      </w:r>
    </w:p>
    <w:p w:rsidR="002D1458" w:rsidRDefault="002D1458" w:rsidP="002D1458">
      <w:pPr>
        <w:pStyle w:val="ListParagraph"/>
        <w:ind w:left="900" w:hanging="900"/>
        <w:contextualSpacing w:val="0"/>
        <w:rPr>
          <w:rFonts w:ascii="Times New Roman" w:hAnsi="Times New Roman" w:cs="Times New Roman"/>
          <w:b/>
          <w:sz w:val="24"/>
          <w:szCs w:val="24"/>
        </w:rPr>
      </w:pPr>
    </w:p>
    <w:p w:rsidR="002D1458" w:rsidRDefault="002D1458" w:rsidP="002D1458">
      <w:pPr>
        <w:rPr>
          <w:rFonts w:ascii="Times New Roman" w:hAnsi="Times New Roman" w:cs="Times New Roman"/>
          <w:sz w:val="24"/>
          <w:szCs w:val="24"/>
        </w:rPr>
      </w:pPr>
      <w:r>
        <w:rPr>
          <w:rFonts w:ascii="Times New Roman" w:hAnsi="Times New Roman" w:cs="Times New Roman"/>
          <w:sz w:val="24"/>
          <w:szCs w:val="24"/>
        </w:rPr>
        <w:br w:type="page"/>
      </w:r>
    </w:p>
    <w:p w:rsidR="002D1458" w:rsidRPr="00BC333D" w:rsidRDefault="002D1458" w:rsidP="002D1458">
      <w:pPr>
        <w:pStyle w:val="ListParagraph"/>
        <w:ind w:left="900" w:hanging="900"/>
        <w:contextualSpacing w:val="0"/>
        <w:jc w:val="center"/>
        <w:rPr>
          <w:rFonts w:ascii="Times New Roman" w:hAnsi="Times New Roman" w:cs="Times New Roman"/>
          <w:b/>
          <w:i/>
          <w:sz w:val="24"/>
          <w:szCs w:val="24"/>
        </w:rPr>
      </w:pPr>
      <w:r w:rsidRPr="00BC333D">
        <w:rPr>
          <w:rFonts w:ascii="Times New Roman" w:hAnsi="Times New Roman" w:cs="Times New Roman"/>
          <w:b/>
          <w:i/>
          <w:sz w:val="24"/>
          <w:szCs w:val="24"/>
        </w:rPr>
        <w:lastRenderedPageBreak/>
        <w:t xml:space="preserve">Table A7.  Coefficients, C(s,v), for foreign tourism discouragement in </w:t>
      </w:r>
      <w:r w:rsidR="0010392C" w:rsidRPr="00BC333D">
        <w:rPr>
          <w:rFonts w:ascii="Times New Roman" w:hAnsi="Times New Roman" w:cs="Times New Roman"/>
          <w:b/>
          <w:i/>
          <w:sz w:val="24"/>
          <w:szCs w:val="24"/>
        </w:rPr>
        <w:t>T</w:t>
      </w:r>
      <w:r w:rsidRPr="00BC333D">
        <w:rPr>
          <w:rFonts w:ascii="Times New Roman" w:hAnsi="Times New Roman" w:cs="Times New Roman"/>
          <w:b/>
          <w:i/>
          <w:sz w:val="24"/>
          <w:szCs w:val="24"/>
        </w:rPr>
        <w:t xml:space="preserve">arget city (s=7)  </w:t>
      </w:r>
    </w:p>
    <w:tbl>
      <w:tblPr>
        <w:tblStyle w:val="TableGrid"/>
        <w:tblW w:w="12422" w:type="dxa"/>
        <w:tblInd w:w="900" w:type="dxa"/>
        <w:tblLook w:val="04A0" w:firstRow="1" w:lastRow="0" w:firstColumn="1" w:lastColumn="0" w:noHBand="0" w:noVBand="1"/>
      </w:tblPr>
      <w:tblGrid>
        <w:gridCol w:w="495"/>
        <w:gridCol w:w="3150"/>
        <w:gridCol w:w="842"/>
        <w:gridCol w:w="910"/>
        <w:gridCol w:w="821"/>
        <w:gridCol w:w="900"/>
        <w:gridCol w:w="822"/>
        <w:gridCol w:w="900"/>
        <w:gridCol w:w="831"/>
        <w:gridCol w:w="904"/>
        <w:gridCol w:w="916"/>
        <w:gridCol w:w="931"/>
      </w:tblGrid>
      <w:tr w:rsidR="002D1458" w:rsidRPr="00E27213" w:rsidTr="001E7F73">
        <w:tc>
          <w:tcPr>
            <w:tcW w:w="495" w:type="dxa"/>
            <w:tcBorders>
              <w:top w:val="single" w:sz="18" w:space="0" w:color="7F7F7F" w:themeColor="text1" w:themeTint="80"/>
              <w:left w:val="nil"/>
              <w:bottom w:val="nil"/>
              <w:right w:val="nil"/>
            </w:tcBorders>
            <w:vAlign w:val="bottom"/>
          </w:tcPr>
          <w:p w:rsidR="002D1458" w:rsidRPr="00E27213" w:rsidRDefault="002D1458" w:rsidP="001E7F73">
            <w:pPr>
              <w:spacing w:before="0"/>
              <w:rPr>
                <w:rFonts w:ascii="Times New Roman" w:hAnsi="Times New Roman" w:cs="Times New Roman"/>
                <w:color w:val="000000"/>
                <w:sz w:val="20"/>
                <w:szCs w:val="20"/>
              </w:rPr>
            </w:pPr>
          </w:p>
        </w:tc>
        <w:tc>
          <w:tcPr>
            <w:tcW w:w="3150" w:type="dxa"/>
            <w:tcBorders>
              <w:top w:val="single" w:sz="18" w:space="0" w:color="7F7F7F" w:themeColor="text1" w:themeTint="80"/>
              <w:left w:val="nil"/>
              <w:bottom w:val="nil"/>
            </w:tcBorders>
            <w:vAlign w:val="center"/>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Target region (d)</w:t>
            </w:r>
          </w:p>
        </w:tc>
        <w:tc>
          <w:tcPr>
            <w:tcW w:w="1752"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FL24</w:t>
            </w:r>
          </w:p>
        </w:tc>
        <w:tc>
          <w:tcPr>
            <w:tcW w:w="1721"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AZ07</w:t>
            </w:r>
          </w:p>
        </w:tc>
        <w:tc>
          <w:tcPr>
            <w:tcW w:w="1722"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NY14</w:t>
            </w:r>
          </w:p>
        </w:tc>
        <w:tc>
          <w:tcPr>
            <w:tcW w:w="1735"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WA09</w:t>
            </w:r>
          </w:p>
        </w:tc>
        <w:tc>
          <w:tcPr>
            <w:tcW w:w="1847" w:type="dxa"/>
            <w:gridSpan w:val="2"/>
            <w:tcBorders>
              <w:top w:val="single" w:sz="18" w:space="0" w:color="7F7F7F" w:themeColor="text1" w:themeTint="80"/>
              <w:right w:val="nil"/>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Average</w:t>
            </w:r>
          </w:p>
        </w:tc>
      </w:tr>
      <w:tr w:rsidR="002D1458" w:rsidRPr="00E27213" w:rsidTr="001E7F73">
        <w:tc>
          <w:tcPr>
            <w:tcW w:w="495" w:type="dxa"/>
            <w:tcBorders>
              <w:top w:val="nil"/>
              <w:left w:val="nil"/>
              <w:bottom w:val="single" w:sz="18" w:space="0" w:color="7F7F7F" w:themeColor="text1" w:themeTint="80"/>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single" w:sz="18" w:space="0" w:color="7F7F7F" w:themeColor="text1" w:themeTint="80"/>
            </w:tcBorders>
            <w:vAlign w:val="bottom"/>
          </w:tcPr>
          <w:p w:rsidR="002D1458" w:rsidRPr="00E27213" w:rsidRDefault="002D1458" w:rsidP="001E7F73">
            <w:pPr>
              <w:spacing w:before="0"/>
              <w:rPr>
                <w:rFonts w:ascii="Times New Roman" w:hAnsi="Times New Roman" w:cs="Times New Roman"/>
                <w:color w:val="000000"/>
                <w:sz w:val="20"/>
                <w:szCs w:val="20"/>
              </w:rPr>
            </w:pPr>
            <w:r w:rsidRPr="00E27213">
              <w:rPr>
                <w:rFonts w:ascii="Times New Roman" w:hAnsi="Times New Roman" w:cs="Times New Roman"/>
                <w:color w:val="000000"/>
                <w:sz w:val="20"/>
                <w:szCs w:val="20"/>
              </w:rPr>
              <w:t>Implication variables (s)</w:t>
            </w:r>
          </w:p>
        </w:tc>
        <w:tc>
          <w:tcPr>
            <w:tcW w:w="842"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1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21"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22"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31"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4"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916"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31" w:type="dxa"/>
            <w:tcBorders>
              <w:bottom w:val="single" w:sz="18" w:space="0" w:color="7F7F7F" w:themeColor="text1" w:themeTint="80"/>
              <w:right w:val="nil"/>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r>
      <w:tr w:rsidR="002D1458" w:rsidRPr="00F901FE" w:rsidTr="001E7F73">
        <w:tc>
          <w:tcPr>
            <w:tcW w:w="3645" w:type="dxa"/>
            <w:gridSpan w:val="2"/>
            <w:tcBorders>
              <w:top w:val="single" w:sz="18" w:space="0" w:color="7F7F7F" w:themeColor="text1" w:themeTint="80"/>
              <w:left w:val="nil"/>
              <w:bottom w:val="nil"/>
              <w:right w:val="single" w:sz="4" w:space="0" w:color="auto"/>
            </w:tcBorders>
          </w:tcPr>
          <w:p w:rsidR="002D1458" w:rsidRPr="00F901FE" w:rsidRDefault="002D1458" w:rsidP="001E7F73">
            <w:pPr>
              <w:spacing w:before="0"/>
              <w:rPr>
                <w:rFonts w:ascii="Times New Roman" w:hAnsi="Times New Roman" w:cs="Times New Roman"/>
                <w:b/>
                <w:color w:val="000000"/>
                <w:sz w:val="20"/>
                <w:szCs w:val="20"/>
              </w:rPr>
            </w:pPr>
            <w:r w:rsidRPr="00F901FE">
              <w:rPr>
                <w:rFonts w:ascii="Times New Roman" w:hAnsi="Times New Roman" w:cs="Times New Roman"/>
                <w:b/>
                <w:color w:val="000000"/>
                <w:sz w:val="20"/>
                <w:szCs w:val="20"/>
              </w:rPr>
              <w:t>Keynesian</w:t>
            </w:r>
          </w:p>
        </w:tc>
        <w:tc>
          <w:tcPr>
            <w:tcW w:w="842"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39"/>
              </w:tabs>
              <w:spacing w:before="0"/>
              <w:ind w:left="0"/>
              <w:contextualSpacing w:val="0"/>
              <w:rPr>
                <w:rFonts w:ascii="Times New Roman" w:hAnsi="Times New Roman" w:cs="Times New Roman"/>
                <w:sz w:val="20"/>
                <w:szCs w:val="20"/>
              </w:rPr>
            </w:pPr>
          </w:p>
        </w:tc>
        <w:tc>
          <w:tcPr>
            <w:tcW w:w="931" w:type="dxa"/>
            <w:tcBorders>
              <w:top w:val="single" w:sz="18" w:space="0" w:color="7F7F7F" w:themeColor="text1" w:themeTint="80"/>
              <w:left w:val="nil"/>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r>
      <w:tr w:rsidR="002D1458" w:rsidRPr="00F901FE"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National </w:t>
            </w:r>
          </w:p>
        </w:tc>
        <w:tc>
          <w:tcPr>
            <w:tcW w:w="842"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nil"/>
              <w:left w:val="single" w:sz="4" w:space="0" w:color="auto"/>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r>
      <w:tr w:rsidR="002D1458" w:rsidTr="001E7F73">
        <w:trPr>
          <w:trHeight w:val="305"/>
        </w:trPr>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1</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GDP</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-1.19</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-0.001</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-1.18</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0.002</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-1.21</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0.001</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-1.16</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0.055</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-1.18</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0.014</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-0.98</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-0.001</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-0.97</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-0.007</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-1.00</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-0.004</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-0.97</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0.055</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-0.98</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0.011</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3a</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0.05 discount rate</w:t>
            </w:r>
          </w:p>
        </w:tc>
        <w:tc>
          <w:tcPr>
            <w:tcW w:w="84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-0.009</w:t>
            </w:r>
          </w:p>
        </w:tc>
        <w:tc>
          <w:tcPr>
            <w:tcW w:w="82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-0.009</w:t>
            </w:r>
          </w:p>
        </w:tc>
        <w:tc>
          <w:tcPr>
            <w:tcW w:w="82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-0.008</w:t>
            </w:r>
          </w:p>
        </w:tc>
        <w:tc>
          <w:tcPr>
            <w:tcW w:w="83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-0.006</w:t>
            </w:r>
          </w:p>
        </w:tc>
        <w:tc>
          <w:tcPr>
            <w:tcW w:w="916"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-0.008</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3b</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0.02 discount rate</w:t>
            </w:r>
          </w:p>
        </w:tc>
        <w:tc>
          <w:tcPr>
            <w:tcW w:w="84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-0.010</w:t>
            </w:r>
          </w:p>
        </w:tc>
        <w:tc>
          <w:tcPr>
            <w:tcW w:w="82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-0.010</w:t>
            </w:r>
          </w:p>
        </w:tc>
        <w:tc>
          <w:tcPr>
            <w:tcW w:w="82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-0.008</w:t>
            </w:r>
          </w:p>
        </w:tc>
        <w:tc>
          <w:tcPr>
            <w:tcW w:w="83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-0.005</w:t>
            </w:r>
          </w:p>
        </w:tc>
        <w:tc>
          <w:tcPr>
            <w:tcW w:w="916"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-0.008</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Target region </w:t>
            </w:r>
          </w:p>
        </w:tc>
        <w:tc>
          <w:tcPr>
            <w:tcW w:w="84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10"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82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82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83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4"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16"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31" w:type="dxa"/>
            <w:tcBorders>
              <w:top w:val="nil"/>
              <w:left w:val="nil"/>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4</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GRP</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-1.30</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-0.007</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-1.24</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0.001</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-1.45</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0.001</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-0.99</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0.004</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-1.24</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5</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-1.19</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-0.004</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-1.11</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0.001</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-1.28</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-0.001</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-0.88</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0.001</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-1.11</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-0.001</w:t>
            </w:r>
          </w:p>
        </w:tc>
      </w:tr>
      <w:tr w:rsidR="002D1458" w:rsidRPr="00857A94" w:rsidTr="001E7F73">
        <w:tc>
          <w:tcPr>
            <w:tcW w:w="3645" w:type="dxa"/>
            <w:gridSpan w:val="2"/>
            <w:tcBorders>
              <w:top w:val="single" w:sz="18" w:space="0" w:color="7F7F7F" w:themeColor="text1" w:themeTint="80"/>
              <w:left w:val="nil"/>
              <w:bottom w:val="nil"/>
              <w:right w:val="single" w:sz="4" w:space="0" w:color="auto"/>
            </w:tcBorders>
          </w:tcPr>
          <w:p w:rsidR="002D1458" w:rsidRPr="00F901FE" w:rsidRDefault="002D1458" w:rsidP="001E7F73">
            <w:pPr>
              <w:spacing w:before="0"/>
              <w:rPr>
                <w:rFonts w:ascii="Times New Roman" w:hAnsi="Times New Roman" w:cs="Times New Roman"/>
                <w:b/>
                <w:color w:val="000000"/>
                <w:sz w:val="20"/>
                <w:szCs w:val="20"/>
              </w:rPr>
            </w:pPr>
            <w:r w:rsidRPr="00F901FE">
              <w:rPr>
                <w:rFonts w:ascii="Times New Roman" w:hAnsi="Times New Roman" w:cs="Times New Roman"/>
                <w:b/>
                <w:color w:val="000000"/>
                <w:sz w:val="20"/>
                <w:szCs w:val="20"/>
              </w:rPr>
              <w:t>Neoclassical</w:t>
            </w:r>
          </w:p>
        </w:tc>
        <w:tc>
          <w:tcPr>
            <w:tcW w:w="842" w:type="dxa"/>
            <w:tcBorders>
              <w:top w:val="single" w:sz="18" w:space="0" w:color="7F7F7F" w:themeColor="text1" w:themeTint="80"/>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single" w:sz="18" w:space="0" w:color="7F7F7F" w:themeColor="text1" w:themeTint="80"/>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single" w:sz="18" w:space="0" w:color="7F7F7F" w:themeColor="text1" w:themeTint="80"/>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single" w:sz="18" w:space="0" w:color="7F7F7F" w:themeColor="text1" w:themeTint="80"/>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single" w:sz="18" w:space="0" w:color="7F7F7F" w:themeColor="text1" w:themeTint="80"/>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single" w:sz="18" w:space="0" w:color="7F7F7F" w:themeColor="text1" w:themeTint="80"/>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single" w:sz="18" w:space="0" w:color="7F7F7F" w:themeColor="text1" w:themeTint="80"/>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31" w:type="dxa"/>
            <w:tcBorders>
              <w:top w:val="single" w:sz="18" w:space="0" w:color="7F7F7F" w:themeColor="text1" w:themeTint="80"/>
              <w:left w:val="nil"/>
              <w:bottom w:val="nil"/>
              <w:right w:val="nil"/>
            </w:tcBorders>
          </w:tcPr>
          <w:p w:rsidR="002D1458" w:rsidRPr="00BC333D" w:rsidRDefault="002D1458" w:rsidP="001E7F73">
            <w:pPr>
              <w:pStyle w:val="ListParagraph"/>
              <w:tabs>
                <w:tab w:val="decimal" w:pos="339"/>
              </w:tabs>
              <w:spacing w:before="0"/>
              <w:ind w:left="0"/>
              <w:contextualSpacing w:val="0"/>
              <w:rPr>
                <w:rFonts w:ascii="Times New Roman" w:hAnsi="Times New Roman" w:cs="Times New Roman"/>
                <w:sz w:val="20"/>
                <w:szCs w:val="20"/>
              </w:rPr>
            </w:pPr>
          </w:p>
        </w:tc>
      </w:tr>
      <w:tr w:rsidR="002D1458" w:rsidRPr="00857A94"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National </w:t>
            </w:r>
          </w:p>
        </w:tc>
        <w:tc>
          <w:tcPr>
            <w:tcW w:w="842" w:type="dxa"/>
            <w:tcBorders>
              <w:top w:val="nil"/>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nil"/>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nil"/>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nil"/>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nil"/>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nil"/>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nil"/>
              <w:left w:val="single" w:sz="4" w:space="0" w:color="auto"/>
              <w:bottom w:val="nil"/>
              <w:right w:val="nil"/>
            </w:tcBorders>
            <w:vAlign w:val="bottom"/>
          </w:tcPr>
          <w:p w:rsidR="002D1458" w:rsidRPr="00BC333D" w:rsidRDefault="002D1458" w:rsidP="001E7F73">
            <w:pPr>
              <w:tabs>
                <w:tab w:val="decimal" w:pos="339"/>
              </w:tabs>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BC333D" w:rsidRDefault="002D1458" w:rsidP="001E7F73">
            <w:pPr>
              <w:tabs>
                <w:tab w:val="decimal" w:pos="339"/>
              </w:tabs>
              <w:spacing w:before="0"/>
              <w:rPr>
                <w:rFonts w:ascii="Times New Roman" w:hAnsi="Times New Roman" w:cs="Times New Roman"/>
                <w:color w:val="000000"/>
                <w:sz w:val="20"/>
                <w:szCs w:val="20"/>
              </w:rPr>
            </w:pPr>
          </w:p>
        </w:tc>
      </w:tr>
      <w:tr w:rsidR="002D1458" w:rsidTr="001E7F73">
        <w:trPr>
          <w:trHeight w:val="305"/>
        </w:trPr>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1</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GDP</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-0.19</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0.001</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-0.19</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-0.013</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-0.19</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0.005</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-0.18</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0.030</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-0.18</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0.006</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-0.27</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-0.001</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-0.27</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-0.012</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-0.27</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0.003</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-0.26</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0.037</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-0.26</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0.007</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3a</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0.05 discount rate</w:t>
            </w:r>
          </w:p>
        </w:tc>
        <w:tc>
          <w:tcPr>
            <w:tcW w:w="84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-0.004</w:t>
            </w:r>
          </w:p>
        </w:tc>
        <w:tc>
          <w:tcPr>
            <w:tcW w:w="82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-0.005</w:t>
            </w:r>
          </w:p>
        </w:tc>
        <w:tc>
          <w:tcPr>
            <w:tcW w:w="82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-0.004</w:t>
            </w:r>
          </w:p>
        </w:tc>
        <w:tc>
          <w:tcPr>
            <w:tcW w:w="83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-0.002</w:t>
            </w:r>
          </w:p>
        </w:tc>
        <w:tc>
          <w:tcPr>
            <w:tcW w:w="916"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-0.004</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3b</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0.02 discount rate</w:t>
            </w:r>
          </w:p>
        </w:tc>
        <w:tc>
          <w:tcPr>
            <w:tcW w:w="84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-0.005</w:t>
            </w:r>
          </w:p>
        </w:tc>
        <w:tc>
          <w:tcPr>
            <w:tcW w:w="82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-0.006</w:t>
            </w:r>
          </w:p>
        </w:tc>
        <w:tc>
          <w:tcPr>
            <w:tcW w:w="82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-0.004</w:t>
            </w:r>
          </w:p>
        </w:tc>
        <w:tc>
          <w:tcPr>
            <w:tcW w:w="83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-0.002</w:t>
            </w:r>
          </w:p>
        </w:tc>
        <w:tc>
          <w:tcPr>
            <w:tcW w:w="916"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-0.004</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Target region </w:t>
            </w:r>
          </w:p>
        </w:tc>
        <w:tc>
          <w:tcPr>
            <w:tcW w:w="84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10"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82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82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83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4"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16"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31" w:type="dxa"/>
            <w:tcBorders>
              <w:top w:val="nil"/>
              <w:left w:val="nil"/>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4</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GRP</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-0.28</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-0.014</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-0.24</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-0.003</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-0.27</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-0.20</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-0.001</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-0.25</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-0.005</w:t>
            </w:r>
          </w:p>
        </w:tc>
      </w:tr>
      <w:tr w:rsidR="002D1458" w:rsidTr="001E7F73">
        <w:tc>
          <w:tcPr>
            <w:tcW w:w="495" w:type="dxa"/>
            <w:tcBorders>
              <w:top w:val="nil"/>
              <w:left w:val="nil"/>
              <w:bottom w:val="single" w:sz="18" w:space="0" w:color="7F7F7F" w:themeColor="text1" w:themeTint="80"/>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5</w:t>
            </w:r>
          </w:p>
        </w:tc>
        <w:tc>
          <w:tcPr>
            <w:tcW w:w="3150" w:type="dxa"/>
            <w:tcBorders>
              <w:top w:val="nil"/>
              <w:left w:val="nil"/>
              <w:bottom w:val="single" w:sz="18" w:space="0" w:color="7F7F7F" w:themeColor="text1" w:themeTint="80"/>
              <w:right w:val="single" w:sz="4" w:space="0" w:color="000000" w:themeColor="text1"/>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000000" w:themeColor="text1"/>
              <w:bottom w:val="single" w:sz="18" w:space="0" w:color="7F7F7F" w:themeColor="text1" w:themeTint="80"/>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-0.38</w:t>
            </w:r>
          </w:p>
        </w:tc>
        <w:tc>
          <w:tcPr>
            <w:tcW w:w="910" w:type="dxa"/>
            <w:tcBorders>
              <w:top w:val="nil"/>
              <w:left w:val="nil"/>
              <w:bottom w:val="single" w:sz="18" w:space="0" w:color="7F7F7F" w:themeColor="text1" w:themeTint="80"/>
              <w:right w:val="single" w:sz="4" w:space="0" w:color="000000" w:themeColor="text1"/>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-0.007</w:t>
            </w:r>
          </w:p>
        </w:tc>
        <w:tc>
          <w:tcPr>
            <w:tcW w:w="821" w:type="dxa"/>
            <w:tcBorders>
              <w:top w:val="nil"/>
              <w:left w:val="single" w:sz="4" w:space="0" w:color="000000" w:themeColor="text1"/>
              <w:bottom w:val="single" w:sz="18" w:space="0" w:color="7F7F7F" w:themeColor="text1" w:themeTint="80"/>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-0.29</w:t>
            </w:r>
          </w:p>
        </w:tc>
        <w:tc>
          <w:tcPr>
            <w:tcW w:w="900" w:type="dxa"/>
            <w:tcBorders>
              <w:top w:val="nil"/>
              <w:left w:val="nil"/>
              <w:bottom w:val="single" w:sz="18" w:space="0" w:color="7F7F7F" w:themeColor="text1" w:themeTint="80"/>
              <w:right w:val="single" w:sz="4" w:space="0" w:color="000000" w:themeColor="text1"/>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822" w:type="dxa"/>
            <w:tcBorders>
              <w:top w:val="nil"/>
              <w:left w:val="single" w:sz="4" w:space="0" w:color="000000" w:themeColor="text1"/>
              <w:bottom w:val="single" w:sz="18" w:space="0" w:color="7F7F7F" w:themeColor="text1" w:themeTint="80"/>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-0.37</w:t>
            </w:r>
          </w:p>
        </w:tc>
        <w:tc>
          <w:tcPr>
            <w:tcW w:w="900" w:type="dxa"/>
            <w:tcBorders>
              <w:top w:val="nil"/>
              <w:left w:val="nil"/>
              <w:bottom w:val="single" w:sz="18" w:space="0" w:color="7F7F7F" w:themeColor="text1" w:themeTint="80"/>
              <w:right w:val="single" w:sz="4" w:space="0" w:color="000000" w:themeColor="text1"/>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831" w:type="dxa"/>
            <w:tcBorders>
              <w:top w:val="nil"/>
              <w:left w:val="single" w:sz="4" w:space="0" w:color="000000" w:themeColor="text1"/>
              <w:bottom w:val="single" w:sz="18" w:space="0" w:color="7F7F7F" w:themeColor="text1" w:themeTint="80"/>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-0.24</w:t>
            </w:r>
          </w:p>
        </w:tc>
        <w:tc>
          <w:tcPr>
            <w:tcW w:w="904" w:type="dxa"/>
            <w:tcBorders>
              <w:top w:val="nil"/>
              <w:left w:val="nil"/>
              <w:bottom w:val="single" w:sz="18" w:space="0" w:color="7F7F7F" w:themeColor="text1" w:themeTint="80"/>
              <w:right w:val="single" w:sz="4" w:space="0" w:color="000000" w:themeColor="text1"/>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-0.001</w:t>
            </w:r>
          </w:p>
        </w:tc>
        <w:tc>
          <w:tcPr>
            <w:tcW w:w="916" w:type="dxa"/>
            <w:tcBorders>
              <w:top w:val="nil"/>
              <w:left w:val="single" w:sz="4" w:space="0" w:color="000000" w:themeColor="text1"/>
              <w:bottom w:val="single" w:sz="18" w:space="0" w:color="7F7F7F" w:themeColor="text1" w:themeTint="80"/>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-0.32</w:t>
            </w:r>
          </w:p>
        </w:tc>
        <w:tc>
          <w:tcPr>
            <w:tcW w:w="931" w:type="dxa"/>
            <w:tcBorders>
              <w:top w:val="nil"/>
              <w:left w:val="nil"/>
              <w:bottom w:val="single" w:sz="18" w:space="0" w:color="7F7F7F" w:themeColor="text1" w:themeTint="80"/>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-0.002</w:t>
            </w:r>
          </w:p>
        </w:tc>
      </w:tr>
    </w:tbl>
    <w:p w:rsidR="002D1458" w:rsidRPr="006203B3" w:rsidRDefault="002D1458" w:rsidP="002D1458">
      <w:pPr>
        <w:pStyle w:val="ListParagraph"/>
        <w:ind w:left="900" w:hanging="900"/>
        <w:contextualSpacing w:val="0"/>
        <w:rPr>
          <w:rFonts w:ascii="Times New Roman" w:hAnsi="Times New Roman" w:cs="Times New Roman"/>
          <w:b/>
          <w:sz w:val="24"/>
          <w:szCs w:val="24"/>
        </w:rPr>
      </w:pPr>
      <w:r w:rsidRPr="006203B3">
        <w:rPr>
          <w:rFonts w:ascii="Times New Roman" w:hAnsi="Times New Roman" w:cs="Times New Roman"/>
          <w:b/>
          <w:sz w:val="24"/>
          <w:szCs w:val="24"/>
        </w:rPr>
        <w:t xml:space="preserve">Relevant variables.  </w:t>
      </w:r>
    </w:p>
    <w:p w:rsidR="002D1458" w:rsidRPr="006203B3" w:rsidRDefault="002D1458" w:rsidP="002D1458">
      <w:pPr>
        <w:pStyle w:val="ListParagraph"/>
        <w:ind w:left="900" w:hanging="900"/>
        <w:contextualSpacing w:val="0"/>
        <w:rPr>
          <w:rFonts w:ascii="Times New Roman" w:hAnsi="Times New Roman" w:cs="Times New Roman"/>
          <w:sz w:val="24"/>
          <w:szCs w:val="24"/>
        </w:rPr>
      </w:pPr>
      <w:r w:rsidRPr="006203B3">
        <w:rPr>
          <w:rFonts w:ascii="Times New Roman" w:hAnsi="Times New Roman" w:cs="Times New Roman"/>
          <w:b/>
          <w:i/>
          <w:sz w:val="24"/>
          <w:szCs w:val="24"/>
        </w:rPr>
        <w:t xml:space="preserve">National:  </w:t>
      </w:r>
      <w:r w:rsidRPr="006203B3">
        <w:rPr>
          <w:rFonts w:ascii="Times New Roman" w:hAnsi="Times New Roman" w:cs="Times New Roman"/>
          <w:sz w:val="24"/>
          <w:szCs w:val="24"/>
        </w:rPr>
        <w:t xml:space="preserve">Spending by foreign visitors in </w:t>
      </w:r>
      <w:r w:rsidR="0010392C">
        <w:rPr>
          <w:rFonts w:ascii="Times New Roman" w:hAnsi="Times New Roman" w:cs="Times New Roman"/>
          <w:sz w:val="24"/>
          <w:szCs w:val="24"/>
        </w:rPr>
        <w:t>T</w:t>
      </w:r>
      <w:r w:rsidRPr="006203B3">
        <w:rPr>
          <w:rFonts w:ascii="Times New Roman" w:hAnsi="Times New Roman" w:cs="Times New Roman"/>
          <w:sz w:val="24"/>
          <w:szCs w:val="24"/>
        </w:rPr>
        <w:t>arget city as share of national GDP</w:t>
      </w:r>
    </w:p>
    <w:p w:rsidR="002D1458" w:rsidRPr="00D21E8E" w:rsidRDefault="002D1458" w:rsidP="002D1458">
      <w:pPr>
        <w:pStyle w:val="ListParagraph"/>
        <w:ind w:left="900" w:hanging="900"/>
        <w:contextualSpacing w:val="0"/>
        <w:rPr>
          <w:rFonts w:ascii="Times New Roman" w:hAnsi="Times New Roman" w:cs="Times New Roman"/>
          <w:sz w:val="24"/>
          <w:szCs w:val="24"/>
        </w:rPr>
      </w:pPr>
      <w:r w:rsidRPr="00F96048">
        <w:rPr>
          <w:rFonts w:ascii="Times New Roman" w:hAnsi="Times New Roman" w:cs="Times New Roman"/>
          <w:b/>
          <w:i/>
          <w:sz w:val="24"/>
          <w:szCs w:val="24"/>
        </w:rPr>
        <w:t>Regional:</w:t>
      </w:r>
      <w:r w:rsidRPr="00F96048">
        <w:rPr>
          <w:rFonts w:ascii="Times New Roman" w:hAnsi="Times New Roman" w:cs="Times New Roman"/>
          <w:sz w:val="24"/>
          <w:szCs w:val="24"/>
        </w:rPr>
        <w:t xml:space="preserve">  Share of target region’s GRP that is devoted to supplying goods and services to foreign visitors in </w:t>
      </w:r>
      <w:r w:rsidR="0010392C">
        <w:rPr>
          <w:rFonts w:ascii="Times New Roman" w:hAnsi="Times New Roman" w:cs="Times New Roman"/>
          <w:sz w:val="24"/>
          <w:szCs w:val="24"/>
        </w:rPr>
        <w:t>T</w:t>
      </w:r>
      <w:r w:rsidRPr="00F96048">
        <w:rPr>
          <w:rFonts w:ascii="Times New Roman" w:hAnsi="Times New Roman" w:cs="Times New Roman"/>
          <w:sz w:val="24"/>
          <w:szCs w:val="24"/>
        </w:rPr>
        <w:t>arget city</w:t>
      </w:r>
    </w:p>
    <w:p w:rsidR="002D1458" w:rsidRDefault="002D1458" w:rsidP="002D1458">
      <w:pPr>
        <w:pStyle w:val="ListParagraph"/>
        <w:ind w:left="900" w:hanging="900"/>
        <w:contextualSpacing w:val="0"/>
        <w:rPr>
          <w:rFonts w:ascii="Times New Roman" w:hAnsi="Times New Roman" w:cs="Times New Roman"/>
          <w:b/>
          <w:sz w:val="24"/>
          <w:szCs w:val="24"/>
        </w:rPr>
      </w:pPr>
    </w:p>
    <w:p w:rsidR="002D1458" w:rsidRDefault="002D1458" w:rsidP="002D1458">
      <w:pPr>
        <w:rPr>
          <w:rFonts w:ascii="Times New Roman" w:hAnsi="Times New Roman" w:cs="Times New Roman"/>
          <w:sz w:val="24"/>
          <w:szCs w:val="24"/>
        </w:rPr>
      </w:pPr>
      <w:r>
        <w:rPr>
          <w:rFonts w:ascii="Times New Roman" w:hAnsi="Times New Roman" w:cs="Times New Roman"/>
          <w:sz w:val="24"/>
          <w:szCs w:val="24"/>
        </w:rPr>
        <w:br w:type="page"/>
      </w:r>
    </w:p>
    <w:p w:rsidR="002D1458" w:rsidRPr="00BC333D" w:rsidRDefault="002D1458" w:rsidP="002D1458">
      <w:pPr>
        <w:pStyle w:val="ListParagraph"/>
        <w:ind w:left="900" w:hanging="900"/>
        <w:contextualSpacing w:val="0"/>
        <w:jc w:val="center"/>
        <w:rPr>
          <w:rFonts w:ascii="Times New Roman" w:hAnsi="Times New Roman" w:cs="Times New Roman"/>
          <w:b/>
          <w:i/>
          <w:sz w:val="24"/>
          <w:szCs w:val="24"/>
        </w:rPr>
      </w:pPr>
      <w:r w:rsidRPr="00BC333D">
        <w:rPr>
          <w:rFonts w:ascii="Times New Roman" w:hAnsi="Times New Roman" w:cs="Times New Roman"/>
          <w:b/>
          <w:i/>
          <w:sz w:val="24"/>
          <w:szCs w:val="24"/>
        </w:rPr>
        <w:lastRenderedPageBreak/>
        <w:t xml:space="preserve">Table A8.  Coefficients, C(s,v), for foreign tourism discouragement outside </w:t>
      </w:r>
      <w:r w:rsidR="0010392C" w:rsidRPr="00BC333D">
        <w:rPr>
          <w:rFonts w:ascii="Times New Roman" w:hAnsi="Times New Roman" w:cs="Times New Roman"/>
          <w:b/>
          <w:i/>
          <w:sz w:val="24"/>
          <w:szCs w:val="24"/>
        </w:rPr>
        <w:t>T</w:t>
      </w:r>
      <w:r w:rsidRPr="00BC333D">
        <w:rPr>
          <w:rFonts w:ascii="Times New Roman" w:hAnsi="Times New Roman" w:cs="Times New Roman"/>
          <w:b/>
          <w:i/>
          <w:sz w:val="24"/>
          <w:szCs w:val="24"/>
        </w:rPr>
        <w:t xml:space="preserve">arget city (s=8)  </w:t>
      </w:r>
    </w:p>
    <w:tbl>
      <w:tblPr>
        <w:tblStyle w:val="TableGrid"/>
        <w:tblW w:w="12422" w:type="dxa"/>
        <w:tblInd w:w="900" w:type="dxa"/>
        <w:tblLook w:val="04A0" w:firstRow="1" w:lastRow="0" w:firstColumn="1" w:lastColumn="0" w:noHBand="0" w:noVBand="1"/>
      </w:tblPr>
      <w:tblGrid>
        <w:gridCol w:w="495"/>
        <w:gridCol w:w="3150"/>
        <w:gridCol w:w="842"/>
        <w:gridCol w:w="910"/>
        <w:gridCol w:w="821"/>
        <w:gridCol w:w="900"/>
        <w:gridCol w:w="822"/>
        <w:gridCol w:w="900"/>
        <w:gridCol w:w="831"/>
        <w:gridCol w:w="904"/>
        <w:gridCol w:w="916"/>
        <w:gridCol w:w="931"/>
      </w:tblGrid>
      <w:tr w:rsidR="002D1458" w:rsidRPr="00E27213" w:rsidTr="001E7F73">
        <w:tc>
          <w:tcPr>
            <w:tcW w:w="495" w:type="dxa"/>
            <w:tcBorders>
              <w:top w:val="single" w:sz="18" w:space="0" w:color="7F7F7F" w:themeColor="text1" w:themeTint="80"/>
              <w:left w:val="nil"/>
              <w:bottom w:val="nil"/>
              <w:right w:val="nil"/>
            </w:tcBorders>
            <w:vAlign w:val="bottom"/>
          </w:tcPr>
          <w:p w:rsidR="002D1458" w:rsidRPr="00E27213" w:rsidRDefault="002D1458" w:rsidP="001E7F73">
            <w:pPr>
              <w:spacing w:before="0"/>
              <w:rPr>
                <w:rFonts w:ascii="Times New Roman" w:hAnsi="Times New Roman" w:cs="Times New Roman"/>
                <w:color w:val="000000"/>
                <w:sz w:val="20"/>
                <w:szCs w:val="20"/>
              </w:rPr>
            </w:pPr>
          </w:p>
        </w:tc>
        <w:tc>
          <w:tcPr>
            <w:tcW w:w="3150" w:type="dxa"/>
            <w:tcBorders>
              <w:top w:val="single" w:sz="18" w:space="0" w:color="7F7F7F" w:themeColor="text1" w:themeTint="80"/>
              <w:left w:val="nil"/>
              <w:bottom w:val="nil"/>
            </w:tcBorders>
            <w:vAlign w:val="center"/>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Target region (d)</w:t>
            </w:r>
          </w:p>
        </w:tc>
        <w:tc>
          <w:tcPr>
            <w:tcW w:w="1752"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FL24</w:t>
            </w:r>
          </w:p>
        </w:tc>
        <w:tc>
          <w:tcPr>
            <w:tcW w:w="1721"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AZ07</w:t>
            </w:r>
          </w:p>
        </w:tc>
        <w:tc>
          <w:tcPr>
            <w:tcW w:w="1722"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NY14</w:t>
            </w:r>
          </w:p>
        </w:tc>
        <w:tc>
          <w:tcPr>
            <w:tcW w:w="1735"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WA09</w:t>
            </w:r>
          </w:p>
        </w:tc>
        <w:tc>
          <w:tcPr>
            <w:tcW w:w="1847" w:type="dxa"/>
            <w:gridSpan w:val="2"/>
            <w:tcBorders>
              <w:top w:val="single" w:sz="18" w:space="0" w:color="7F7F7F" w:themeColor="text1" w:themeTint="80"/>
              <w:right w:val="nil"/>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Average</w:t>
            </w:r>
          </w:p>
        </w:tc>
      </w:tr>
      <w:tr w:rsidR="002D1458" w:rsidRPr="00E27213" w:rsidTr="001E7F73">
        <w:tc>
          <w:tcPr>
            <w:tcW w:w="495" w:type="dxa"/>
            <w:tcBorders>
              <w:top w:val="nil"/>
              <w:left w:val="nil"/>
              <w:bottom w:val="single" w:sz="18" w:space="0" w:color="7F7F7F" w:themeColor="text1" w:themeTint="80"/>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single" w:sz="18" w:space="0" w:color="7F7F7F" w:themeColor="text1" w:themeTint="80"/>
            </w:tcBorders>
            <w:vAlign w:val="bottom"/>
          </w:tcPr>
          <w:p w:rsidR="002D1458" w:rsidRPr="00E27213" w:rsidRDefault="002D1458" w:rsidP="001E7F73">
            <w:pPr>
              <w:spacing w:before="0"/>
              <w:rPr>
                <w:rFonts w:ascii="Times New Roman" w:hAnsi="Times New Roman" w:cs="Times New Roman"/>
                <w:color w:val="000000"/>
                <w:sz w:val="20"/>
                <w:szCs w:val="20"/>
              </w:rPr>
            </w:pPr>
            <w:r w:rsidRPr="00E27213">
              <w:rPr>
                <w:rFonts w:ascii="Times New Roman" w:hAnsi="Times New Roman" w:cs="Times New Roman"/>
                <w:color w:val="000000"/>
                <w:sz w:val="20"/>
                <w:szCs w:val="20"/>
              </w:rPr>
              <w:t>Implication variables (s)</w:t>
            </w:r>
          </w:p>
        </w:tc>
        <w:tc>
          <w:tcPr>
            <w:tcW w:w="842"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1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21"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22"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31"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4"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916"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31" w:type="dxa"/>
            <w:tcBorders>
              <w:bottom w:val="single" w:sz="18" w:space="0" w:color="7F7F7F" w:themeColor="text1" w:themeTint="80"/>
              <w:right w:val="nil"/>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r>
      <w:tr w:rsidR="002D1458" w:rsidRPr="00F901FE" w:rsidTr="001E7F73">
        <w:tc>
          <w:tcPr>
            <w:tcW w:w="3645" w:type="dxa"/>
            <w:gridSpan w:val="2"/>
            <w:tcBorders>
              <w:top w:val="single" w:sz="18" w:space="0" w:color="7F7F7F" w:themeColor="text1" w:themeTint="80"/>
              <w:left w:val="nil"/>
              <w:bottom w:val="nil"/>
              <w:right w:val="single" w:sz="4" w:space="0" w:color="auto"/>
            </w:tcBorders>
          </w:tcPr>
          <w:p w:rsidR="002D1458" w:rsidRPr="00F901FE" w:rsidRDefault="002D1458" w:rsidP="001E7F73">
            <w:pPr>
              <w:spacing w:before="0"/>
              <w:rPr>
                <w:rFonts w:ascii="Times New Roman" w:hAnsi="Times New Roman" w:cs="Times New Roman"/>
                <w:b/>
                <w:color w:val="000000"/>
                <w:sz w:val="20"/>
                <w:szCs w:val="20"/>
              </w:rPr>
            </w:pPr>
            <w:r w:rsidRPr="00F901FE">
              <w:rPr>
                <w:rFonts w:ascii="Times New Roman" w:hAnsi="Times New Roman" w:cs="Times New Roman"/>
                <w:b/>
                <w:color w:val="000000"/>
                <w:sz w:val="20"/>
                <w:szCs w:val="20"/>
              </w:rPr>
              <w:t>Keynesian</w:t>
            </w:r>
          </w:p>
        </w:tc>
        <w:tc>
          <w:tcPr>
            <w:tcW w:w="842"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39"/>
              </w:tabs>
              <w:spacing w:before="0"/>
              <w:ind w:left="0"/>
              <w:contextualSpacing w:val="0"/>
              <w:rPr>
                <w:rFonts w:ascii="Times New Roman" w:hAnsi="Times New Roman" w:cs="Times New Roman"/>
                <w:sz w:val="20"/>
                <w:szCs w:val="20"/>
              </w:rPr>
            </w:pPr>
          </w:p>
        </w:tc>
        <w:tc>
          <w:tcPr>
            <w:tcW w:w="931" w:type="dxa"/>
            <w:tcBorders>
              <w:top w:val="single" w:sz="18" w:space="0" w:color="7F7F7F" w:themeColor="text1" w:themeTint="80"/>
              <w:left w:val="nil"/>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r>
      <w:tr w:rsidR="002D1458" w:rsidRPr="00F901FE"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National </w:t>
            </w:r>
          </w:p>
        </w:tc>
        <w:tc>
          <w:tcPr>
            <w:tcW w:w="842"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nil"/>
              <w:left w:val="single" w:sz="4" w:space="0" w:color="auto"/>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r>
      <w:tr w:rsidR="002D1458" w:rsidTr="001E7F73">
        <w:trPr>
          <w:trHeight w:val="305"/>
        </w:trPr>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1</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GDP</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-1.17</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-0.002</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-1.17</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-0.002</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-1.17</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-0.001</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-1.17</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-1.17</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-0.001</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-0.97</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-0.005</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-0.97</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-0.004</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-0.97</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-0.004</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-0.97</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-0.003</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-0.97</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-0.004</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3a</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0.05 discount rate</w:t>
            </w:r>
          </w:p>
        </w:tc>
        <w:tc>
          <w:tcPr>
            <w:tcW w:w="84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-0.008</w:t>
            </w:r>
          </w:p>
        </w:tc>
        <w:tc>
          <w:tcPr>
            <w:tcW w:w="82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-0.008</w:t>
            </w:r>
          </w:p>
        </w:tc>
        <w:tc>
          <w:tcPr>
            <w:tcW w:w="82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-0.008</w:t>
            </w:r>
          </w:p>
        </w:tc>
        <w:tc>
          <w:tcPr>
            <w:tcW w:w="83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-0.008</w:t>
            </w:r>
          </w:p>
        </w:tc>
        <w:tc>
          <w:tcPr>
            <w:tcW w:w="916"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-0.008</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3b</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0.02 discount rate</w:t>
            </w:r>
          </w:p>
        </w:tc>
        <w:tc>
          <w:tcPr>
            <w:tcW w:w="84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-0.008</w:t>
            </w:r>
          </w:p>
        </w:tc>
        <w:tc>
          <w:tcPr>
            <w:tcW w:w="82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-0.009</w:t>
            </w:r>
          </w:p>
        </w:tc>
        <w:tc>
          <w:tcPr>
            <w:tcW w:w="82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-0.008</w:t>
            </w:r>
          </w:p>
        </w:tc>
        <w:tc>
          <w:tcPr>
            <w:tcW w:w="83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-0.008</w:t>
            </w:r>
          </w:p>
        </w:tc>
        <w:tc>
          <w:tcPr>
            <w:tcW w:w="916"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-0.008</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Target region </w:t>
            </w:r>
          </w:p>
        </w:tc>
        <w:tc>
          <w:tcPr>
            <w:tcW w:w="84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10"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82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82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83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4"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16"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31" w:type="dxa"/>
            <w:tcBorders>
              <w:top w:val="nil"/>
              <w:left w:val="nil"/>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4</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GRP</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-1.40</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0.012</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-0.75</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-0.004</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-1.26</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-0.006</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-0.83</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0.003</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-1.06</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0.001</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5</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-1.30</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0.001</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-0.58</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-0.006</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-1.05</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-0.007</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-0.65</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-0.89</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-0.003</w:t>
            </w:r>
          </w:p>
        </w:tc>
      </w:tr>
      <w:tr w:rsidR="002D1458" w:rsidRPr="00857A94" w:rsidTr="001E7F73">
        <w:tc>
          <w:tcPr>
            <w:tcW w:w="3645" w:type="dxa"/>
            <w:gridSpan w:val="2"/>
            <w:tcBorders>
              <w:top w:val="single" w:sz="18" w:space="0" w:color="7F7F7F" w:themeColor="text1" w:themeTint="80"/>
              <w:left w:val="nil"/>
              <w:bottom w:val="nil"/>
              <w:right w:val="single" w:sz="4" w:space="0" w:color="auto"/>
            </w:tcBorders>
          </w:tcPr>
          <w:p w:rsidR="002D1458" w:rsidRPr="00F901FE" w:rsidRDefault="002D1458" w:rsidP="001E7F73">
            <w:pPr>
              <w:spacing w:before="0"/>
              <w:rPr>
                <w:rFonts w:ascii="Times New Roman" w:hAnsi="Times New Roman" w:cs="Times New Roman"/>
                <w:b/>
                <w:color w:val="000000"/>
                <w:sz w:val="20"/>
                <w:szCs w:val="20"/>
              </w:rPr>
            </w:pPr>
            <w:r w:rsidRPr="00F901FE">
              <w:rPr>
                <w:rFonts w:ascii="Times New Roman" w:hAnsi="Times New Roman" w:cs="Times New Roman"/>
                <w:b/>
                <w:color w:val="000000"/>
                <w:sz w:val="20"/>
                <w:szCs w:val="20"/>
              </w:rPr>
              <w:t>Neoclassical</w:t>
            </w:r>
          </w:p>
        </w:tc>
        <w:tc>
          <w:tcPr>
            <w:tcW w:w="842" w:type="dxa"/>
            <w:tcBorders>
              <w:top w:val="single" w:sz="18" w:space="0" w:color="7F7F7F" w:themeColor="text1" w:themeTint="80"/>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single" w:sz="18" w:space="0" w:color="7F7F7F" w:themeColor="text1" w:themeTint="80"/>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single" w:sz="18" w:space="0" w:color="7F7F7F" w:themeColor="text1" w:themeTint="80"/>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single" w:sz="18" w:space="0" w:color="7F7F7F" w:themeColor="text1" w:themeTint="80"/>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single" w:sz="18" w:space="0" w:color="7F7F7F" w:themeColor="text1" w:themeTint="80"/>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single" w:sz="18" w:space="0" w:color="7F7F7F" w:themeColor="text1" w:themeTint="80"/>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single" w:sz="18" w:space="0" w:color="7F7F7F" w:themeColor="text1" w:themeTint="80"/>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31" w:type="dxa"/>
            <w:tcBorders>
              <w:top w:val="single" w:sz="18" w:space="0" w:color="7F7F7F" w:themeColor="text1" w:themeTint="80"/>
              <w:left w:val="nil"/>
              <w:bottom w:val="nil"/>
              <w:right w:val="nil"/>
            </w:tcBorders>
          </w:tcPr>
          <w:p w:rsidR="002D1458" w:rsidRPr="00BC333D" w:rsidRDefault="002D1458" w:rsidP="001E7F73">
            <w:pPr>
              <w:pStyle w:val="ListParagraph"/>
              <w:tabs>
                <w:tab w:val="decimal" w:pos="339"/>
              </w:tabs>
              <w:spacing w:before="0"/>
              <w:ind w:left="0"/>
              <w:contextualSpacing w:val="0"/>
              <w:rPr>
                <w:rFonts w:ascii="Times New Roman" w:hAnsi="Times New Roman" w:cs="Times New Roman"/>
                <w:sz w:val="20"/>
                <w:szCs w:val="20"/>
              </w:rPr>
            </w:pPr>
          </w:p>
        </w:tc>
      </w:tr>
      <w:tr w:rsidR="002D1458" w:rsidRPr="00857A94"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National </w:t>
            </w:r>
          </w:p>
        </w:tc>
        <w:tc>
          <w:tcPr>
            <w:tcW w:w="842" w:type="dxa"/>
            <w:tcBorders>
              <w:top w:val="nil"/>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nil"/>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nil"/>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nil"/>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nil"/>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nil"/>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nil"/>
              <w:left w:val="single" w:sz="4" w:space="0" w:color="auto"/>
              <w:bottom w:val="nil"/>
              <w:right w:val="nil"/>
            </w:tcBorders>
            <w:vAlign w:val="bottom"/>
          </w:tcPr>
          <w:p w:rsidR="002D1458" w:rsidRPr="00BC333D" w:rsidRDefault="002D1458" w:rsidP="001E7F73">
            <w:pPr>
              <w:tabs>
                <w:tab w:val="decimal" w:pos="339"/>
              </w:tabs>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BC333D" w:rsidRDefault="002D1458" w:rsidP="001E7F73">
            <w:pPr>
              <w:tabs>
                <w:tab w:val="decimal" w:pos="339"/>
              </w:tabs>
              <w:spacing w:before="0"/>
              <w:rPr>
                <w:rFonts w:ascii="Times New Roman" w:hAnsi="Times New Roman" w:cs="Times New Roman"/>
                <w:color w:val="000000"/>
                <w:sz w:val="20"/>
                <w:szCs w:val="20"/>
              </w:rPr>
            </w:pPr>
          </w:p>
        </w:tc>
      </w:tr>
      <w:tr w:rsidR="002D1458" w:rsidTr="001E7F73">
        <w:trPr>
          <w:trHeight w:val="305"/>
        </w:trPr>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1</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GDP</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-0.19</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0.002</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-0.19</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0.005</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-0.19</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0.005</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-0.19</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0.004</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-0.19</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0.004</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-0.27</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-0.001</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-0.27</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0.002</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-0.27</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0.001</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-0.27</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-0.27</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0.001</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3a</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0.05 discount rate</w:t>
            </w:r>
          </w:p>
        </w:tc>
        <w:tc>
          <w:tcPr>
            <w:tcW w:w="84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-0.004</w:t>
            </w:r>
          </w:p>
        </w:tc>
        <w:tc>
          <w:tcPr>
            <w:tcW w:w="82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-0.004</w:t>
            </w:r>
          </w:p>
        </w:tc>
        <w:tc>
          <w:tcPr>
            <w:tcW w:w="82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-0.004</w:t>
            </w:r>
          </w:p>
        </w:tc>
        <w:tc>
          <w:tcPr>
            <w:tcW w:w="83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-0.004</w:t>
            </w:r>
          </w:p>
        </w:tc>
        <w:tc>
          <w:tcPr>
            <w:tcW w:w="916"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-0.004</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3b</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0.02 discount rate</w:t>
            </w:r>
          </w:p>
        </w:tc>
        <w:tc>
          <w:tcPr>
            <w:tcW w:w="84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-0.004</w:t>
            </w:r>
          </w:p>
        </w:tc>
        <w:tc>
          <w:tcPr>
            <w:tcW w:w="82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-0.004</w:t>
            </w:r>
          </w:p>
        </w:tc>
        <w:tc>
          <w:tcPr>
            <w:tcW w:w="82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-0.004</w:t>
            </w:r>
          </w:p>
        </w:tc>
        <w:tc>
          <w:tcPr>
            <w:tcW w:w="83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-0.004</w:t>
            </w:r>
          </w:p>
        </w:tc>
        <w:tc>
          <w:tcPr>
            <w:tcW w:w="916"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-0.004</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Target region </w:t>
            </w:r>
          </w:p>
        </w:tc>
        <w:tc>
          <w:tcPr>
            <w:tcW w:w="84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82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82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83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16"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4</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GRP</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-0.09</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0.012</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-0.15</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0.005</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-0.32</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0.004</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-0.18</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0.008</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-0.19</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0.007</w:t>
            </w:r>
          </w:p>
        </w:tc>
      </w:tr>
      <w:tr w:rsidR="002D1458" w:rsidTr="001E7F73">
        <w:tc>
          <w:tcPr>
            <w:tcW w:w="495" w:type="dxa"/>
            <w:tcBorders>
              <w:top w:val="nil"/>
              <w:left w:val="nil"/>
              <w:bottom w:val="single" w:sz="18" w:space="0" w:color="7F7F7F" w:themeColor="text1" w:themeTint="80"/>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5</w:t>
            </w:r>
          </w:p>
        </w:tc>
        <w:tc>
          <w:tcPr>
            <w:tcW w:w="3150" w:type="dxa"/>
            <w:tcBorders>
              <w:top w:val="nil"/>
              <w:left w:val="nil"/>
              <w:bottom w:val="single" w:sz="18" w:space="0" w:color="7F7F7F" w:themeColor="text1" w:themeTint="80"/>
              <w:right w:val="single" w:sz="4" w:space="0" w:color="000000" w:themeColor="text1"/>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000000" w:themeColor="text1"/>
              <w:bottom w:val="single" w:sz="18" w:space="0" w:color="7F7F7F" w:themeColor="text1" w:themeTint="80"/>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-0.47</w:t>
            </w:r>
          </w:p>
        </w:tc>
        <w:tc>
          <w:tcPr>
            <w:tcW w:w="910" w:type="dxa"/>
            <w:tcBorders>
              <w:top w:val="nil"/>
              <w:left w:val="nil"/>
              <w:bottom w:val="single" w:sz="18" w:space="0" w:color="7F7F7F" w:themeColor="text1" w:themeTint="80"/>
              <w:right w:val="single" w:sz="4" w:space="0" w:color="000000" w:themeColor="text1"/>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0.001</w:t>
            </w:r>
          </w:p>
        </w:tc>
        <w:tc>
          <w:tcPr>
            <w:tcW w:w="821" w:type="dxa"/>
            <w:tcBorders>
              <w:top w:val="nil"/>
              <w:left w:val="single" w:sz="4" w:space="0" w:color="000000" w:themeColor="text1"/>
              <w:bottom w:val="single" w:sz="18" w:space="0" w:color="7F7F7F" w:themeColor="text1" w:themeTint="80"/>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-0.21</w:t>
            </w:r>
          </w:p>
        </w:tc>
        <w:tc>
          <w:tcPr>
            <w:tcW w:w="900" w:type="dxa"/>
            <w:tcBorders>
              <w:top w:val="nil"/>
              <w:left w:val="nil"/>
              <w:bottom w:val="single" w:sz="18" w:space="0" w:color="7F7F7F" w:themeColor="text1" w:themeTint="80"/>
              <w:right w:val="single" w:sz="4" w:space="0" w:color="000000" w:themeColor="text1"/>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0.001</w:t>
            </w:r>
          </w:p>
        </w:tc>
        <w:tc>
          <w:tcPr>
            <w:tcW w:w="822" w:type="dxa"/>
            <w:tcBorders>
              <w:top w:val="nil"/>
              <w:left w:val="single" w:sz="4" w:space="0" w:color="000000" w:themeColor="text1"/>
              <w:bottom w:val="single" w:sz="18" w:space="0" w:color="7F7F7F" w:themeColor="text1" w:themeTint="80"/>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-0.48</w:t>
            </w:r>
          </w:p>
        </w:tc>
        <w:tc>
          <w:tcPr>
            <w:tcW w:w="900" w:type="dxa"/>
            <w:tcBorders>
              <w:top w:val="nil"/>
              <w:left w:val="nil"/>
              <w:bottom w:val="single" w:sz="18" w:space="0" w:color="7F7F7F" w:themeColor="text1" w:themeTint="80"/>
              <w:right w:val="single" w:sz="4" w:space="0" w:color="000000" w:themeColor="text1"/>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0.001</w:t>
            </w:r>
          </w:p>
        </w:tc>
        <w:tc>
          <w:tcPr>
            <w:tcW w:w="831" w:type="dxa"/>
            <w:tcBorders>
              <w:top w:val="nil"/>
              <w:left w:val="single" w:sz="4" w:space="0" w:color="000000" w:themeColor="text1"/>
              <w:bottom w:val="single" w:sz="18" w:space="0" w:color="7F7F7F" w:themeColor="text1" w:themeTint="80"/>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-0.27</w:t>
            </w:r>
          </w:p>
        </w:tc>
        <w:tc>
          <w:tcPr>
            <w:tcW w:w="904" w:type="dxa"/>
            <w:tcBorders>
              <w:top w:val="nil"/>
              <w:left w:val="nil"/>
              <w:bottom w:val="single" w:sz="18" w:space="0" w:color="7F7F7F" w:themeColor="text1" w:themeTint="80"/>
              <w:right w:val="single" w:sz="4" w:space="0" w:color="000000" w:themeColor="text1"/>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0.001</w:t>
            </w:r>
          </w:p>
        </w:tc>
        <w:tc>
          <w:tcPr>
            <w:tcW w:w="916" w:type="dxa"/>
            <w:tcBorders>
              <w:top w:val="nil"/>
              <w:left w:val="single" w:sz="4" w:space="0" w:color="000000" w:themeColor="text1"/>
              <w:bottom w:val="single" w:sz="18" w:space="0" w:color="7F7F7F" w:themeColor="text1" w:themeTint="80"/>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-0.36</w:t>
            </w:r>
          </w:p>
        </w:tc>
        <w:tc>
          <w:tcPr>
            <w:tcW w:w="931" w:type="dxa"/>
            <w:tcBorders>
              <w:top w:val="nil"/>
              <w:left w:val="nil"/>
              <w:bottom w:val="single" w:sz="18" w:space="0" w:color="7F7F7F" w:themeColor="text1" w:themeTint="80"/>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0.001</w:t>
            </w:r>
          </w:p>
        </w:tc>
      </w:tr>
    </w:tbl>
    <w:p w:rsidR="002D1458" w:rsidRPr="006203B3" w:rsidRDefault="002D1458" w:rsidP="002D1458">
      <w:pPr>
        <w:pStyle w:val="ListParagraph"/>
        <w:ind w:left="900" w:hanging="900"/>
        <w:contextualSpacing w:val="0"/>
        <w:rPr>
          <w:rFonts w:ascii="Times New Roman" w:hAnsi="Times New Roman" w:cs="Times New Roman"/>
          <w:b/>
          <w:sz w:val="24"/>
          <w:szCs w:val="24"/>
        </w:rPr>
      </w:pPr>
      <w:r w:rsidRPr="006203B3">
        <w:rPr>
          <w:rFonts w:ascii="Times New Roman" w:hAnsi="Times New Roman" w:cs="Times New Roman"/>
          <w:b/>
          <w:sz w:val="24"/>
          <w:szCs w:val="24"/>
        </w:rPr>
        <w:t xml:space="preserve">Relevant variables.  </w:t>
      </w:r>
    </w:p>
    <w:p w:rsidR="002D1458" w:rsidRPr="006203B3" w:rsidRDefault="002D1458" w:rsidP="002D1458">
      <w:pPr>
        <w:pStyle w:val="ListParagraph"/>
        <w:ind w:left="900" w:hanging="900"/>
        <w:contextualSpacing w:val="0"/>
        <w:rPr>
          <w:rFonts w:ascii="Times New Roman" w:hAnsi="Times New Roman" w:cs="Times New Roman"/>
          <w:sz w:val="24"/>
          <w:szCs w:val="24"/>
        </w:rPr>
      </w:pPr>
      <w:r w:rsidRPr="006203B3">
        <w:rPr>
          <w:rFonts w:ascii="Times New Roman" w:hAnsi="Times New Roman" w:cs="Times New Roman"/>
          <w:b/>
          <w:i/>
          <w:sz w:val="24"/>
          <w:szCs w:val="24"/>
        </w:rPr>
        <w:t xml:space="preserve">National:  </w:t>
      </w:r>
      <w:r w:rsidRPr="006203B3">
        <w:rPr>
          <w:rFonts w:ascii="Times New Roman" w:hAnsi="Times New Roman" w:cs="Times New Roman"/>
          <w:sz w:val="24"/>
          <w:szCs w:val="24"/>
        </w:rPr>
        <w:t xml:space="preserve">Spending by foreign visitors </w:t>
      </w:r>
      <w:r>
        <w:rPr>
          <w:rFonts w:ascii="Times New Roman" w:hAnsi="Times New Roman" w:cs="Times New Roman"/>
          <w:sz w:val="24"/>
          <w:szCs w:val="24"/>
        </w:rPr>
        <w:t>outside</w:t>
      </w:r>
      <w:r w:rsidRPr="006203B3">
        <w:rPr>
          <w:rFonts w:ascii="Times New Roman" w:hAnsi="Times New Roman" w:cs="Times New Roman"/>
          <w:sz w:val="24"/>
          <w:szCs w:val="24"/>
        </w:rPr>
        <w:t xml:space="preserve"> </w:t>
      </w:r>
      <w:r w:rsidR="0010392C">
        <w:rPr>
          <w:rFonts w:ascii="Times New Roman" w:hAnsi="Times New Roman" w:cs="Times New Roman"/>
          <w:sz w:val="24"/>
          <w:szCs w:val="24"/>
        </w:rPr>
        <w:t>T</w:t>
      </w:r>
      <w:r w:rsidRPr="006203B3">
        <w:rPr>
          <w:rFonts w:ascii="Times New Roman" w:hAnsi="Times New Roman" w:cs="Times New Roman"/>
          <w:sz w:val="24"/>
          <w:szCs w:val="24"/>
        </w:rPr>
        <w:t>arget city as share of national GDP</w:t>
      </w:r>
    </w:p>
    <w:p w:rsidR="002D1458" w:rsidRPr="00D21E8E" w:rsidRDefault="002D1458" w:rsidP="002D1458">
      <w:pPr>
        <w:pStyle w:val="ListParagraph"/>
        <w:ind w:left="900" w:hanging="900"/>
        <w:contextualSpacing w:val="0"/>
        <w:rPr>
          <w:rFonts w:ascii="Times New Roman" w:hAnsi="Times New Roman" w:cs="Times New Roman"/>
          <w:sz w:val="24"/>
          <w:szCs w:val="24"/>
        </w:rPr>
      </w:pPr>
      <w:r w:rsidRPr="00F96048">
        <w:rPr>
          <w:rFonts w:ascii="Times New Roman" w:hAnsi="Times New Roman" w:cs="Times New Roman"/>
          <w:b/>
          <w:i/>
          <w:sz w:val="24"/>
          <w:szCs w:val="24"/>
        </w:rPr>
        <w:t>Regional:</w:t>
      </w:r>
      <w:r w:rsidRPr="00F96048">
        <w:rPr>
          <w:rFonts w:ascii="Times New Roman" w:hAnsi="Times New Roman" w:cs="Times New Roman"/>
          <w:sz w:val="24"/>
          <w:szCs w:val="24"/>
        </w:rPr>
        <w:t xml:space="preserve">  </w:t>
      </w:r>
      <w:r w:rsidRPr="006203B3">
        <w:rPr>
          <w:rFonts w:ascii="Times New Roman" w:hAnsi="Times New Roman" w:cs="Times New Roman"/>
          <w:sz w:val="24"/>
          <w:szCs w:val="24"/>
        </w:rPr>
        <w:t xml:space="preserve">Spending by foreign visitors </w:t>
      </w:r>
      <w:r>
        <w:rPr>
          <w:rFonts w:ascii="Times New Roman" w:hAnsi="Times New Roman" w:cs="Times New Roman"/>
          <w:sz w:val="24"/>
          <w:szCs w:val="24"/>
        </w:rPr>
        <w:t>outside</w:t>
      </w:r>
      <w:r w:rsidRPr="006203B3">
        <w:rPr>
          <w:rFonts w:ascii="Times New Roman" w:hAnsi="Times New Roman" w:cs="Times New Roman"/>
          <w:sz w:val="24"/>
          <w:szCs w:val="24"/>
        </w:rPr>
        <w:t xml:space="preserve"> </w:t>
      </w:r>
      <w:r w:rsidR="0010392C">
        <w:rPr>
          <w:rFonts w:ascii="Times New Roman" w:hAnsi="Times New Roman" w:cs="Times New Roman"/>
          <w:sz w:val="24"/>
          <w:szCs w:val="24"/>
        </w:rPr>
        <w:t>T</w:t>
      </w:r>
      <w:r w:rsidRPr="006203B3">
        <w:rPr>
          <w:rFonts w:ascii="Times New Roman" w:hAnsi="Times New Roman" w:cs="Times New Roman"/>
          <w:sz w:val="24"/>
          <w:szCs w:val="24"/>
        </w:rPr>
        <w:t>arget city as share of national GDP</w:t>
      </w:r>
    </w:p>
    <w:p w:rsidR="002D1458" w:rsidRPr="00D21E8E" w:rsidRDefault="002D1458" w:rsidP="002D1458">
      <w:pPr>
        <w:pStyle w:val="ListParagraph"/>
        <w:ind w:left="900" w:hanging="900"/>
        <w:contextualSpacing w:val="0"/>
        <w:rPr>
          <w:rFonts w:ascii="Times New Roman" w:hAnsi="Times New Roman" w:cs="Times New Roman"/>
          <w:sz w:val="24"/>
          <w:szCs w:val="24"/>
        </w:rPr>
      </w:pPr>
    </w:p>
    <w:p w:rsidR="002D1458" w:rsidRPr="00D21E8E" w:rsidRDefault="002D1458" w:rsidP="002D1458">
      <w:pPr>
        <w:pStyle w:val="ListParagraph"/>
        <w:ind w:left="900" w:hanging="900"/>
        <w:contextualSpacing w:val="0"/>
        <w:rPr>
          <w:rFonts w:ascii="Times New Roman" w:hAnsi="Times New Roman" w:cs="Times New Roman"/>
          <w:sz w:val="24"/>
          <w:szCs w:val="24"/>
        </w:rPr>
      </w:pPr>
    </w:p>
    <w:p w:rsidR="002D1458" w:rsidRDefault="002D1458" w:rsidP="002D1458">
      <w:pPr>
        <w:rPr>
          <w:rFonts w:ascii="Times New Roman" w:hAnsi="Times New Roman" w:cs="Times New Roman"/>
          <w:sz w:val="24"/>
          <w:szCs w:val="24"/>
        </w:rPr>
      </w:pPr>
      <w:r>
        <w:rPr>
          <w:rFonts w:ascii="Times New Roman" w:hAnsi="Times New Roman" w:cs="Times New Roman"/>
          <w:sz w:val="24"/>
          <w:szCs w:val="24"/>
        </w:rPr>
        <w:br w:type="page"/>
      </w:r>
    </w:p>
    <w:p w:rsidR="002D1458" w:rsidRDefault="002D1458" w:rsidP="002D1458">
      <w:pPr>
        <w:pStyle w:val="ListParagraph"/>
        <w:ind w:left="900" w:hanging="900"/>
        <w:contextualSpacing w:val="0"/>
        <w:jc w:val="center"/>
        <w:rPr>
          <w:rFonts w:ascii="Times New Roman" w:hAnsi="Times New Roman" w:cs="Times New Roman"/>
          <w:b/>
          <w:sz w:val="24"/>
          <w:szCs w:val="24"/>
        </w:rPr>
      </w:pPr>
      <w:r w:rsidRPr="0024794B">
        <w:rPr>
          <w:rFonts w:ascii="Times New Roman" w:hAnsi="Times New Roman" w:cs="Times New Roman"/>
          <w:b/>
          <w:sz w:val="24"/>
          <w:szCs w:val="24"/>
        </w:rPr>
        <w:lastRenderedPageBreak/>
        <w:t xml:space="preserve">Table </w:t>
      </w:r>
      <w:r>
        <w:rPr>
          <w:rFonts w:ascii="Times New Roman" w:hAnsi="Times New Roman" w:cs="Times New Roman"/>
          <w:b/>
          <w:sz w:val="24"/>
          <w:szCs w:val="24"/>
        </w:rPr>
        <w:t>A9</w:t>
      </w:r>
      <w:r w:rsidRPr="0024794B">
        <w:rPr>
          <w:rFonts w:ascii="Times New Roman" w:hAnsi="Times New Roman" w:cs="Times New Roman"/>
          <w:b/>
          <w:sz w:val="24"/>
          <w:szCs w:val="24"/>
        </w:rPr>
        <w:t xml:space="preserve">.  Coefficients, C(s,v), for </w:t>
      </w:r>
      <w:r>
        <w:rPr>
          <w:rFonts w:ascii="Times New Roman" w:hAnsi="Times New Roman" w:cs="Times New Roman"/>
          <w:b/>
          <w:sz w:val="24"/>
          <w:szCs w:val="24"/>
        </w:rPr>
        <w:t xml:space="preserve">domestic visitor discouragement in </w:t>
      </w:r>
      <w:r w:rsidR="0010392C">
        <w:rPr>
          <w:rFonts w:ascii="Times New Roman" w:hAnsi="Times New Roman" w:cs="Times New Roman"/>
          <w:b/>
          <w:sz w:val="24"/>
          <w:szCs w:val="24"/>
        </w:rPr>
        <w:t>T</w:t>
      </w:r>
      <w:r>
        <w:rPr>
          <w:rFonts w:ascii="Times New Roman" w:hAnsi="Times New Roman" w:cs="Times New Roman"/>
          <w:b/>
          <w:sz w:val="24"/>
          <w:szCs w:val="24"/>
        </w:rPr>
        <w:t>arget city</w:t>
      </w:r>
      <w:r w:rsidRPr="0024794B">
        <w:rPr>
          <w:rFonts w:ascii="Times New Roman" w:hAnsi="Times New Roman" w:cs="Times New Roman"/>
          <w:b/>
          <w:sz w:val="24"/>
          <w:szCs w:val="24"/>
        </w:rPr>
        <w:t xml:space="preserve"> </w:t>
      </w:r>
      <w:r w:rsidRPr="00F96048">
        <w:rPr>
          <w:rFonts w:ascii="Times New Roman" w:hAnsi="Times New Roman" w:cs="Times New Roman"/>
          <w:b/>
          <w:sz w:val="24"/>
          <w:szCs w:val="24"/>
        </w:rPr>
        <w:t>(s=</w:t>
      </w:r>
      <w:r>
        <w:rPr>
          <w:rFonts w:ascii="Times New Roman" w:hAnsi="Times New Roman" w:cs="Times New Roman"/>
          <w:b/>
          <w:sz w:val="24"/>
          <w:szCs w:val="24"/>
        </w:rPr>
        <w:t>9</w:t>
      </w:r>
      <w:r w:rsidRPr="00F96048">
        <w:rPr>
          <w:rFonts w:ascii="Times New Roman" w:hAnsi="Times New Roman" w:cs="Times New Roman"/>
          <w:b/>
          <w:sz w:val="24"/>
          <w:szCs w:val="24"/>
        </w:rPr>
        <w:t>)</w:t>
      </w:r>
      <w:r>
        <w:rPr>
          <w:rFonts w:ascii="Times New Roman" w:hAnsi="Times New Roman" w:cs="Times New Roman"/>
          <w:b/>
          <w:sz w:val="24"/>
          <w:szCs w:val="24"/>
        </w:rPr>
        <w:t xml:space="preserve"> </w:t>
      </w:r>
    </w:p>
    <w:tbl>
      <w:tblPr>
        <w:tblStyle w:val="TableGrid"/>
        <w:tblW w:w="12422" w:type="dxa"/>
        <w:tblInd w:w="900" w:type="dxa"/>
        <w:tblLook w:val="04A0" w:firstRow="1" w:lastRow="0" w:firstColumn="1" w:lastColumn="0" w:noHBand="0" w:noVBand="1"/>
      </w:tblPr>
      <w:tblGrid>
        <w:gridCol w:w="495"/>
        <w:gridCol w:w="3150"/>
        <w:gridCol w:w="842"/>
        <w:gridCol w:w="910"/>
        <w:gridCol w:w="821"/>
        <w:gridCol w:w="900"/>
        <w:gridCol w:w="822"/>
        <w:gridCol w:w="900"/>
        <w:gridCol w:w="831"/>
        <w:gridCol w:w="904"/>
        <w:gridCol w:w="916"/>
        <w:gridCol w:w="931"/>
      </w:tblGrid>
      <w:tr w:rsidR="002D1458" w:rsidRPr="00E27213" w:rsidTr="001E7F73">
        <w:tc>
          <w:tcPr>
            <w:tcW w:w="495" w:type="dxa"/>
            <w:tcBorders>
              <w:top w:val="single" w:sz="18" w:space="0" w:color="7F7F7F" w:themeColor="text1" w:themeTint="80"/>
              <w:left w:val="nil"/>
              <w:bottom w:val="nil"/>
              <w:right w:val="nil"/>
            </w:tcBorders>
            <w:vAlign w:val="bottom"/>
          </w:tcPr>
          <w:p w:rsidR="002D1458" w:rsidRPr="00E27213" w:rsidRDefault="002D1458" w:rsidP="001E7F73">
            <w:pPr>
              <w:spacing w:before="0"/>
              <w:rPr>
                <w:rFonts w:ascii="Times New Roman" w:hAnsi="Times New Roman" w:cs="Times New Roman"/>
                <w:color w:val="000000"/>
                <w:sz w:val="20"/>
                <w:szCs w:val="20"/>
              </w:rPr>
            </w:pPr>
          </w:p>
        </w:tc>
        <w:tc>
          <w:tcPr>
            <w:tcW w:w="3150" w:type="dxa"/>
            <w:tcBorders>
              <w:top w:val="single" w:sz="18" w:space="0" w:color="7F7F7F" w:themeColor="text1" w:themeTint="80"/>
              <w:left w:val="nil"/>
              <w:bottom w:val="nil"/>
            </w:tcBorders>
            <w:vAlign w:val="center"/>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Target region (d)</w:t>
            </w:r>
          </w:p>
        </w:tc>
        <w:tc>
          <w:tcPr>
            <w:tcW w:w="1752"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FL24</w:t>
            </w:r>
          </w:p>
        </w:tc>
        <w:tc>
          <w:tcPr>
            <w:tcW w:w="1721"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AZ07</w:t>
            </w:r>
          </w:p>
        </w:tc>
        <w:tc>
          <w:tcPr>
            <w:tcW w:w="1722"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NY14</w:t>
            </w:r>
          </w:p>
        </w:tc>
        <w:tc>
          <w:tcPr>
            <w:tcW w:w="1735"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WA09</w:t>
            </w:r>
          </w:p>
        </w:tc>
        <w:tc>
          <w:tcPr>
            <w:tcW w:w="1847" w:type="dxa"/>
            <w:gridSpan w:val="2"/>
            <w:tcBorders>
              <w:top w:val="single" w:sz="18" w:space="0" w:color="7F7F7F" w:themeColor="text1" w:themeTint="80"/>
              <w:right w:val="nil"/>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Average</w:t>
            </w:r>
          </w:p>
        </w:tc>
      </w:tr>
      <w:tr w:rsidR="002D1458" w:rsidRPr="00E27213" w:rsidTr="001E7F73">
        <w:tc>
          <w:tcPr>
            <w:tcW w:w="495" w:type="dxa"/>
            <w:tcBorders>
              <w:top w:val="nil"/>
              <w:left w:val="nil"/>
              <w:bottom w:val="single" w:sz="18" w:space="0" w:color="7F7F7F" w:themeColor="text1" w:themeTint="80"/>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single" w:sz="18" w:space="0" w:color="7F7F7F" w:themeColor="text1" w:themeTint="80"/>
            </w:tcBorders>
            <w:vAlign w:val="bottom"/>
          </w:tcPr>
          <w:p w:rsidR="002D1458" w:rsidRPr="00E27213" w:rsidRDefault="002D1458" w:rsidP="001E7F73">
            <w:pPr>
              <w:spacing w:before="0"/>
              <w:rPr>
                <w:rFonts w:ascii="Times New Roman" w:hAnsi="Times New Roman" w:cs="Times New Roman"/>
                <w:color w:val="000000"/>
                <w:sz w:val="20"/>
                <w:szCs w:val="20"/>
              </w:rPr>
            </w:pPr>
            <w:r w:rsidRPr="00E27213">
              <w:rPr>
                <w:rFonts w:ascii="Times New Roman" w:hAnsi="Times New Roman" w:cs="Times New Roman"/>
                <w:color w:val="000000"/>
                <w:sz w:val="20"/>
                <w:szCs w:val="20"/>
              </w:rPr>
              <w:t>Implication variables (s)</w:t>
            </w:r>
          </w:p>
        </w:tc>
        <w:tc>
          <w:tcPr>
            <w:tcW w:w="842"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1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21"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22"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31"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4"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916"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31" w:type="dxa"/>
            <w:tcBorders>
              <w:bottom w:val="single" w:sz="18" w:space="0" w:color="7F7F7F" w:themeColor="text1" w:themeTint="80"/>
              <w:right w:val="nil"/>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r>
      <w:tr w:rsidR="002D1458" w:rsidRPr="00F901FE" w:rsidTr="001E7F73">
        <w:tc>
          <w:tcPr>
            <w:tcW w:w="3645" w:type="dxa"/>
            <w:gridSpan w:val="2"/>
            <w:tcBorders>
              <w:top w:val="single" w:sz="18" w:space="0" w:color="7F7F7F" w:themeColor="text1" w:themeTint="80"/>
              <w:left w:val="nil"/>
              <w:bottom w:val="nil"/>
              <w:right w:val="single" w:sz="4" w:space="0" w:color="auto"/>
            </w:tcBorders>
          </w:tcPr>
          <w:p w:rsidR="002D1458" w:rsidRPr="00F901FE" w:rsidRDefault="002D1458" w:rsidP="001E7F73">
            <w:pPr>
              <w:spacing w:before="0"/>
              <w:rPr>
                <w:rFonts w:ascii="Times New Roman" w:hAnsi="Times New Roman" w:cs="Times New Roman"/>
                <w:b/>
                <w:color w:val="000000"/>
                <w:sz w:val="20"/>
                <w:szCs w:val="20"/>
              </w:rPr>
            </w:pPr>
            <w:r w:rsidRPr="00F901FE">
              <w:rPr>
                <w:rFonts w:ascii="Times New Roman" w:hAnsi="Times New Roman" w:cs="Times New Roman"/>
                <w:b/>
                <w:color w:val="000000"/>
                <w:sz w:val="20"/>
                <w:szCs w:val="20"/>
              </w:rPr>
              <w:t>Keynesian</w:t>
            </w:r>
          </w:p>
        </w:tc>
        <w:tc>
          <w:tcPr>
            <w:tcW w:w="842"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39"/>
              </w:tabs>
              <w:spacing w:before="0"/>
              <w:ind w:left="0"/>
              <w:contextualSpacing w:val="0"/>
              <w:rPr>
                <w:rFonts w:ascii="Times New Roman" w:hAnsi="Times New Roman" w:cs="Times New Roman"/>
                <w:sz w:val="20"/>
                <w:szCs w:val="20"/>
              </w:rPr>
            </w:pPr>
          </w:p>
        </w:tc>
        <w:tc>
          <w:tcPr>
            <w:tcW w:w="931" w:type="dxa"/>
            <w:tcBorders>
              <w:top w:val="single" w:sz="18" w:space="0" w:color="7F7F7F" w:themeColor="text1" w:themeTint="80"/>
              <w:left w:val="nil"/>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r>
      <w:tr w:rsidR="002D1458" w:rsidRPr="00F901FE"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National </w:t>
            </w:r>
          </w:p>
        </w:tc>
        <w:tc>
          <w:tcPr>
            <w:tcW w:w="842"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nil"/>
              <w:left w:val="single" w:sz="4" w:space="0" w:color="auto"/>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r>
      <w:tr w:rsidR="002D1458" w:rsidTr="001E7F73">
        <w:trPr>
          <w:trHeight w:val="305"/>
        </w:trPr>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1</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GDP</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3a</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0.05 discount rate</w:t>
            </w:r>
          </w:p>
        </w:tc>
        <w:tc>
          <w:tcPr>
            <w:tcW w:w="84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82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82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83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916"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3b</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0.02 discount rate</w:t>
            </w:r>
          </w:p>
        </w:tc>
        <w:tc>
          <w:tcPr>
            <w:tcW w:w="84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82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82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83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916"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Target region </w:t>
            </w:r>
          </w:p>
        </w:tc>
        <w:tc>
          <w:tcPr>
            <w:tcW w:w="84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82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82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83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16"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4</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GRP</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-1.27</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-1.16</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-0.001</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-1.22</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-0.014</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-1.15</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-0.003</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-1.20</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-0.004</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5</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-1.15</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0.002</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-1.01</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-1.08</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-0.016</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-1.00</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-0.004</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-1.06</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-0.005</w:t>
            </w:r>
          </w:p>
        </w:tc>
      </w:tr>
      <w:tr w:rsidR="002D1458" w:rsidRPr="00857A94" w:rsidTr="001E7F73">
        <w:tc>
          <w:tcPr>
            <w:tcW w:w="3645" w:type="dxa"/>
            <w:gridSpan w:val="2"/>
            <w:tcBorders>
              <w:top w:val="single" w:sz="18" w:space="0" w:color="7F7F7F" w:themeColor="text1" w:themeTint="80"/>
              <w:left w:val="nil"/>
              <w:bottom w:val="nil"/>
              <w:right w:val="single" w:sz="4" w:space="0" w:color="auto"/>
            </w:tcBorders>
          </w:tcPr>
          <w:p w:rsidR="002D1458" w:rsidRPr="00F901FE" w:rsidRDefault="002D1458" w:rsidP="001E7F73">
            <w:pPr>
              <w:spacing w:before="0"/>
              <w:rPr>
                <w:rFonts w:ascii="Times New Roman" w:hAnsi="Times New Roman" w:cs="Times New Roman"/>
                <w:b/>
                <w:color w:val="000000"/>
                <w:sz w:val="20"/>
                <w:szCs w:val="20"/>
              </w:rPr>
            </w:pPr>
            <w:r w:rsidRPr="00F901FE">
              <w:rPr>
                <w:rFonts w:ascii="Times New Roman" w:hAnsi="Times New Roman" w:cs="Times New Roman"/>
                <w:b/>
                <w:color w:val="000000"/>
                <w:sz w:val="20"/>
                <w:szCs w:val="20"/>
              </w:rPr>
              <w:t>Neoclassical</w:t>
            </w:r>
          </w:p>
        </w:tc>
        <w:tc>
          <w:tcPr>
            <w:tcW w:w="842" w:type="dxa"/>
            <w:tcBorders>
              <w:top w:val="single" w:sz="18" w:space="0" w:color="7F7F7F" w:themeColor="text1" w:themeTint="80"/>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single" w:sz="18" w:space="0" w:color="7F7F7F" w:themeColor="text1" w:themeTint="80"/>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single" w:sz="18" w:space="0" w:color="7F7F7F" w:themeColor="text1" w:themeTint="80"/>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single" w:sz="18" w:space="0" w:color="7F7F7F" w:themeColor="text1" w:themeTint="80"/>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single" w:sz="18" w:space="0" w:color="7F7F7F" w:themeColor="text1" w:themeTint="80"/>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single" w:sz="18" w:space="0" w:color="7F7F7F" w:themeColor="text1" w:themeTint="80"/>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single" w:sz="18" w:space="0" w:color="7F7F7F" w:themeColor="text1" w:themeTint="80"/>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31" w:type="dxa"/>
            <w:tcBorders>
              <w:top w:val="single" w:sz="18" w:space="0" w:color="7F7F7F" w:themeColor="text1" w:themeTint="80"/>
              <w:left w:val="nil"/>
              <w:bottom w:val="nil"/>
              <w:right w:val="nil"/>
            </w:tcBorders>
          </w:tcPr>
          <w:p w:rsidR="002D1458" w:rsidRPr="00BC333D" w:rsidRDefault="002D1458" w:rsidP="001E7F73">
            <w:pPr>
              <w:pStyle w:val="ListParagraph"/>
              <w:tabs>
                <w:tab w:val="decimal" w:pos="339"/>
              </w:tabs>
              <w:spacing w:before="0"/>
              <w:ind w:left="0"/>
              <w:contextualSpacing w:val="0"/>
              <w:rPr>
                <w:rFonts w:ascii="Times New Roman" w:hAnsi="Times New Roman" w:cs="Times New Roman"/>
                <w:sz w:val="20"/>
                <w:szCs w:val="20"/>
              </w:rPr>
            </w:pPr>
          </w:p>
        </w:tc>
      </w:tr>
      <w:tr w:rsidR="002D1458" w:rsidRPr="00857A94"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National </w:t>
            </w:r>
          </w:p>
        </w:tc>
        <w:tc>
          <w:tcPr>
            <w:tcW w:w="842" w:type="dxa"/>
            <w:tcBorders>
              <w:top w:val="nil"/>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nil"/>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nil"/>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nil"/>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nil"/>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nil"/>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nil"/>
              <w:left w:val="single" w:sz="4" w:space="0" w:color="auto"/>
              <w:bottom w:val="nil"/>
              <w:right w:val="nil"/>
            </w:tcBorders>
            <w:vAlign w:val="bottom"/>
          </w:tcPr>
          <w:p w:rsidR="002D1458" w:rsidRPr="00BC333D" w:rsidRDefault="002D1458" w:rsidP="001E7F73">
            <w:pPr>
              <w:tabs>
                <w:tab w:val="decimal" w:pos="339"/>
              </w:tabs>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BC333D" w:rsidRDefault="002D1458" w:rsidP="001E7F73">
            <w:pPr>
              <w:tabs>
                <w:tab w:val="decimal" w:pos="339"/>
              </w:tabs>
              <w:spacing w:before="0"/>
              <w:rPr>
                <w:rFonts w:ascii="Times New Roman" w:hAnsi="Times New Roman" w:cs="Times New Roman"/>
                <w:color w:val="000000"/>
                <w:sz w:val="20"/>
                <w:szCs w:val="20"/>
              </w:rPr>
            </w:pPr>
          </w:p>
        </w:tc>
      </w:tr>
      <w:tr w:rsidR="002D1458" w:rsidTr="001E7F73">
        <w:trPr>
          <w:trHeight w:val="305"/>
        </w:trPr>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1</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GDP</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3a</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0.05 discount rate</w:t>
            </w:r>
          </w:p>
        </w:tc>
        <w:tc>
          <w:tcPr>
            <w:tcW w:w="84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82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82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83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916"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3b</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0.02 discount rate</w:t>
            </w:r>
          </w:p>
        </w:tc>
        <w:tc>
          <w:tcPr>
            <w:tcW w:w="84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82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82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83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916"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Target region </w:t>
            </w:r>
          </w:p>
        </w:tc>
        <w:tc>
          <w:tcPr>
            <w:tcW w:w="84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82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82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83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16"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4</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GRP</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-0.38</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-0.003</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-0.24</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-0.003</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-0.20</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-0.002</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-0.27</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-0.003</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-0.27</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-0.003</w:t>
            </w:r>
          </w:p>
        </w:tc>
      </w:tr>
      <w:tr w:rsidR="002D1458" w:rsidTr="001E7F73">
        <w:tc>
          <w:tcPr>
            <w:tcW w:w="495" w:type="dxa"/>
            <w:tcBorders>
              <w:top w:val="nil"/>
              <w:left w:val="nil"/>
              <w:bottom w:val="single" w:sz="18" w:space="0" w:color="7F7F7F" w:themeColor="text1" w:themeTint="80"/>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5</w:t>
            </w:r>
          </w:p>
        </w:tc>
        <w:tc>
          <w:tcPr>
            <w:tcW w:w="3150" w:type="dxa"/>
            <w:tcBorders>
              <w:top w:val="nil"/>
              <w:left w:val="nil"/>
              <w:bottom w:val="single" w:sz="18" w:space="0" w:color="7F7F7F" w:themeColor="text1" w:themeTint="80"/>
              <w:right w:val="single" w:sz="4" w:space="0" w:color="000000" w:themeColor="text1"/>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000000" w:themeColor="text1"/>
              <w:bottom w:val="single" w:sz="18" w:space="0" w:color="7F7F7F" w:themeColor="text1" w:themeTint="80"/>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-0.50</w:t>
            </w:r>
          </w:p>
        </w:tc>
        <w:tc>
          <w:tcPr>
            <w:tcW w:w="910" w:type="dxa"/>
            <w:tcBorders>
              <w:top w:val="nil"/>
              <w:left w:val="nil"/>
              <w:bottom w:val="single" w:sz="18" w:space="0" w:color="7F7F7F" w:themeColor="text1" w:themeTint="80"/>
              <w:right w:val="single" w:sz="4" w:space="0" w:color="000000" w:themeColor="text1"/>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821" w:type="dxa"/>
            <w:tcBorders>
              <w:top w:val="nil"/>
              <w:left w:val="single" w:sz="4" w:space="0" w:color="000000" w:themeColor="text1"/>
              <w:bottom w:val="single" w:sz="18" w:space="0" w:color="7F7F7F" w:themeColor="text1" w:themeTint="80"/>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-0.29</w:t>
            </w:r>
          </w:p>
        </w:tc>
        <w:tc>
          <w:tcPr>
            <w:tcW w:w="900" w:type="dxa"/>
            <w:tcBorders>
              <w:top w:val="nil"/>
              <w:left w:val="nil"/>
              <w:bottom w:val="single" w:sz="18" w:space="0" w:color="7F7F7F" w:themeColor="text1" w:themeTint="80"/>
              <w:right w:val="single" w:sz="4" w:space="0" w:color="000000" w:themeColor="text1"/>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-0.001</w:t>
            </w:r>
          </w:p>
        </w:tc>
        <w:tc>
          <w:tcPr>
            <w:tcW w:w="822" w:type="dxa"/>
            <w:tcBorders>
              <w:top w:val="nil"/>
              <w:left w:val="single" w:sz="4" w:space="0" w:color="000000" w:themeColor="text1"/>
              <w:bottom w:val="single" w:sz="18" w:space="0" w:color="7F7F7F" w:themeColor="text1" w:themeTint="80"/>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-0.23</w:t>
            </w:r>
          </w:p>
        </w:tc>
        <w:tc>
          <w:tcPr>
            <w:tcW w:w="900" w:type="dxa"/>
            <w:tcBorders>
              <w:top w:val="nil"/>
              <w:left w:val="nil"/>
              <w:bottom w:val="single" w:sz="18" w:space="0" w:color="7F7F7F" w:themeColor="text1" w:themeTint="80"/>
              <w:right w:val="single" w:sz="4" w:space="0" w:color="000000" w:themeColor="text1"/>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0.002</w:t>
            </w:r>
          </w:p>
        </w:tc>
        <w:tc>
          <w:tcPr>
            <w:tcW w:w="831" w:type="dxa"/>
            <w:tcBorders>
              <w:top w:val="nil"/>
              <w:left w:val="single" w:sz="4" w:space="0" w:color="000000" w:themeColor="text1"/>
              <w:bottom w:val="single" w:sz="18" w:space="0" w:color="7F7F7F" w:themeColor="text1" w:themeTint="80"/>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-0.28</w:t>
            </w:r>
          </w:p>
        </w:tc>
        <w:tc>
          <w:tcPr>
            <w:tcW w:w="904" w:type="dxa"/>
            <w:tcBorders>
              <w:top w:val="nil"/>
              <w:left w:val="nil"/>
              <w:bottom w:val="single" w:sz="18" w:space="0" w:color="7F7F7F" w:themeColor="text1" w:themeTint="80"/>
              <w:right w:val="single" w:sz="4" w:space="0" w:color="000000" w:themeColor="text1"/>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-0.002</w:t>
            </w:r>
          </w:p>
        </w:tc>
        <w:tc>
          <w:tcPr>
            <w:tcW w:w="916" w:type="dxa"/>
            <w:tcBorders>
              <w:top w:val="nil"/>
              <w:left w:val="single" w:sz="4" w:space="0" w:color="000000" w:themeColor="text1"/>
              <w:bottom w:val="single" w:sz="18" w:space="0" w:color="7F7F7F" w:themeColor="text1" w:themeTint="80"/>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-0.33</w:t>
            </w:r>
          </w:p>
        </w:tc>
        <w:tc>
          <w:tcPr>
            <w:tcW w:w="931" w:type="dxa"/>
            <w:tcBorders>
              <w:top w:val="nil"/>
              <w:left w:val="nil"/>
              <w:bottom w:val="single" w:sz="18" w:space="0" w:color="7F7F7F" w:themeColor="text1" w:themeTint="80"/>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r>
    </w:tbl>
    <w:p w:rsidR="002D1458" w:rsidRPr="00696CAD" w:rsidRDefault="002D1458" w:rsidP="002D1458">
      <w:pPr>
        <w:pStyle w:val="ListParagraph"/>
        <w:ind w:left="900" w:hanging="900"/>
        <w:contextualSpacing w:val="0"/>
        <w:rPr>
          <w:rFonts w:ascii="Times New Roman" w:hAnsi="Times New Roman" w:cs="Times New Roman"/>
          <w:b/>
          <w:sz w:val="24"/>
          <w:szCs w:val="24"/>
        </w:rPr>
      </w:pPr>
      <w:r w:rsidRPr="00696CAD">
        <w:rPr>
          <w:rFonts w:ascii="Times New Roman" w:hAnsi="Times New Roman" w:cs="Times New Roman"/>
          <w:b/>
          <w:sz w:val="24"/>
          <w:szCs w:val="24"/>
        </w:rPr>
        <w:t xml:space="preserve">Relevant variables.  </w:t>
      </w:r>
    </w:p>
    <w:p w:rsidR="002D1458" w:rsidRPr="00696CAD" w:rsidRDefault="002D1458" w:rsidP="002D1458">
      <w:pPr>
        <w:pStyle w:val="ListParagraph"/>
        <w:ind w:left="900" w:hanging="900"/>
        <w:contextualSpacing w:val="0"/>
        <w:rPr>
          <w:rFonts w:ascii="Times New Roman" w:hAnsi="Times New Roman" w:cs="Times New Roman"/>
          <w:sz w:val="24"/>
          <w:szCs w:val="24"/>
        </w:rPr>
      </w:pPr>
      <w:r w:rsidRPr="00696CAD">
        <w:rPr>
          <w:rFonts w:ascii="Times New Roman" w:hAnsi="Times New Roman" w:cs="Times New Roman"/>
          <w:b/>
          <w:i/>
          <w:sz w:val="24"/>
          <w:szCs w:val="24"/>
        </w:rPr>
        <w:t xml:space="preserve">National:  </w:t>
      </w:r>
      <w:r w:rsidRPr="00696CAD">
        <w:rPr>
          <w:rFonts w:ascii="Times New Roman" w:hAnsi="Times New Roman" w:cs="Times New Roman"/>
          <w:sz w:val="24"/>
          <w:szCs w:val="24"/>
        </w:rPr>
        <w:t xml:space="preserve">Domestic visitor expenditure is allocated away from the </w:t>
      </w:r>
      <w:r w:rsidR="0010392C">
        <w:rPr>
          <w:rFonts w:ascii="Times New Roman" w:hAnsi="Times New Roman" w:cs="Times New Roman"/>
          <w:sz w:val="24"/>
          <w:szCs w:val="24"/>
        </w:rPr>
        <w:t>T</w:t>
      </w:r>
      <w:r w:rsidRPr="00696CAD">
        <w:rPr>
          <w:rFonts w:ascii="Times New Roman" w:hAnsi="Times New Roman" w:cs="Times New Roman"/>
          <w:sz w:val="24"/>
          <w:szCs w:val="24"/>
        </w:rPr>
        <w:t xml:space="preserve">arget city but national expenditure by domestic visitors is held constant.  Thus, the expected effects at the national level are zero.  Consequently, we set the relevant variable at zero.  </w:t>
      </w:r>
    </w:p>
    <w:p w:rsidR="002D1458" w:rsidRPr="00D21E8E" w:rsidRDefault="002D1458" w:rsidP="002D1458">
      <w:pPr>
        <w:pStyle w:val="ListParagraph"/>
        <w:ind w:left="900" w:hanging="900"/>
        <w:contextualSpacing w:val="0"/>
        <w:rPr>
          <w:rFonts w:ascii="Times New Roman" w:hAnsi="Times New Roman" w:cs="Times New Roman"/>
          <w:sz w:val="24"/>
          <w:szCs w:val="24"/>
        </w:rPr>
      </w:pPr>
      <w:r w:rsidRPr="00696CAD">
        <w:rPr>
          <w:rFonts w:ascii="Times New Roman" w:hAnsi="Times New Roman" w:cs="Times New Roman"/>
          <w:b/>
          <w:i/>
          <w:sz w:val="24"/>
          <w:szCs w:val="24"/>
        </w:rPr>
        <w:t>Regional:</w:t>
      </w:r>
      <w:r w:rsidRPr="00696CAD">
        <w:rPr>
          <w:rFonts w:ascii="Times New Roman" w:hAnsi="Times New Roman" w:cs="Times New Roman"/>
          <w:sz w:val="24"/>
          <w:szCs w:val="24"/>
        </w:rPr>
        <w:t xml:space="preserve">  Share of target region’s GRP that is devoted to supplying goods and services to domestic visitors in </w:t>
      </w:r>
      <w:r w:rsidR="0010392C">
        <w:rPr>
          <w:rFonts w:ascii="Times New Roman" w:hAnsi="Times New Roman" w:cs="Times New Roman"/>
          <w:sz w:val="24"/>
          <w:szCs w:val="24"/>
        </w:rPr>
        <w:t>T</w:t>
      </w:r>
      <w:r w:rsidRPr="00696CAD">
        <w:rPr>
          <w:rFonts w:ascii="Times New Roman" w:hAnsi="Times New Roman" w:cs="Times New Roman"/>
          <w:sz w:val="24"/>
          <w:szCs w:val="24"/>
        </w:rPr>
        <w:t>arget city</w:t>
      </w:r>
    </w:p>
    <w:p w:rsidR="002D1458" w:rsidRPr="00D21E8E" w:rsidRDefault="002D1458" w:rsidP="002D1458">
      <w:pPr>
        <w:pStyle w:val="ListParagraph"/>
        <w:ind w:left="900" w:hanging="900"/>
        <w:contextualSpacing w:val="0"/>
        <w:rPr>
          <w:rFonts w:ascii="Times New Roman" w:hAnsi="Times New Roman" w:cs="Times New Roman"/>
          <w:sz w:val="24"/>
          <w:szCs w:val="24"/>
        </w:rPr>
      </w:pPr>
    </w:p>
    <w:p w:rsidR="002D1458" w:rsidRDefault="002D1458" w:rsidP="002D1458">
      <w:pPr>
        <w:pStyle w:val="ListParagraph"/>
        <w:ind w:left="900" w:hanging="900"/>
        <w:contextualSpacing w:val="0"/>
        <w:jc w:val="center"/>
        <w:rPr>
          <w:rFonts w:ascii="Times New Roman" w:hAnsi="Times New Roman" w:cs="Times New Roman"/>
          <w:b/>
          <w:sz w:val="24"/>
          <w:szCs w:val="24"/>
        </w:rPr>
      </w:pPr>
    </w:p>
    <w:p w:rsidR="002D1458" w:rsidRDefault="002D1458" w:rsidP="002D1458">
      <w:pPr>
        <w:rPr>
          <w:rFonts w:ascii="Times New Roman" w:hAnsi="Times New Roman" w:cs="Times New Roman"/>
          <w:sz w:val="24"/>
          <w:szCs w:val="24"/>
        </w:rPr>
      </w:pPr>
      <w:r>
        <w:rPr>
          <w:rFonts w:ascii="Times New Roman" w:hAnsi="Times New Roman" w:cs="Times New Roman"/>
          <w:sz w:val="24"/>
          <w:szCs w:val="24"/>
        </w:rPr>
        <w:br w:type="page"/>
      </w:r>
    </w:p>
    <w:p w:rsidR="002D1458" w:rsidRPr="00BC333D" w:rsidRDefault="002D1458" w:rsidP="002D1458">
      <w:pPr>
        <w:pStyle w:val="ListParagraph"/>
        <w:ind w:left="900" w:hanging="900"/>
        <w:contextualSpacing w:val="0"/>
        <w:jc w:val="center"/>
        <w:rPr>
          <w:rFonts w:ascii="Times New Roman" w:hAnsi="Times New Roman" w:cs="Times New Roman"/>
          <w:b/>
          <w:i/>
          <w:sz w:val="24"/>
          <w:szCs w:val="24"/>
        </w:rPr>
      </w:pPr>
      <w:r w:rsidRPr="00BC333D">
        <w:rPr>
          <w:rFonts w:ascii="Times New Roman" w:hAnsi="Times New Roman" w:cs="Times New Roman"/>
          <w:b/>
          <w:i/>
          <w:sz w:val="24"/>
          <w:szCs w:val="24"/>
        </w:rPr>
        <w:lastRenderedPageBreak/>
        <w:t xml:space="preserve">Table A10.  Coefficients, C(s,v), for domestic visitor discouragement outside </w:t>
      </w:r>
      <w:r w:rsidR="0010392C" w:rsidRPr="00BC333D">
        <w:rPr>
          <w:rFonts w:ascii="Times New Roman" w:hAnsi="Times New Roman" w:cs="Times New Roman"/>
          <w:b/>
          <w:i/>
          <w:sz w:val="24"/>
          <w:szCs w:val="24"/>
        </w:rPr>
        <w:t>T</w:t>
      </w:r>
      <w:r w:rsidRPr="00BC333D">
        <w:rPr>
          <w:rFonts w:ascii="Times New Roman" w:hAnsi="Times New Roman" w:cs="Times New Roman"/>
          <w:b/>
          <w:i/>
          <w:sz w:val="24"/>
          <w:szCs w:val="24"/>
        </w:rPr>
        <w:t xml:space="preserve">arget city (s=10)  </w:t>
      </w:r>
    </w:p>
    <w:tbl>
      <w:tblPr>
        <w:tblStyle w:val="TableGrid"/>
        <w:tblW w:w="12422" w:type="dxa"/>
        <w:tblInd w:w="900" w:type="dxa"/>
        <w:tblLook w:val="04A0" w:firstRow="1" w:lastRow="0" w:firstColumn="1" w:lastColumn="0" w:noHBand="0" w:noVBand="1"/>
      </w:tblPr>
      <w:tblGrid>
        <w:gridCol w:w="495"/>
        <w:gridCol w:w="3150"/>
        <w:gridCol w:w="842"/>
        <w:gridCol w:w="910"/>
        <w:gridCol w:w="821"/>
        <w:gridCol w:w="900"/>
        <w:gridCol w:w="822"/>
        <w:gridCol w:w="900"/>
        <w:gridCol w:w="831"/>
        <w:gridCol w:w="904"/>
        <w:gridCol w:w="916"/>
        <w:gridCol w:w="931"/>
      </w:tblGrid>
      <w:tr w:rsidR="002D1458" w:rsidRPr="00E27213" w:rsidTr="001E7F73">
        <w:tc>
          <w:tcPr>
            <w:tcW w:w="495" w:type="dxa"/>
            <w:tcBorders>
              <w:top w:val="single" w:sz="18" w:space="0" w:color="7F7F7F" w:themeColor="text1" w:themeTint="80"/>
              <w:left w:val="nil"/>
              <w:bottom w:val="nil"/>
              <w:right w:val="nil"/>
            </w:tcBorders>
            <w:vAlign w:val="bottom"/>
          </w:tcPr>
          <w:p w:rsidR="002D1458" w:rsidRPr="00E27213" w:rsidRDefault="002D1458" w:rsidP="001E7F73">
            <w:pPr>
              <w:spacing w:before="0"/>
              <w:rPr>
                <w:rFonts w:ascii="Times New Roman" w:hAnsi="Times New Roman" w:cs="Times New Roman"/>
                <w:color w:val="000000"/>
                <w:sz w:val="20"/>
                <w:szCs w:val="20"/>
              </w:rPr>
            </w:pPr>
          </w:p>
        </w:tc>
        <w:tc>
          <w:tcPr>
            <w:tcW w:w="3150" w:type="dxa"/>
            <w:tcBorders>
              <w:top w:val="single" w:sz="18" w:space="0" w:color="7F7F7F" w:themeColor="text1" w:themeTint="80"/>
              <w:left w:val="nil"/>
              <w:bottom w:val="nil"/>
            </w:tcBorders>
            <w:vAlign w:val="center"/>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Target region (d)</w:t>
            </w:r>
          </w:p>
        </w:tc>
        <w:tc>
          <w:tcPr>
            <w:tcW w:w="1752"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FL24</w:t>
            </w:r>
          </w:p>
        </w:tc>
        <w:tc>
          <w:tcPr>
            <w:tcW w:w="1721"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AZ07</w:t>
            </w:r>
          </w:p>
        </w:tc>
        <w:tc>
          <w:tcPr>
            <w:tcW w:w="1722"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NY14</w:t>
            </w:r>
          </w:p>
        </w:tc>
        <w:tc>
          <w:tcPr>
            <w:tcW w:w="1735"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WA09</w:t>
            </w:r>
          </w:p>
        </w:tc>
        <w:tc>
          <w:tcPr>
            <w:tcW w:w="1847" w:type="dxa"/>
            <w:gridSpan w:val="2"/>
            <w:tcBorders>
              <w:top w:val="single" w:sz="18" w:space="0" w:color="7F7F7F" w:themeColor="text1" w:themeTint="80"/>
              <w:right w:val="nil"/>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Average</w:t>
            </w:r>
          </w:p>
        </w:tc>
      </w:tr>
      <w:tr w:rsidR="002D1458" w:rsidRPr="00E27213" w:rsidTr="001E7F73">
        <w:tc>
          <w:tcPr>
            <w:tcW w:w="495" w:type="dxa"/>
            <w:tcBorders>
              <w:top w:val="nil"/>
              <w:left w:val="nil"/>
              <w:bottom w:val="single" w:sz="18" w:space="0" w:color="7F7F7F" w:themeColor="text1" w:themeTint="80"/>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single" w:sz="18" w:space="0" w:color="7F7F7F" w:themeColor="text1" w:themeTint="80"/>
            </w:tcBorders>
            <w:vAlign w:val="bottom"/>
          </w:tcPr>
          <w:p w:rsidR="002D1458" w:rsidRPr="00E27213" w:rsidRDefault="002D1458" w:rsidP="001E7F73">
            <w:pPr>
              <w:spacing w:before="0"/>
              <w:rPr>
                <w:rFonts w:ascii="Times New Roman" w:hAnsi="Times New Roman" w:cs="Times New Roman"/>
                <w:color w:val="000000"/>
                <w:sz w:val="20"/>
                <w:szCs w:val="20"/>
              </w:rPr>
            </w:pPr>
            <w:r w:rsidRPr="00E27213">
              <w:rPr>
                <w:rFonts w:ascii="Times New Roman" w:hAnsi="Times New Roman" w:cs="Times New Roman"/>
                <w:color w:val="000000"/>
                <w:sz w:val="20"/>
                <w:szCs w:val="20"/>
              </w:rPr>
              <w:t>Implication variables (s)</w:t>
            </w:r>
          </w:p>
        </w:tc>
        <w:tc>
          <w:tcPr>
            <w:tcW w:w="842"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1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21"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22"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31"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4"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916"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31" w:type="dxa"/>
            <w:tcBorders>
              <w:bottom w:val="single" w:sz="18" w:space="0" w:color="7F7F7F" w:themeColor="text1" w:themeTint="80"/>
              <w:right w:val="nil"/>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r>
      <w:tr w:rsidR="002D1458" w:rsidRPr="00F901FE" w:rsidTr="001E7F73">
        <w:tc>
          <w:tcPr>
            <w:tcW w:w="3645" w:type="dxa"/>
            <w:gridSpan w:val="2"/>
            <w:tcBorders>
              <w:top w:val="single" w:sz="18" w:space="0" w:color="7F7F7F" w:themeColor="text1" w:themeTint="80"/>
              <w:left w:val="nil"/>
              <w:bottom w:val="nil"/>
              <w:right w:val="single" w:sz="4" w:space="0" w:color="auto"/>
            </w:tcBorders>
          </w:tcPr>
          <w:p w:rsidR="002D1458" w:rsidRPr="00F901FE" w:rsidRDefault="002D1458" w:rsidP="001E7F73">
            <w:pPr>
              <w:spacing w:before="0"/>
              <w:rPr>
                <w:rFonts w:ascii="Times New Roman" w:hAnsi="Times New Roman" w:cs="Times New Roman"/>
                <w:b/>
                <w:color w:val="000000"/>
                <w:sz w:val="20"/>
                <w:szCs w:val="20"/>
              </w:rPr>
            </w:pPr>
            <w:r w:rsidRPr="00F901FE">
              <w:rPr>
                <w:rFonts w:ascii="Times New Roman" w:hAnsi="Times New Roman" w:cs="Times New Roman"/>
                <w:b/>
                <w:color w:val="000000"/>
                <w:sz w:val="20"/>
                <w:szCs w:val="20"/>
              </w:rPr>
              <w:t>Keynesian</w:t>
            </w:r>
          </w:p>
        </w:tc>
        <w:tc>
          <w:tcPr>
            <w:tcW w:w="842"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39"/>
              </w:tabs>
              <w:spacing w:before="0"/>
              <w:ind w:left="0"/>
              <w:contextualSpacing w:val="0"/>
              <w:rPr>
                <w:rFonts w:ascii="Times New Roman" w:hAnsi="Times New Roman" w:cs="Times New Roman"/>
                <w:sz w:val="20"/>
                <w:szCs w:val="20"/>
              </w:rPr>
            </w:pPr>
          </w:p>
        </w:tc>
        <w:tc>
          <w:tcPr>
            <w:tcW w:w="931" w:type="dxa"/>
            <w:tcBorders>
              <w:top w:val="single" w:sz="18" w:space="0" w:color="7F7F7F" w:themeColor="text1" w:themeTint="80"/>
              <w:left w:val="nil"/>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r>
      <w:tr w:rsidR="002D1458" w:rsidRPr="00F901FE"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National </w:t>
            </w:r>
          </w:p>
        </w:tc>
        <w:tc>
          <w:tcPr>
            <w:tcW w:w="842"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nil"/>
              <w:left w:val="single" w:sz="4" w:space="0" w:color="auto"/>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r>
      <w:tr w:rsidR="002D1458" w:rsidTr="001E7F73">
        <w:trPr>
          <w:trHeight w:val="305"/>
        </w:trPr>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1</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GDP</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-2.39</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-0.002</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-2.38</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-0.003</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-2.38</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-0.002</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-2.38</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-0.002</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-2.38</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-0.002</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-1.89</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-0.008</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-1.89</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-0.009</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-1.88</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-0.008</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-1.88</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-0.008</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-1.89</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-0.008</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3a</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0.05 discount rate</w:t>
            </w:r>
          </w:p>
        </w:tc>
        <w:tc>
          <w:tcPr>
            <w:tcW w:w="84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-0.017</w:t>
            </w:r>
          </w:p>
        </w:tc>
        <w:tc>
          <w:tcPr>
            <w:tcW w:w="82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-0.018</w:t>
            </w:r>
          </w:p>
        </w:tc>
        <w:tc>
          <w:tcPr>
            <w:tcW w:w="82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-0.017</w:t>
            </w:r>
          </w:p>
        </w:tc>
        <w:tc>
          <w:tcPr>
            <w:tcW w:w="83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-0.017</w:t>
            </w:r>
          </w:p>
        </w:tc>
        <w:tc>
          <w:tcPr>
            <w:tcW w:w="916"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-0.017</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3b</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0.02 discount rate</w:t>
            </w:r>
          </w:p>
        </w:tc>
        <w:tc>
          <w:tcPr>
            <w:tcW w:w="84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-0.016</w:t>
            </w:r>
          </w:p>
        </w:tc>
        <w:tc>
          <w:tcPr>
            <w:tcW w:w="82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-0.016</w:t>
            </w:r>
          </w:p>
        </w:tc>
        <w:tc>
          <w:tcPr>
            <w:tcW w:w="82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-0.016</w:t>
            </w:r>
          </w:p>
        </w:tc>
        <w:tc>
          <w:tcPr>
            <w:tcW w:w="83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-0.016</w:t>
            </w:r>
          </w:p>
        </w:tc>
        <w:tc>
          <w:tcPr>
            <w:tcW w:w="916"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-0.016</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Target region </w:t>
            </w:r>
          </w:p>
        </w:tc>
        <w:tc>
          <w:tcPr>
            <w:tcW w:w="84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10"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82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82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83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04"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16"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c>
          <w:tcPr>
            <w:tcW w:w="931" w:type="dxa"/>
            <w:tcBorders>
              <w:top w:val="nil"/>
              <w:left w:val="nil"/>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r w:rsidRPr="00BC333D">
              <w:rPr>
                <w:rFonts w:ascii="Times New Roman" w:hAnsi="Times New Roman" w:cs="Times New Roman"/>
                <w:color w:val="000000"/>
                <w:sz w:val="20"/>
                <w:szCs w:val="20"/>
              </w:rPr>
              <w:t> </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4</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GRP</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-11.46</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0.050</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-7.18</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-0.010</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-7.50</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-0.018</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-5.13</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0.004</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-7.82</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0.007</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5</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-10.15</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-0.019</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-5.37</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-0.042</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-5.92</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-0.036</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-3.79</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-0.021</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-6.31</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-0.029</w:t>
            </w:r>
          </w:p>
        </w:tc>
      </w:tr>
      <w:tr w:rsidR="002D1458" w:rsidRPr="00857A94" w:rsidTr="001E7F73">
        <w:tc>
          <w:tcPr>
            <w:tcW w:w="3645" w:type="dxa"/>
            <w:gridSpan w:val="2"/>
            <w:tcBorders>
              <w:top w:val="single" w:sz="18" w:space="0" w:color="7F7F7F" w:themeColor="text1" w:themeTint="80"/>
              <w:left w:val="nil"/>
              <w:bottom w:val="nil"/>
              <w:right w:val="single" w:sz="4" w:space="0" w:color="auto"/>
            </w:tcBorders>
          </w:tcPr>
          <w:p w:rsidR="002D1458" w:rsidRPr="00F901FE" w:rsidRDefault="002D1458" w:rsidP="001E7F73">
            <w:pPr>
              <w:spacing w:before="0"/>
              <w:rPr>
                <w:rFonts w:ascii="Times New Roman" w:hAnsi="Times New Roman" w:cs="Times New Roman"/>
                <w:b/>
                <w:color w:val="000000"/>
                <w:sz w:val="20"/>
                <w:szCs w:val="20"/>
              </w:rPr>
            </w:pPr>
            <w:r w:rsidRPr="00F901FE">
              <w:rPr>
                <w:rFonts w:ascii="Times New Roman" w:hAnsi="Times New Roman" w:cs="Times New Roman"/>
                <w:b/>
                <w:color w:val="000000"/>
                <w:sz w:val="20"/>
                <w:szCs w:val="20"/>
              </w:rPr>
              <w:t>Neoclassical</w:t>
            </w:r>
          </w:p>
        </w:tc>
        <w:tc>
          <w:tcPr>
            <w:tcW w:w="842" w:type="dxa"/>
            <w:tcBorders>
              <w:top w:val="single" w:sz="18" w:space="0" w:color="7F7F7F" w:themeColor="text1" w:themeTint="80"/>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single" w:sz="18" w:space="0" w:color="7F7F7F" w:themeColor="text1" w:themeTint="80"/>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single" w:sz="18" w:space="0" w:color="7F7F7F" w:themeColor="text1" w:themeTint="80"/>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single" w:sz="18" w:space="0" w:color="7F7F7F" w:themeColor="text1" w:themeTint="80"/>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single" w:sz="18" w:space="0" w:color="7F7F7F" w:themeColor="text1" w:themeTint="80"/>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single" w:sz="18" w:space="0" w:color="7F7F7F" w:themeColor="text1" w:themeTint="80"/>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single" w:sz="18" w:space="0" w:color="7F7F7F" w:themeColor="text1" w:themeTint="80"/>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31" w:type="dxa"/>
            <w:tcBorders>
              <w:top w:val="single" w:sz="18" w:space="0" w:color="7F7F7F" w:themeColor="text1" w:themeTint="80"/>
              <w:left w:val="nil"/>
              <w:bottom w:val="nil"/>
              <w:right w:val="nil"/>
            </w:tcBorders>
          </w:tcPr>
          <w:p w:rsidR="002D1458" w:rsidRPr="00BC333D" w:rsidRDefault="002D1458" w:rsidP="001E7F73">
            <w:pPr>
              <w:pStyle w:val="ListParagraph"/>
              <w:tabs>
                <w:tab w:val="decimal" w:pos="339"/>
              </w:tabs>
              <w:spacing w:before="0"/>
              <w:ind w:left="0"/>
              <w:contextualSpacing w:val="0"/>
              <w:rPr>
                <w:rFonts w:ascii="Times New Roman" w:hAnsi="Times New Roman" w:cs="Times New Roman"/>
                <w:sz w:val="20"/>
                <w:szCs w:val="20"/>
              </w:rPr>
            </w:pPr>
          </w:p>
        </w:tc>
      </w:tr>
      <w:tr w:rsidR="002D1458" w:rsidRPr="00857A94"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National </w:t>
            </w:r>
          </w:p>
        </w:tc>
        <w:tc>
          <w:tcPr>
            <w:tcW w:w="842" w:type="dxa"/>
            <w:tcBorders>
              <w:top w:val="nil"/>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nil"/>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nil"/>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nil"/>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nil"/>
              <w:left w:val="single" w:sz="4" w:space="0" w:color="auto"/>
              <w:bottom w:val="nil"/>
              <w:right w:val="nil"/>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nil"/>
              <w:left w:val="nil"/>
              <w:bottom w:val="nil"/>
              <w:right w:val="single" w:sz="4" w:space="0" w:color="auto"/>
            </w:tcBorders>
          </w:tcPr>
          <w:p w:rsidR="002D1458" w:rsidRPr="00BC333D"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nil"/>
              <w:left w:val="single" w:sz="4" w:space="0" w:color="auto"/>
              <w:bottom w:val="nil"/>
              <w:right w:val="nil"/>
            </w:tcBorders>
            <w:vAlign w:val="bottom"/>
          </w:tcPr>
          <w:p w:rsidR="002D1458" w:rsidRPr="00BC333D" w:rsidRDefault="002D1458" w:rsidP="001E7F73">
            <w:pPr>
              <w:tabs>
                <w:tab w:val="decimal" w:pos="339"/>
              </w:tabs>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BC333D" w:rsidRDefault="002D1458" w:rsidP="001E7F73">
            <w:pPr>
              <w:tabs>
                <w:tab w:val="decimal" w:pos="339"/>
              </w:tabs>
              <w:spacing w:before="0"/>
              <w:rPr>
                <w:rFonts w:ascii="Times New Roman" w:hAnsi="Times New Roman" w:cs="Times New Roman"/>
                <w:color w:val="000000"/>
                <w:sz w:val="20"/>
                <w:szCs w:val="20"/>
              </w:rPr>
            </w:pPr>
          </w:p>
        </w:tc>
      </w:tr>
      <w:tr w:rsidR="002D1458" w:rsidTr="001E7F73">
        <w:trPr>
          <w:trHeight w:val="305"/>
        </w:trPr>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1</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GDP</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-0.29</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0.011</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-0.29</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0.009</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-0.29</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0.010</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-0.29</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0.012</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-0.29</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0.011</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-0.42</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-0.42</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-0.001</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-0.42</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-0.001</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-0.42</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0.002</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-0.42</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0.000</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3a</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0.05 discount rate</w:t>
            </w:r>
          </w:p>
        </w:tc>
        <w:tc>
          <w:tcPr>
            <w:tcW w:w="84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-0.008</w:t>
            </w:r>
          </w:p>
        </w:tc>
        <w:tc>
          <w:tcPr>
            <w:tcW w:w="82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-0.008</w:t>
            </w:r>
          </w:p>
        </w:tc>
        <w:tc>
          <w:tcPr>
            <w:tcW w:w="82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-0.008</w:t>
            </w:r>
          </w:p>
        </w:tc>
        <w:tc>
          <w:tcPr>
            <w:tcW w:w="83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-0.008</w:t>
            </w:r>
          </w:p>
        </w:tc>
        <w:tc>
          <w:tcPr>
            <w:tcW w:w="916"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-0.008</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3b</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0.02 discount rate</w:t>
            </w:r>
          </w:p>
        </w:tc>
        <w:tc>
          <w:tcPr>
            <w:tcW w:w="84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-0.007</w:t>
            </w:r>
          </w:p>
        </w:tc>
        <w:tc>
          <w:tcPr>
            <w:tcW w:w="82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-0.007</w:t>
            </w:r>
          </w:p>
        </w:tc>
        <w:tc>
          <w:tcPr>
            <w:tcW w:w="82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-0.007</w:t>
            </w:r>
          </w:p>
        </w:tc>
        <w:tc>
          <w:tcPr>
            <w:tcW w:w="83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-0.007</w:t>
            </w:r>
          </w:p>
        </w:tc>
        <w:tc>
          <w:tcPr>
            <w:tcW w:w="916"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-0.007</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Target region </w:t>
            </w:r>
          </w:p>
        </w:tc>
        <w:tc>
          <w:tcPr>
            <w:tcW w:w="84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82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822"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831"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16" w:type="dxa"/>
            <w:tcBorders>
              <w:top w:val="nil"/>
              <w:left w:val="single" w:sz="4" w:space="0" w:color="auto"/>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BC333D" w:rsidRDefault="002D1458" w:rsidP="001E7F73">
            <w:pPr>
              <w:spacing w:before="0"/>
              <w:rPr>
                <w:rFonts w:ascii="Times New Roman" w:hAnsi="Times New Roman" w:cs="Times New Roman"/>
                <w:color w:val="000000"/>
                <w:sz w:val="20"/>
                <w:szCs w:val="20"/>
              </w:rPr>
            </w:pP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4</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GRP</w:t>
            </w:r>
          </w:p>
        </w:tc>
        <w:tc>
          <w:tcPr>
            <w:tcW w:w="84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-0.25</w:t>
            </w:r>
          </w:p>
        </w:tc>
        <w:tc>
          <w:tcPr>
            <w:tcW w:w="91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0.091</w:t>
            </w:r>
          </w:p>
        </w:tc>
        <w:tc>
          <w:tcPr>
            <w:tcW w:w="82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-0.66</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0.057</w:t>
            </w:r>
          </w:p>
        </w:tc>
        <w:tc>
          <w:tcPr>
            <w:tcW w:w="822"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-1.17</w:t>
            </w:r>
          </w:p>
        </w:tc>
        <w:tc>
          <w:tcPr>
            <w:tcW w:w="900"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0.040</w:t>
            </w:r>
          </w:p>
        </w:tc>
        <w:tc>
          <w:tcPr>
            <w:tcW w:w="831"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-0.43</w:t>
            </w:r>
          </w:p>
        </w:tc>
        <w:tc>
          <w:tcPr>
            <w:tcW w:w="904" w:type="dxa"/>
            <w:tcBorders>
              <w:top w:val="nil"/>
              <w:left w:val="nil"/>
              <w:bottom w:val="nil"/>
              <w:right w:val="single" w:sz="4" w:space="0" w:color="auto"/>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0.058</w:t>
            </w:r>
          </w:p>
        </w:tc>
        <w:tc>
          <w:tcPr>
            <w:tcW w:w="916" w:type="dxa"/>
            <w:tcBorders>
              <w:top w:val="nil"/>
              <w:left w:val="single" w:sz="4" w:space="0" w:color="auto"/>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-0.63</w:t>
            </w:r>
          </w:p>
        </w:tc>
        <w:tc>
          <w:tcPr>
            <w:tcW w:w="931" w:type="dxa"/>
            <w:tcBorders>
              <w:top w:val="nil"/>
              <w:left w:val="nil"/>
              <w:bottom w:val="nil"/>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0.062</w:t>
            </w:r>
          </w:p>
        </w:tc>
      </w:tr>
      <w:tr w:rsidR="002D1458" w:rsidTr="001E7F73">
        <w:tc>
          <w:tcPr>
            <w:tcW w:w="495" w:type="dxa"/>
            <w:tcBorders>
              <w:top w:val="nil"/>
              <w:left w:val="nil"/>
              <w:bottom w:val="single" w:sz="18" w:space="0" w:color="7F7F7F" w:themeColor="text1" w:themeTint="80"/>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5</w:t>
            </w:r>
          </w:p>
        </w:tc>
        <w:tc>
          <w:tcPr>
            <w:tcW w:w="3150" w:type="dxa"/>
            <w:tcBorders>
              <w:top w:val="nil"/>
              <w:left w:val="nil"/>
              <w:bottom w:val="single" w:sz="18" w:space="0" w:color="7F7F7F" w:themeColor="text1" w:themeTint="80"/>
              <w:right w:val="single" w:sz="4" w:space="0" w:color="000000" w:themeColor="text1"/>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000000" w:themeColor="text1"/>
              <w:bottom w:val="single" w:sz="18" w:space="0" w:color="7F7F7F" w:themeColor="text1" w:themeTint="80"/>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-3.66</w:t>
            </w:r>
          </w:p>
        </w:tc>
        <w:tc>
          <w:tcPr>
            <w:tcW w:w="910" w:type="dxa"/>
            <w:tcBorders>
              <w:top w:val="nil"/>
              <w:left w:val="nil"/>
              <w:bottom w:val="single" w:sz="18" w:space="0" w:color="7F7F7F" w:themeColor="text1" w:themeTint="80"/>
              <w:right w:val="single" w:sz="4" w:space="0" w:color="000000" w:themeColor="text1"/>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0.025</w:t>
            </w:r>
          </w:p>
        </w:tc>
        <w:tc>
          <w:tcPr>
            <w:tcW w:w="821" w:type="dxa"/>
            <w:tcBorders>
              <w:top w:val="nil"/>
              <w:left w:val="single" w:sz="4" w:space="0" w:color="000000" w:themeColor="text1"/>
              <w:bottom w:val="single" w:sz="18" w:space="0" w:color="7F7F7F" w:themeColor="text1" w:themeTint="80"/>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-0.98</w:t>
            </w:r>
          </w:p>
        </w:tc>
        <w:tc>
          <w:tcPr>
            <w:tcW w:w="900" w:type="dxa"/>
            <w:tcBorders>
              <w:top w:val="nil"/>
              <w:left w:val="nil"/>
              <w:bottom w:val="single" w:sz="18" w:space="0" w:color="7F7F7F" w:themeColor="text1" w:themeTint="80"/>
              <w:right w:val="single" w:sz="4" w:space="0" w:color="000000" w:themeColor="text1"/>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0.002</w:t>
            </w:r>
          </w:p>
        </w:tc>
        <w:tc>
          <w:tcPr>
            <w:tcW w:w="822" w:type="dxa"/>
            <w:tcBorders>
              <w:top w:val="nil"/>
              <w:left w:val="single" w:sz="4" w:space="0" w:color="000000" w:themeColor="text1"/>
              <w:bottom w:val="single" w:sz="18" w:space="0" w:color="7F7F7F" w:themeColor="text1" w:themeTint="80"/>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-1.81</w:t>
            </w:r>
          </w:p>
        </w:tc>
        <w:tc>
          <w:tcPr>
            <w:tcW w:w="900" w:type="dxa"/>
            <w:tcBorders>
              <w:top w:val="nil"/>
              <w:left w:val="nil"/>
              <w:bottom w:val="single" w:sz="18" w:space="0" w:color="7F7F7F" w:themeColor="text1" w:themeTint="80"/>
              <w:right w:val="single" w:sz="4" w:space="0" w:color="000000" w:themeColor="text1"/>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-0.002</w:t>
            </w:r>
          </w:p>
        </w:tc>
        <w:tc>
          <w:tcPr>
            <w:tcW w:w="831" w:type="dxa"/>
            <w:tcBorders>
              <w:top w:val="nil"/>
              <w:left w:val="single" w:sz="4" w:space="0" w:color="000000" w:themeColor="text1"/>
              <w:bottom w:val="single" w:sz="18" w:space="0" w:color="7F7F7F" w:themeColor="text1" w:themeTint="80"/>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-0.68</w:t>
            </w:r>
          </w:p>
        </w:tc>
        <w:tc>
          <w:tcPr>
            <w:tcW w:w="904" w:type="dxa"/>
            <w:tcBorders>
              <w:top w:val="nil"/>
              <w:left w:val="nil"/>
              <w:bottom w:val="single" w:sz="18" w:space="0" w:color="7F7F7F" w:themeColor="text1" w:themeTint="80"/>
              <w:right w:val="single" w:sz="4" w:space="0" w:color="000000" w:themeColor="text1"/>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0.002</w:t>
            </w:r>
          </w:p>
        </w:tc>
        <w:tc>
          <w:tcPr>
            <w:tcW w:w="916" w:type="dxa"/>
            <w:tcBorders>
              <w:top w:val="nil"/>
              <w:left w:val="single" w:sz="4" w:space="0" w:color="000000" w:themeColor="text1"/>
              <w:bottom w:val="single" w:sz="18" w:space="0" w:color="7F7F7F" w:themeColor="text1" w:themeTint="80"/>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-1.78</w:t>
            </w:r>
          </w:p>
        </w:tc>
        <w:tc>
          <w:tcPr>
            <w:tcW w:w="931" w:type="dxa"/>
            <w:tcBorders>
              <w:top w:val="nil"/>
              <w:left w:val="nil"/>
              <w:bottom w:val="single" w:sz="18" w:space="0" w:color="7F7F7F" w:themeColor="text1" w:themeTint="80"/>
              <w:right w:val="nil"/>
            </w:tcBorders>
            <w:vAlign w:val="bottom"/>
          </w:tcPr>
          <w:p w:rsidR="002D1458" w:rsidRPr="00BC333D" w:rsidRDefault="002D1458" w:rsidP="001E7F73">
            <w:pPr>
              <w:spacing w:before="0"/>
              <w:jc w:val="right"/>
              <w:rPr>
                <w:rFonts w:ascii="Times New Roman" w:hAnsi="Times New Roman" w:cs="Times New Roman"/>
                <w:color w:val="000000"/>
                <w:sz w:val="20"/>
                <w:szCs w:val="20"/>
              </w:rPr>
            </w:pPr>
            <w:r w:rsidRPr="00BC333D">
              <w:rPr>
                <w:rFonts w:ascii="Times New Roman" w:hAnsi="Times New Roman" w:cs="Times New Roman"/>
                <w:color w:val="000000"/>
                <w:sz w:val="20"/>
                <w:szCs w:val="20"/>
              </w:rPr>
              <w:t>0.007</w:t>
            </w:r>
          </w:p>
        </w:tc>
      </w:tr>
    </w:tbl>
    <w:p w:rsidR="002D1458" w:rsidRPr="00696CAD" w:rsidRDefault="002D1458" w:rsidP="002D1458">
      <w:pPr>
        <w:pStyle w:val="ListParagraph"/>
        <w:ind w:left="900" w:hanging="900"/>
        <w:contextualSpacing w:val="0"/>
        <w:rPr>
          <w:rFonts w:ascii="Times New Roman" w:hAnsi="Times New Roman" w:cs="Times New Roman"/>
          <w:b/>
          <w:sz w:val="24"/>
          <w:szCs w:val="24"/>
        </w:rPr>
      </w:pPr>
      <w:r w:rsidRPr="00696CAD">
        <w:rPr>
          <w:rFonts w:ascii="Times New Roman" w:hAnsi="Times New Roman" w:cs="Times New Roman"/>
          <w:b/>
          <w:sz w:val="24"/>
          <w:szCs w:val="24"/>
        </w:rPr>
        <w:t xml:space="preserve">Relevant variables.  </w:t>
      </w:r>
    </w:p>
    <w:p w:rsidR="002D1458" w:rsidRPr="00BA5B92" w:rsidRDefault="002D1458" w:rsidP="002D1458">
      <w:pPr>
        <w:pStyle w:val="ListParagraph"/>
        <w:ind w:left="900" w:hanging="900"/>
        <w:contextualSpacing w:val="0"/>
        <w:rPr>
          <w:rFonts w:ascii="Times New Roman" w:hAnsi="Times New Roman" w:cs="Times New Roman"/>
          <w:sz w:val="24"/>
          <w:szCs w:val="24"/>
        </w:rPr>
      </w:pPr>
      <w:r w:rsidRPr="00BA5B92">
        <w:rPr>
          <w:rFonts w:ascii="Times New Roman" w:hAnsi="Times New Roman" w:cs="Times New Roman"/>
          <w:b/>
          <w:i/>
          <w:sz w:val="24"/>
          <w:szCs w:val="24"/>
        </w:rPr>
        <w:t xml:space="preserve">National:  </w:t>
      </w:r>
      <w:r w:rsidRPr="00BA5B92">
        <w:rPr>
          <w:rFonts w:ascii="Times New Roman" w:hAnsi="Times New Roman" w:cs="Times New Roman"/>
          <w:sz w:val="24"/>
          <w:szCs w:val="24"/>
        </w:rPr>
        <w:t xml:space="preserve">Domestic visitor expenditure by U.S. residents as a share of national GDP.   </w:t>
      </w:r>
    </w:p>
    <w:p w:rsidR="002D1458" w:rsidRPr="00D21E8E" w:rsidRDefault="002D1458" w:rsidP="002D1458">
      <w:pPr>
        <w:pStyle w:val="ListParagraph"/>
        <w:ind w:left="900" w:hanging="900"/>
        <w:contextualSpacing w:val="0"/>
        <w:rPr>
          <w:rFonts w:ascii="Times New Roman" w:hAnsi="Times New Roman" w:cs="Times New Roman"/>
          <w:sz w:val="24"/>
          <w:szCs w:val="24"/>
        </w:rPr>
      </w:pPr>
      <w:r w:rsidRPr="00BA5B92">
        <w:rPr>
          <w:rFonts w:ascii="Times New Roman" w:hAnsi="Times New Roman" w:cs="Times New Roman"/>
          <w:b/>
          <w:i/>
          <w:sz w:val="24"/>
          <w:szCs w:val="24"/>
        </w:rPr>
        <w:t>Regional:</w:t>
      </w:r>
      <w:r w:rsidRPr="00BA5B92">
        <w:rPr>
          <w:rFonts w:ascii="Times New Roman" w:hAnsi="Times New Roman" w:cs="Times New Roman"/>
          <w:sz w:val="24"/>
          <w:szCs w:val="24"/>
        </w:rPr>
        <w:t xml:space="preserve">  </w:t>
      </w:r>
      <w:r>
        <w:rPr>
          <w:rFonts w:ascii="Times New Roman" w:hAnsi="Times New Roman" w:cs="Times New Roman"/>
          <w:sz w:val="24"/>
          <w:szCs w:val="24"/>
        </w:rPr>
        <w:t xml:space="preserve">Share of target region’s output that is sold to Rest of state &amp; Rest of USA </w:t>
      </w:r>
      <w:r>
        <w:rPr>
          <w:rFonts w:ascii="Times New Roman" w:hAnsi="Times New Roman" w:cs="Times New Roman"/>
          <w:i/>
          <w:sz w:val="24"/>
          <w:szCs w:val="24"/>
        </w:rPr>
        <w:t xml:space="preserve">times </w:t>
      </w:r>
      <w:r>
        <w:rPr>
          <w:rFonts w:ascii="Times New Roman" w:hAnsi="Times New Roman" w:cs="Times New Roman"/>
          <w:sz w:val="24"/>
          <w:szCs w:val="24"/>
        </w:rPr>
        <w:t xml:space="preserve">[{domestic visitor expenditure outside </w:t>
      </w:r>
      <w:r w:rsidR="0010392C">
        <w:rPr>
          <w:rFonts w:ascii="Times New Roman" w:hAnsi="Times New Roman" w:cs="Times New Roman"/>
          <w:sz w:val="24"/>
          <w:szCs w:val="24"/>
        </w:rPr>
        <w:t>T</w:t>
      </w:r>
      <w:r>
        <w:rPr>
          <w:rFonts w:ascii="Times New Roman" w:hAnsi="Times New Roman" w:cs="Times New Roman"/>
          <w:sz w:val="24"/>
          <w:szCs w:val="24"/>
        </w:rPr>
        <w:t xml:space="preserve">arget city} </w:t>
      </w:r>
      <w:r w:rsidRPr="00C6496D">
        <w:rPr>
          <w:rFonts w:ascii="Times New Roman" w:hAnsi="Times New Roman" w:cs="Times New Roman"/>
          <w:i/>
          <w:sz w:val="24"/>
          <w:szCs w:val="24"/>
        </w:rPr>
        <w:t>divided</w:t>
      </w:r>
      <w:r>
        <w:rPr>
          <w:rFonts w:ascii="Times New Roman" w:hAnsi="Times New Roman" w:cs="Times New Roman"/>
          <w:sz w:val="24"/>
          <w:szCs w:val="24"/>
        </w:rPr>
        <w:t xml:space="preserve"> </w:t>
      </w:r>
      <w:r w:rsidRPr="00C6496D">
        <w:rPr>
          <w:rFonts w:ascii="Times New Roman" w:hAnsi="Times New Roman" w:cs="Times New Roman"/>
          <w:i/>
          <w:sz w:val="24"/>
          <w:szCs w:val="24"/>
        </w:rPr>
        <w:t>by</w:t>
      </w:r>
      <w:r>
        <w:rPr>
          <w:rFonts w:ascii="Times New Roman" w:hAnsi="Times New Roman" w:cs="Times New Roman"/>
          <w:sz w:val="24"/>
          <w:szCs w:val="24"/>
        </w:rPr>
        <w:t xml:space="preserve"> GRP in Rest of state &amp; Rest of USA] </w:t>
      </w:r>
    </w:p>
    <w:p w:rsidR="002D1458" w:rsidRDefault="002D1458" w:rsidP="002D1458">
      <w:pPr>
        <w:pStyle w:val="ListParagraph"/>
        <w:ind w:left="900" w:hanging="900"/>
        <w:contextualSpacing w:val="0"/>
        <w:rPr>
          <w:rFonts w:ascii="Times New Roman" w:hAnsi="Times New Roman" w:cs="Times New Roman"/>
          <w:sz w:val="24"/>
          <w:szCs w:val="24"/>
        </w:rPr>
      </w:pPr>
      <w:r>
        <w:rPr>
          <w:rFonts w:ascii="Times New Roman" w:hAnsi="Times New Roman" w:cs="Times New Roman"/>
          <w:sz w:val="24"/>
          <w:szCs w:val="24"/>
        </w:rPr>
        <w:br w:type="page"/>
      </w:r>
    </w:p>
    <w:p w:rsidR="002D1458" w:rsidRPr="00BC333D" w:rsidRDefault="002D1458" w:rsidP="002D1458">
      <w:pPr>
        <w:pStyle w:val="ListParagraph"/>
        <w:ind w:left="900" w:hanging="900"/>
        <w:contextualSpacing w:val="0"/>
        <w:jc w:val="center"/>
        <w:rPr>
          <w:rFonts w:ascii="Times New Roman" w:hAnsi="Times New Roman" w:cs="Times New Roman"/>
          <w:b/>
          <w:i/>
          <w:sz w:val="24"/>
          <w:szCs w:val="24"/>
        </w:rPr>
      </w:pPr>
      <w:r w:rsidRPr="00BC333D">
        <w:rPr>
          <w:rFonts w:ascii="Times New Roman" w:hAnsi="Times New Roman" w:cs="Times New Roman"/>
          <w:b/>
          <w:i/>
          <w:sz w:val="24"/>
          <w:szCs w:val="24"/>
        </w:rPr>
        <w:lastRenderedPageBreak/>
        <w:t xml:space="preserve">Table A11.  Coefficients, C(s,v), for loss of food production in </w:t>
      </w:r>
      <w:r w:rsidR="009A70D4" w:rsidRPr="00BC333D">
        <w:rPr>
          <w:rFonts w:ascii="Times New Roman" w:hAnsi="Times New Roman" w:cs="Times New Roman"/>
          <w:b/>
          <w:i/>
          <w:sz w:val="24"/>
          <w:szCs w:val="24"/>
        </w:rPr>
        <w:t>T</w:t>
      </w:r>
      <w:r w:rsidRPr="00BC333D">
        <w:rPr>
          <w:rFonts w:ascii="Times New Roman" w:hAnsi="Times New Roman" w:cs="Times New Roman"/>
          <w:b/>
          <w:i/>
          <w:sz w:val="24"/>
          <w:szCs w:val="24"/>
        </w:rPr>
        <w:t xml:space="preserve">arget state (s=11)  </w:t>
      </w:r>
    </w:p>
    <w:tbl>
      <w:tblPr>
        <w:tblStyle w:val="TableGrid"/>
        <w:tblW w:w="12422" w:type="dxa"/>
        <w:tblInd w:w="900" w:type="dxa"/>
        <w:tblLook w:val="04A0" w:firstRow="1" w:lastRow="0" w:firstColumn="1" w:lastColumn="0" w:noHBand="0" w:noVBand="1"/>
      </w:tblPr>
      <w:tblGrid>
        <w:gridCol w:w="495"/>
        <w:gridCol w:w="3150"/>
        <w:gridCol w:w="842"/>
        <w:gridCol w:w="910"/>
        <w:gridCol w:w="821"/>
        <w:gridCol w:w="900"/>
        <w:gridCol w:w="822"/>
        <w:gridCol w:w="900"/>
        <w:gridCol w:w="831"/>
        <w:gridCol w:w="904"/>
        <w:gridCol w:w="916"/>
        <w:gridCol w:w="931"/>
      </w:tblGrid>
      <w:tr w:rsidR="002D1458" w:rsidRPr="00E27213" w:rsidTr="001E7F73">
        <w:tc>
          <w:tcPr>
            <w:tcW w:w="495" w:type="dxa"/>
            <w:tcBorders>
              <w:top w:val="single" w:sz="18" w:space="0" w:color="7F7F7F" w:themeColor="text1" w:themeTint="80"/>
              <w:left w:val="nil"/>
              <w:bottom w:val="nil"/>
              <w:right w:val="nil"/>
            </w:tcBorders>
            <w:vAlign w:val="bottom"/>
          </w:tcPr>
          <w:p w:rsidR="002D1458" w:rsidRPr="00E27213" w:rsidRDefault="002D1458" w:rsidP="001E7F73">
            <w:pPr>
              <w:spacing w:before="0"/>
              <w:rPr>
                <w:rFonts w:ascii="Times New Roman" w:hAnsi="Times New Roman" w:cs="Times New Roman"/>
                <w:color w:val="000000"/>
                <w:sz w:val="20"/>
                <w:szCs w:val="20"/>
              </w:rPr>
            </w:pPr>
          </w:p>
        </w:tc>
        <w:tc>
          <w:tcPr>
            <w:tcW w:w="3150" w:type="dxa"/>
            <w:tcBorders>
              <w:top w:val="single" w:sz="18" w:space="0" w:color="7F7F7F" w:themeColor="text1" w:themeTint="80"/>
              <w:left w:val="nil"/>
              <w:bottom w:val="nil"/>
            </w:tcBorders>
            <w:vAlign w:val="center"/>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Target region (d)</w:t>
            </w:r>
          </w:p>
        </w:tc>
        <w:tc>
          <w:tcPr>
            <w:tcW w:w="1752"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FL24</w:t>
            </w:r>
          </w:p>
        </w:tc>
        <w:tc>
          <w:tcPr>
            <w:tcW w:w="1721"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AZ07</w:t>
            </w:r>
          </w:p>
        </w:tc>
        <w:tc>
          <w:tcPr>
            <w:tcW w:w="1722"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NY14</w:t>
            </w:r>
          </w:p>
        </w:tc>
        <w:tc>
          <w:tcPr>
            <w:tcW w:w="1735"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WA09</w:t>
            </w:r>
          </w:p>
        </w:tc>
        <w:tc>
          <w:tcPr>
            <w:tcW w:w="1847" w:type="dxa"/>
            <w:gridSpan w:val="2"/>
            <w:tcBorders>
              <w:top w:val="single" w:sz="18" w:space="0" w:color="7F7F7F" w:themeColor="text1" w:themeTint="80"/>
              <w:right w:val="nil"/>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Average</w:t>
            </w:r>
          </w:p>
        </w:tc>
      </w:tr>
      <w:tr w:rsidR="002D1458" w:rsidRPr="00E27213" w:rsidTr="001E7F73">
        <w:tc>
          <w:tcPr>
            <w:tcW w:w="495" w:type="dxa"/>
            <w:tcBorders>
              <w:top w:val="nil"/>
              <w:left w:val="nil"/>
              <w:bottom w:val="single" w:sz="18" w:space="0" w:color="7F7F7F" w:themeColor="text1" w:themeTint="80"/>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single" w:sz="18" w:space="0" w:color="7F7F7F" w:themeColor="text1" w:themeTint="80"/>
            </w:tcBorders>
            <w:vAlign w:val="bottom"/>
          </w:tcPr>
          <w:p w:rsidR="002D1458" w:rsidRPr="00E27213" w:rsidRDefault="002D1458" w:rsidP="001E7F73">
            <w:pPr>
              <w:spacing w:before="0"/>
              <w:rPr>
                <w:rFonts w:ascii="Times New Roman" w:hAnsi="Times New Roman" w:cs="Times New Roman"/>
                <w:color w:val="000000"/>
                <w:sz w:val="20"/>
                <w:szCs w:val="20"/>
              </w:rPr>
            </w:pPr>
            <w:r w:rsidRPr="00E27213">
              <w:rPr>
                <w:rFonts w:ascii="Times New Roman" w:hAnsi="Times New Roman" w:cs="Times New Roman"/>
                <w:color w:val="000000"/>
                <w:sz w:val="20"/>
                <w:szCs w:val="20"/>
              </w:rPr>
              <w:t>Implication variables (s)</w:t>
            </w:r>
          </w:p>
        </w:tc>
        <w:tc>
          <w:tcPr>
            <w:tcW w:w="842"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1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21"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22"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31"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4"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916"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31" w:type="dxa"/>
            <w:tcBorders>
              <w:bottom w:val="single" w:sz="18" w:space="0" w:color="7F7F7F" w:themeColor="text1" w:themeTint="80"/>
              <w:right w:val="nil"/>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r>
      <w:tr w:rsidR="002D1458" w:rsidRPr="00F901FE" w:rsidTr="001E7F73">
        <w:tc>
          <w:tcPr>
            <w:tcW w:w="3645" w:type="dxa"/>
            <w:gridSpan w:val="2"/>
            <w:tcBorders>
              <w:top w:val="single" w:sz="18" w:space="0" w:color="7F7F7F" w:themeColor="text1" w:themeTint="80"/>
              <w:left w:val="nil"/>
              <w:bottom w:val="nil"/>
              <w:right w:val="single" w:sz="4" w:space="0" w:color="auto"/>
            </w:tcBorders>
          </w:tcPr>
          <w:p w:rsidR="002D1458" w:rsidRPr="00A520FE" w:rsidRDefault="002D1458" w:rsidP="001E7F73">
            <w:pPr>
              <w:spacing w:before="0"/>
              <w:rPr>
                <w:rFonts w:ascii="Times New Roman" w:hAnsi="Times New Roman" w:cs="Times New Roman"/>
                <w:b/>
                <w:color w:val="000000"/>
                <w:sz w:val="20"/>
                <w:szCs w:val="20"/>
              </w:rPr>
            </w:pPr>
            <w:r w:rsidRPr="00A520FE">
              <w:rPr>
                <w:rFonts w:ascii="Times New Roman" w:hAnsi="Times New Roman" w:cs="Times New Roman"/>
                <w:b/>
                <w:color w:val="000000"/>
                <w:sz w:val="20"/>
                <w:szCs w:val="20"/>
              </w:rPr>
              <w:t>Keynesian</w:t>
            </w:r>
          </w:p>
        </w:tc>
        <w:tc>
          <w:tcPr>
            <w:tcW w:w="842" w:type="dxa"/>
            <w:tcBorders>
              <w:top w:val="single" w:sz="18" w:space="0" w:color="7F7F7F" w:themeColor="text1" w:themeTint="80"/>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single" w:sz="18" w:space="0" w:color="7F7F7F" w:themeColor="text1" w:themeTint="80"/>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single" w:sz="18" w:space="0" w:color="7F7F7F" w:themeColor="text1" w:themeTint="80"/>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single" w:sz="18" w:space="0" w:color="7F7F7F" w:themeColor="text1" w:themeTint="80"/>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single" w:sz="18" w:space="0" w:color="7F7F7F" w:themeColor="text1" w:themeTint="80"/>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single" w:sz="18" w:space="0" w:color="7F7F7F" w:themeColor="text1" w:themeTint="80"/>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single" w:sz="18" w:space="0" w:color="7F7F7F" w:themeColor="text1" w:themeTint="80"/>
              <w:left w:val="single" w:sz="4" w:space="0" w:color="auto"/>
              <w:bottom w:val="nil"/>
              <w:right w:val="nil"/>
            </w:tcBorders>
          </w:tcPr>
          <w:p w:rsidR="002D1458" w:rsidRPr="00A520FE" w:rsidRDefault="002D1458" w:rsidP="001E7F73">
            <w:pPr>
              <w:pStyle w:val="ListParagraph"/>
              <w:tabs>
                <w:tab w:val="decimal" w:pos="339"/>
              </w:tabs>
              <w:spacing w:before="0"/>
              <w:ind w:left="0"/>
              <w:contextualSpacing w:val="0"/>
              <w:rPr>
                <w:rFonts w:ascii="Times New Roman" w:hAnsi="Times New Roman" w:cs="Times New Roman"/>
                <w:sz w:val="20"/>
                <w:szCs w:val="20"/>
              </w:rPr>
            </w:pPr>
          </w:p>
        </w:tc>
        <w:tc>
          <w:tcPr>
            <w:tcW w:w="931" w:type="dxa"/>
            <w:tcBorders>
              <w:top w:val="single" w:sz="18" w:space="0" w:color="7F7F7F" w:themeColor="text1" w:themeTint="80"/>
              <w:left w:val="nil"/>
              <w:bottom w:val="nil"/>
              <w:right w:val="nil"/>
            </w:tcBorders>
            <w:vAlign w:val="bottom"/>
          </w:tcPr>
          <w:p w:rsidR="002D1458" w:rsidRPr="00A520FE" w:rsidRDefault="002D1458" w:rsidP="001E7F73">
            <w:pPr>
              <w:tabs>
                <w:tab w:val="decimal" w:pos="339"/>
              </w:tabs>
              <w:spacing w:before="0"/>
              <w:rPr>
                <w:rFonts w:ascii="Times New Roman" w:hAnsi="Times New Roman" w:cs="Times New Roman"/>
                <w:color w:val="000000"/>
                <w:sz w:val="20"/>
                <w:szCs w:val="20"/>
              </w:rPr>
            </w:pPr>
          </w:p>
        </w:tc>
      </w:tr>
      <w:tr w:rsidR="002D1458" w:rsidRPr="00F901FE" w:rsidTr="001E7F73">
        <w:tc>
          <w:tcPr>
            <w:tcW w:w="495" w:type="dxa"/>
            <w:tcBorders>
              <w:top w:val="nil"/>
              <w:left w:val="nil"/>
              <w:bottom w:val="nil"/>
              <w:right w:val="nil"/>
            </w:tcBorders>
          </w:tcPr>
          <w:p w:rsidR="002D1458" w:rsidRPr="00A520FE"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i/>
                <w:color w:val="000000"/>
                <w:sz w:val="20"/>
                <w:szCs w:val="20"/>
              </w:rPr>
            </w:pPr>
            <w:r w:rsidRPr="00A520FE">
              <w:rPr>
                <w:rFonts w:ascii="Times New Roman" w:hAnsi="Times New Roman" w:cs="Times New Roman"/>
                <w:i/>
                <w:color w:val="000000"/>
                <w:sz w:val="20"/>
                <w:szCs w:val="20"/>
              </w:rPr>
              <w:t xml:space="preserve">National </w:t>
            </w:r>
          </w:p>
        </w:tc>
        <w:tc>
          <w:tcPr>
            <w:tcW w:w="842" w:type="dxa"/>
            <w:tcBorders>
              <w:top w:val="nil"/>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nil"/>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nil"/>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nil"/>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nil"/>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nil"/>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nil"/>
              <w:left w:val="single" w:sz="4" w:space="0" w:color="auto"/>
              <w:bottom w:val="nil"/>
              <w:right w:val="nil"/>
            </w:tcBorders>
            <w:vAlign w:val="bottom"/>
          </w:tcPr>
          <w:p w:rsidR="002D1458" w:rsidRPr="00A520FE" w:rsidRDefault="002D1458" w:rsidP="001E7F73">
            <w:pPr>
              <w:tabs>
                <w:tab w:val="decimal" w:pos="339"/>
              </w:tabs>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A520FE" w:rsidRDefault="002D1458" w:rsidP="001E7F73">
            <w:pPr>
              <w:tabs>
                <w:tab w:val="decimal" w:pos="339"/>
              </w:tabs>
              <w:spacing w:before="0"/>
              <w:rPr>
                <w:rFonts w:ascii="Times New Roman" w:hAnsi="Times New Roman" w:cs="Times New Roman"/>
                <w:color w:val="000000"/>
                <w:sz w:val="20"/>
                <w:szCs w:val="20"/>
              </w:rPr>
            </w:pPr>
          </w:p>
        </w:tc>
      </w:tr>
      <w:tr w:rsidR="002D1458" w:rsidTr="001E7F73">
        <w:trPr>
          <w:trHeight w:val="305"/>
        </w:trPr>
        <w:tc>
          <w:tcPr>
            <w:tcW w:w="495" w:type="dxa"/>
            <w:tcBorders>
              <w:top w:val="nil"/>
              <w:left w:val="nil"/>
              <w:bottom w:val="nil"/>
              <w:right w:val="nil"/>
            </w:tcBorders>
          </w:tcPr>
          <w:p w:rsidR="002D1458" w:rsidRPr="00A520FE" w:rsidRDefault="002D1458" w:rsidP="001E7F73">
            <w:pPr>
              <w:pStyle w:val="ListParagraph"/>
              <w:spacing w:before="0"/>
              <w:ind w:left="0"/>
              <w:contextualSpacing w:val="0"/>
              <w:jc w:val="center"/>
              <w:rPr>
                <w:rFonts w:ascii="Times New Roman" w:hAnsi="Times New Roman" w:cs="Times New Roman"/>
                <w:sz w:val="20"/>
                <w:szCs w:val="20"/>
              </w:rPr>
            </w:pPr>
            <w:r w:rsidRPr="00A520FE">
              <w:rPr>
                <w:rFonts w:ascii="Times New Roman" w:hAnsi="Times New Roman" w:cs="Times New Roman"/>
                <w:sz w:val="20"/>
                <w:szCs w:val="20"/>
              </w:rPr>
              <w:t>1</w:t>
            </w:r>
          </w:p>
        </w:tc>
        <w:tc>
          <w:tcPr>
            <w:tcW w:w="315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xml:space="preserve">    GDP</w:t>
            </w:r>
          </w:p>
        </w:tc>
        <w:tc>
          <w:tcPr>
            <w:tcW w:w="84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-2.74</w:t>
            </w: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-0.030</w:t>
            </w:r>
          </w:p>
        </w:tc>
        <w:tc>
          <w:tcPr>
            <w:tcW w:w="82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-2.19</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-0.054</w:t>
            </w:r>
          </w:p>
        </w:tc>
        <w:tc>
          <w:tcPr>
            <w:tcW w:w="82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-2.55</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-0.032</w:t>
            </w:r>
          </w:p>
        </w:tc>
        <w:tc>
          <w:tcPr>
            <w:tcW w:w="83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-2.50</w:t>
            </w: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0.006</w:t>
            </w:r>
          </w:p>
        </w:tc>
        <w:tc>
          <w:tcPr>
            <w:tcW w:w="916"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-2.50</w:t>
            </w: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-0.027</w:t>
            </w:r>
          </w:p>
        </w:tc>
      </w:tr>
      <w:tr w:rsidR="002D1458" w:rsidTr="001E7F73">
        <w:tc>
          <w:tcPr>
            <w:tcW w:w="495" w:type="dxa"/>
            <w:tcBorders>
              <w:top w:val="nil"/>
              <w:left w:val="nil"/>
              <w:bottom w:val="nil"/>
              <w:right w:val="nil"/>
            </w:tcBorders>
          </w:tcPr>
          <w:p w:rsidR="002D1458" w:rsidRPr="00A520FE" w:rsidRDefault="002D1458" w:rsidP="001E7F73">
            <w:pPr>
              <w:pStyle w:val="ListParagraph"/>
              <w:spacing w:before="0"/>
              <w:ind w:left="0"/>
              <w:contextualSpacing w:val="0"/>
              <w:jc w:val="center"/>
              <w:rPr>
                <w:rFonts w:ascii="Times New Roman" w:hAnsi="Times New Roman" w:cs="Times New Roman"/>
                <w:sz w:val="20"/>
                <w:szCs w:val="20"/>
              </w:rPr>
            </w:pPr>
            <w:r w:rsidRPr="00A520FE">
              <w:rPr>
                <w:rFonts w:ascii="Times New Roman" w:hAnsi="Times New Roman" w:cs="Times New Roman"/>
                <w:sz w:val="20"/>
                <w:szCs w:val="20"/>
              </w:rPr>
              <w:t>2</w:t>
            </w:r>
          </w:p>
        </w:tc>
        <w:tc>
          <w:tcPr>
            <w:tcW w:w="315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-1.96</w:t>
            </w: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-0.038</w:t>
            </w:r>
          </w:p>
        </w:tc>
        <w:tc>
          <w:tcPr>
            <w:tcW w:w="82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-1.54</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-0.063</w:t>
            </w:r>
          </w:p>
        </w:tc>
        <w:tc>
          <w:tcPr>
            <w:tcW w:w="82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-1.82</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-0.030</w:t>
            </w:r>
          </w:p>
        </w:tc>
        <w:tc>
          <w:tcPr>
            <w:tcW w:w="83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-1.89</w:t>
            </w: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0.003</w:t>
            </w:r>
          </w:p>
        </w:tc>
        <w:tc>
          <w:tcPr>
            <w:tcW w:w="916"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-1.80</w:t>
            </w: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-0.032</w:t>
            </w:r>
          </w:p>
        </w:tc>
      </w:tr>
      <w:tr w:rsidR="002D1458" w:rsidTr="001E7F73">
        <w:tc>
          <w:tcPr>
            <w:tcW w:w="495" w:type="dxa"/>
            <w:tcBorders>
              <w:top w:val="nil"/>
              <w:left w:val="nil"/>
              <w:bottom w:val="nil"/>
              <w:right w:val="nil"/>
            </w:tcBorders>
          </w:tcPr>
          <w:p w:rsidR="002D1458" w:rsidRPr="00A520FE" w:rsidRDefault="002D1458" w:rsidP="001E7F73">
            <w:pPr>
              <w:pStyle w:val="ListParagraph"/>
              <w:spacing w:before="0"/>
              <w:ind w:left="0"/>
              <w:contextualSpacing w:val="0"/>
              <w:jc w:val="center"/>
              <w:rPr>
                <w:rFonts w:ascii="Times New Roman" w:hAnsi="Times New Roman" w:cs="Times New Roman"/>
                <w:sz w:val="20"/>
                <w:szCs w:val="20"/>
              </w:rPr>
            </w:pPr>
            <w:r w:rsidRPr="00A520FE">
              <w:rPr>
                <w:rFonts w:ascii="Times New Roman" w:hAnsi="Times New Roman" w:cs="Times New Roman"/>
                <w:sz w:val="20"/>
                <w:szCs w:val="20"/>
              </w:rPr>
              <w:t>3a</w:t>
            </w:r>
          </w:p>
        </w:tc>
        <w:tc>
          <w:tcPr>
            <w:tcW w:w="315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xml:space="preserve">    Welfare, 0.05 discount rate</w:t>
            </w:r>
          </w:p>
        </w:tc>
        <w:tc>
          <w:tcPr>
            <w:tcW w:w="84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-0.019</w:t>
            </w:r>
          </w:p>
        </w:tc>
        <w:tc>
          <w:tcPr>
            <w:tcW w:w="82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-0.017</w:t>
            </w:r>
          </w:p>
        </w:tc>
        <w:tc>
          <w:tcPr>
            <w:tcW w:w="82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-0.024</w:t>
            </w:r>
          </w:p>
        </w:tc>
        <w:tc>
          <w:tcPr>
            <w:tcW w:w="83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-0.019</w:t>
            </w:r>
          </w:p>
        </w:tc>
        <w:tc>
          <w:tcPr>
            <w:tcW w:w="916"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-0.020</w:t>
            </w:r>
          </w:p>
        </w:tc>
      </w:tr>
      <w:tr w:rsidR="002D1458" w:rsidTr="001E7F73">
        <w:tc>
          <w:tcPr>
            <w:tcW w:w="495" w:type="dxa"/>
            <w:tcBorders>
              <w:top w:val="nil"/>
              <w:left w:val="nil"/>
              <w:bottom w:val="nil"/>
              <w:right w:val="nil"/>
            </w:tcBorders>
          </w:tcPr>
          <w:p w:rsidR="002D1458" w:rsidRPr="00A520FE" w:rsidRDefault="002D1458" w:rsidP="001E7F73">
            <w:pPr>
              <w:pStyle w:val="ListParagraph"/>
              <w:spacing w:before="0"/>
              <w:ind w:left="0"/>
              <w:contextualSpacing w:val="0"/>
              <w:jc w:val="center"/>
              <w:rPr>
                <w:rFonts w:ascii="Times New Roman" w:hAnsi="Times New Roman" w:cs="Times New Roman"/>
                <w:sz w:val="20"/>
                <w:szCs w:val="20"/>
              </w:rPr>
            </w:pPr>
            <w:r w:rsidRPr="00A520FE">
              <w:rPr>
                <w:rFonts w:ascii="Times New Roman" w:hAnsi="Times New Roman" w:cs="Times New Roman"/>
                <w:sz w:val="20"/>
                <w:szCs w:val="20"/>
              </w:rPr>
              <w:t>3b</w:t>
            </w:r>
          </w:p>
        </w:tc>
        <w:tc>
          <w:tcPr>
            <w:tcW w:w="315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xml:space="preserve">    Welfare, 0.02 discount rate</w:t>
            </w:r>
          </w:p>
        </w:tc>
        <w:tc>
          <w:tcPr>
            <w:tcW w:w="84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-0.021</w:t>
            </w:r>
          </w:p>
        </w:tc>
        <w:tc>
          <w:tcPr>
            <w:tcW w:w="82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-0.019</w:t>
            </w:r>
          </w:p>
        </w:tc>
        <w:tc>
          <w:tcPr>
            <w:tcW w:w="82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-0.026</w:t>
            </w:r>
          </w:p>
        </w:tc>
        <w:tc>
          <w:tcPr>
            <w:tcW w:w="83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-0.020</w:t>
            </w:r>
          </w:p>
        </w:tc>
        <w:tc>
          <w:tcPr>
            <w:tcW w:w="916"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-0.022</w:t>
            </w:r>
          </w:p>
        </w:tc>
      </w:tr>
      <w:tr w:rsidR="002D1458" w:rsidTr="001E7F73">
        <w:tc>
          <w:tcPr>
            <w:tcW w:w="495" w:type="dxa"/>
            <w:tcBorders>
              <w:top w:val="nil"/>
              <w:left w:val="nil"/>
              <w:bottom w:val="nil"/>
              <w:right w:val="nil"/>
            </w:tcBorders>
          </w:tcPr>
          <w:p w:rsidR="002D1458" w:rsidRPr="00A520FE"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i/>
                <w:color w:val="000000"/>
                <w:sz w:val="20"/>
                <w:szCs w:val="20"/>
              </w:rPr>
            </w:pPr>
            <w:r w:rsidRPr="00A520FE">
              <w:rPr>
                <w:rFonts w:ascii="Times New Roman" w:hAnsi="Times New Roman" w:cs="Times New Roman"/>
                <w:i/>
                <w:color w:val="000000"/>
                <w:sz w:val="20"/>
                <w:szCs w:val="20"/>
              </w:rPr>
              <w:t xml:space="preserve">Target region </w:t>
            </w:r>
          </w:p>
        </w:tc>
        <w:tc>
          <w:tcPr>
            <w:tcW w:w="84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82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82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83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16"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r>
      <w:tr w:rsidR="002D1458" w:rsidTr="001E7F73">
        <w:tc>
          <w:tcPr>
            <w:tcW w:w="495" w:type="dxa"/>
            <w:tcBorders>
              <w:top w:val="nil"/>
              <w:left w:val="nil"/>
              <w:bottom w:val="nil"/>
              <w:right w:val="nil"/>
            </w:tcBorders>
          </w:tcPr>
          <w:p w:rsidR="002D1458" w:rsidRPr="00A520FE" w:rsidRDefault="002D1458" w:rsidP="001E7F73">
            <w:pPr>
              <w:pStyle w:val="ListParagraph"/>
              <w:spacing w:before="0"/>
              <w:ind w:left="0"/>
              <w:contextualSpacing w:val="0"/>
              <w:jc w:val="center"/>
              <w:rPr>
                <w:rFonts w:ascii="Times New Roman" w:hAnsi="Times New Roman" w:cs="Times New Roman"/>
                <w:sz w:val="20"/>
                <w:szCs w:val="20"/>
              </w:rPr>
            </w:pPr>
            <w:r w:rsidRPr="00A520FE">
              <w:rPr>
                <w:rFonts w:ascii="Times New Roman" w:hAnsi="Times New Roman" w:cs="Times New Roman"/>
                <w:sz w:val="20"/>
                <w:szCs w:val="20"/>
              </w:rPr>
              <w:t>4</w:t>
            </w:r>
          </w:p>
        </w:tc>
        <w:tc>
          <w:tcPr>
            <w:tcW w:w="315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xml:space="preserve">    GRP</w:t>
            </w:r>
          </w:p>
        </w:tc>
        <w:tc>
          <w:tcPr>
            <w:tcW w:w="84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-5.18</w:t>
            </w: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0.023</w:t>
            </w:r>
          </w:p>
        </w:tc>
        <w:tc>
          <w:tcPr>
            <w:tcW w:w="82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-3.59</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0.006</w:t>
            </w:r>
          </w:p>
        </w:tc>
        <w:tc>
          <w:tcPr>
            <w:tcW w:w="82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-4.42</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0.004</w:t>
            </w:r>
          </w:p>
        </w:tc>
        <w:tc>
          <w:tcPr>
            <w:tcW w:w="83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-4.29</w:t>
            </w: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0.012</w:t>
            </w:r>
          </w:p>
        </w:tc>
        <w:tc>
          <w:tcPr>
            <w:tcW w:w="916"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-4.37</w:t>
            </w: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0.011</w:t>
            </w:r>
          </w:p>
        </w:tc>
      </w:tr>
      <w:tr w:rsidR="002D1458" w:rsidTr="001E7F73">
        <w:tc>
          <w:tcPr>
            <w:tcW w:w="495" w:type="dxa"/>
            <w:tcBorders>
              <w:top w:val="nil"/>
              <w:left w:val="nil"/>
              <w:bottom w:val="nil"/>
              <w:right w:val="nil"/>
            </w:tcBorders>
          </w:tcPr>
          <w:p w:rsidR="002D1458" w:rsidRPr="00A520FE" w:rsidRDefault="002D1458" w:rsidP="001E7F73">
            <w:pPr>
              <w:pStyle w:val="ListParagraph"/>
              <w:spacing w:before="0"/>
              <w:ind w:left="0"/>
              <w:contextualSpacing w:val="0"/>
              <w:jc w:val="center"/>
              <w:rPr>
                <w:rFonts w:ascii="Times New Roman" w:hAnsi="Times New Roman" w:cs="Times New Roman"/>
                <w:sz w:val="20"/>
                <w:szCs w:val="20"/>
              </w:rPr>
            </w:pPr>
            <w:r w:rsidRPr="00A520FE">
              <w:rPr>
                <w:rFonts w:ascii="Times New Roman" w:hAnsi="Times New Roman" w:cs="Times New Roman"/>
                <w:sz w:val="20"/>
                <w:szCs w:val="20"/>
              </w:rPr>
              <w:t>5</w:t>
            </w:r>
          </w:p>
        </w:tc>
        <w:tc>
          <w:tcPr>
            <w:tcW w:w="315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-4.44</w:t>
            </w: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0.011</w:t>
            </w:r>
          </w:p>
        </w:tc>
        <w:tc>
          <w:tcPr>
            <w:tcW w:w="82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-2.64</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0.005</w:t>
            </w:r>
          </w:p>
        </w:tc>
        <w:tc>
          <w:tcPr>
            <w:tcW w:w="82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-3.19</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0.008</w:t>
            </w:r>
          </w:p>
        </w:tc>
        <w:tc>
          <w:tcPr>
            <w:tcW w:w="83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-3.37</w:t>
            </w: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0.007</w:t>
            </w:r>
          </w:p>
        </w:tc>
        <w:tc>
          <w:tcPr>
            <w:tcW w:w="916"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-3.41</w:t>
            </w: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0.008</w:t>
            </w:r>
          </w:p>
        </w:tc>
      </w:tr>
      <w:tr w:rsidR="002D1458" w:rsidRPr="00857A94" w:rsidTr="001E7F73">
        <w:tc>
          <w:tcPr>
            <w:tcW w:w="3645" w:type="dxa"/>
            <w:gridSpan w:val="2"/>
            <w:tcBorders>
              <w:top w:val="single" w:sz="18" w:space="0" w:color="7F7F7F" w:themeColor="text1" w:themeTint="80"/>
              <w:left w:val="nil"/>
              <w:bottom w:val="nil"/>
              <w:right w:val="single" w:sz="4" w:space="0" w:color="auto"/>
            </w:tcBorders>
          </w:tcPr>
          <w:p w:rsidR="002D1458" w:rsidRPr="00A520FE" w:rsidRDefault="002D1458" w:rsidP="001E7F73">
            <w:pPr>
              <w:spacing w:before="0"/>
              <w:rPr>
                <w:rFonts w:ascii="Times New Roman" w:hAnsi="Times New Roman" w:cs="Times New Roman"/>
                <w:b/>
                <w:color w:val="000000"/>
                <w:sz w:val="20"/>
                <w:szCs w:val="20"/>
              </w:rPr>
            </w:pPr>
            <w:r w:rsidRPr="00A520FE">
              <w:rPr>
                <w:rFonts w:ascii="Times New Roman" w:hAnsi="Times New Roman" w:cs="Times New Roman"/>
                <w:b/>
                <w:color w:val="000000"/>
                <w:sz w:val="20"/>
                <w:szCs w:val="20"/>
              </w:rPr>
              <w:t>Neoclassical</w:t>
            </w:r>
          </w:p>
        </w:tc>
        <w:tc>
          <w:tcPr>
            <w:tcW w:w="842" w:type="dxa"/>
            <w:tcBorders>
              <w:top w:val="single" w:sz="18" w:space="0" w:color="7F7F7F" w:themeColor="text1" w:themeTint="80"/>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single" w:sz="18" w:space="0" w:color="7F7F7F" w:themeColor="text1" w:themeTint="80"/>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single" w:sz="18" w:space="0" w:color="7F7F7F" w:themeColor="text1" w:themeTint="80"/>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single" w:sz="18" w:space="0" w:color="7F7F7F" w:themeColor="text1" w:themeTint="80"/>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single" w:sz="18" w:space="0" w:color="7F7F7F" w:themeColor="text1" w:themeTint="80"/>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single" w:sz="18" w:space="0" w:color="7F7F7F" w:themeColor="text1" w:themeTint="80"/>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single" w:sz="18" w:space="0" w:color="7F7F7F" w:themeColor="text1" w:themeTint="80"/>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31" w:type="dxa"/>
            <w:tcBorders>
              <w:top w:val="single" w:sz="18" w:space="0" w:color="7F7F7F" w:themeColor="text1" w:themeTint="80"/>
              <w:left w:val="nil"/>
              <w:bottom w:val="nil"/>
              <w:right w:val="nil"/>
            </w:tcBorders>
          </w:tcPr>
          <w:p w:rsidR="002D1458" w:rsidRPr="00A520FE" w:rsidRDefault="002D1458" w:rsidP="001E7F73">
            <w:pPr>
              <w:pStyle w:val="ListParagraph"/>
              <w:tabs>
                <w:tab w:val="decimal" w:pos="339"/>
              </w:tabs>
              <w:spacing w:before="0"/>
              <w:ind w:left="0"/>
              <w:contextualSpacing w:val="0"/>
              <w:rPr>
                <w:rFonts w:ascii="Times New Roman" w:hAnsi="Times New Roman" w:cs="Times New Roman"/>
                <w:sz w:val="20"/>
                <w:szCs w:val="20"/>
              </w:rPr>
            </w:pPr>
          </w:p>
        </w:tc>
      </w:tr>
      <w:tr w:rsidR="002D1458" w:rsidRPr="00857A94" w:rsidTr="001E7F73">
        <w:tc>
          <w:tcPr>
            <w:tcW w:w="495" w:type="dxa"/>
            <w:tcBorders>
              <w:top w:val="nil"/>
              <w:left w:val="nil"/>
              <w:bottom w:val="nil"/>
              <w:right w:val="nil"/>
            </w:tcBorders>
          </w:tcPr>
          <w:p w:rsidR="002D1458" w:rsidRPr="00A520FE"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i/>
                <w:color w:val="000000"/>
                <w:sz w:val="20"/>
                <w:szCs w:val="20"/>
              </w:rPr>
            </w:pPr>
            <w:r w:rsidRPr="00A520FE">
              <w:rPr>
                <w:rFonts w:ascii="Times New Roman" w:hAnsi="Times New Roman" w:cs="Times New Roman"/>
                <w:i/>
                <w:color w:val="000000"/>
                <w:sz w:val="20"/>
                <w:szCs w:val="20"/>
              </w:rPr>
              <w:t xml:space="preserve">National </w:t>
            </w:r>
          </w:p>
        </w:tc>
        <w:tc>
          <w:tcPr>
            <w:tcW w:w="842" w:type="dxa"/>
            <w:tcBorders>
              <w:top w:val="nil"/>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nil"/>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nil"/>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nil"/>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nil"/>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nil"/>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nil"/>
              <w:left w:val="single" w:sz="4" w:space="0" w:color="auto"/>
              <w:bottom w:val="nil"/>
              <w:right w:val="nil"/>
            </w:tcBorders>
            <w:vAlign w:val="bottom"/>
          </w:tcPr>
          <w:p w:rsidR="002D1458" w:rsidRPr="00A520FE" w:rsidRDefault="002D1458" w:rsidP="001E7F73">
            <w:pPr>
              <w:tabs>
                <w:tab w:val="decimal" w:pos="339"/>
              </w:tabs>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A520FE" w:rsidRDefault="002D1458" w:rsidP="001E7F73">
            <w:pPr>
              <w:tabs>
                <w:tab w:val="decimal" w:pos="339"/>
              </w:tabs>
              <w:spacing w:before="0"/>
              <w:rPr>
                <w:rFonts w:ascii="Times New Roman" w:hAnsi="Times New Roman" w:cs="Times New Roman"/>
                <w:color w:val="000000"/>
                <w:sz w:val="20"/>
                <w:szCs w:val="20"/>
              </w:rPr>
            </w:pPr>
          </w:p>
        </w:tc>
      </w:tr>
      <w:tr w:rsidR="002D1458" w:rsidTr="001E7F73">
        <w:trPr>
          <w:trHeight w:val="305"/>
        </w:trPr>
        <w:tc>
          <w:tcPr>
            <w:tcW w:w="495" w:type="dxa"/>
            <w:tcBorders>
              <w:top w:val="nil"/>
              <w:left w:val="nil"/>
              <w:bottom w:val="nil"/>
              <w:right w:val="nil"/>
            </w:tcBorders>
          </w:tcPr>
          <w:p w:rsidR="002D1458" w:rsidRPr="00A520FE" w:rsidRDefault="002D1458" w:rsidP="001E7F73">
            <w:pPr>
              <w:pStyle w:val="ListParagraph"/>
              <w:spacing w:before="0"/>
              <w:ind w:left="0"/>
              <w:contextualSpacing w:val="0"/>
              <w:jc w:val="center"/>
              <w:rPr>
                <w:rFonts w:ascii="Times New Roman" w:hAnsi="Times New Roman" w:cs="Times New Roman"/>
                <w:sz w:val="20"/>
                <w:szCs w:val="20"/>
              </w:rPr>
            </w:pPr>
            <w:r w:rsidRPr="00A520FE">
              <w:rPr>
                <w:rFonts w:ascii="Times New Roman" w:hAnsi="Times New Roman" w:cs="Times New Roman"/>
                <w:sz w:val="20"/>
                <w:szCs w:val="20"/>
              </w:rPr>
              <w:t>1</w:t>
            </w:r>
          </w:p>
        </w:tc>
        <w:tc>
          <w:tcPr>
            <w:tcW w:w="315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xml:space="preserve">    GDP</w:t>
            </w:r>
          </w:p>
        </w:tc>
        <w:tc>
          <w:tcPr>
            <w:tcW w:w="84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-2.61</w:t>
            </w: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0.012</w:t>
            </w:r>
          </w:p>
        </w:tc>
        <w:tc>
          <w:tcPr>
            <w:tcW w:w="82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-2.72</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-0.013</w:t>
            </w:r>
          </w:p>
        </w:tc>
        <w:tc>
          <w:tcPr>
            <w:tcW w:w="82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-2.37</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-0.014</w:t>
            </w:r>
          </w:p>
        </w:tc>
        <w:tc>
          <w:tcPr>
            <w:tcW w:w="83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-2.90</w:t>
            </w: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-0.002</w:t>
            </w:r>
          </w:p>
        </w:tc>
        <w:tc>
          <w:tcPr>
            <w:tcW w:w="916"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-2.65</w:t>
            </w: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-0.004</w:t>
            </w:r>
          </w:p>
        </w:tc>
      </w:tr>
      <w:tr w:rsidR="002D1458" w:rsidTr="001E7F73">
        <w:tc>
          <w:tcPr>
            <w:tcW w:w="495" w:type="dxa"/>
            <w:tcBorders>
              <w:top w:val="nil"/>
              <w:left w:val="nil"/>
              <w:bottom w:val="nil"/>
              <w:right w:val="nil"/>
            </w:tcBorders>
          </w:tcPr>
          <w:p w:rsidR="002D1458" w:rsidRPr="00A520FE" w:rsidRDefault="002D1458" w:rsidP="001E7F73">
            <w:pPr>
              <w:pStyle w:val="ListParagraph"/>
              <w:spacing w:before="0"/>
              <w:ind w:left="0"/>
              <w:contextualSpacing w:val="0"/>
              <w:jc w:val="center"/>
              <w:rPr>
                <w:rFonts w:ascii="Times New Roman" w:hAnsi="Times New Roman" w:cs="Times New Roman"/>
                <w:sz w:val="20"/>
                <w:szCs w:val="20"/>
              </w:rPr>
            </w:pPr>
            <w:r w:rsidRPr="00A520FE">
              <w:rPr>
                <w:rFonts w:ascii="Times New Roman" w:hAnsi="Times New Roman" w:cs="Times New Roman"/>
                <w:sz w:val="20"/>
                <w:szCs w:val="20"/>
              </w:rPr>
              <w:t>2</w:t>
            </w:r>
          </w:p>
        </w:tc>
        <w:tc>
          <w:tcPr>
            <w:tcW w:w="315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-2.35</w:t>
            </w: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0.009</w:t>
            </w:r>
          </w:p>
        </w:tc>
        <w:tc>
          <w:tcPr>
            <w:tcW w:w="82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-2.49</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-0.008</w:t>
            </w:r>
          </w:p>
        </w:tc>
        <w:tc>
          <w:tcPr>
            <w:tcW w:w="82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-1.92</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-0.008</w:t>
            </w:r>
          </w:p>
        </w:tc>
        <w:tc>
          <w:tcPr>
            <w:tcW w:w="83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-2.71</w:t>
            </w: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0.017</w:t>
            </w:r>
          </w:p>
        </w:tc>
        <w:tc>
          <w:tcPr>
            <w:tcW w:w="916"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-2.37</w:t>
            </w: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0.003</w:t>
            </w:r>
          </w:p>
        </w:tc>
      </w:tr>
      <w:tr w:rsidR="002D1458" w:rsidTr="001E7F73">
        <w:tc>
          <w:tcPr>
            <w:tcW w:w="495" w:type="dxa"/>
            <w:tcBorders>
              <w:top w:val="nil"/>
              <w:left w:val="nil"/>
              <w:bottom w:val="nil"/>
              <w:right w:val="nil"/>
            </w:tcBorders>
          </w:tcPr>
          <w:p w:rsidR="002D1458" w:rsidRPr="00A520FE" w:rsidRDefault="002D1458" w:rsidP="001E7F73">
            <w:pPr>
              <w:pStyle w:val="ListParagraph"/>
              <w:spacing w:before="0"/>
              <w:ind w:left="0"/>
              <w:contextualSpacing w:val="0"/>
              <w:jc w:val="center"/>
              <w:rPr>
                <w:rFonts w:ascii="Times New Roman" w:hAnsi="Times New Roman" w:cs="Times New Roman"/>
                <w:sz w:val="20"/>
                <w:szCs w:val="20"/>
              </w:rPr>
            </w:pPr>
            <w:r w:rsidRPr="00A520FE">
              <w:rPr>
                <w:rFonts w:ascii="Times New Roman" w:hAnsi="Times New Roman" w:cs="Times New Roman"/>
                <w:sz w:val="20"/>
                <w:szCs w:val="20"/>
              </w:rPr>
              <w:t>3a</w:t>
            </w:r>
          </w:p>
        </w:tc>
        <w:tc>
          <w:tcPr>
            <w:tcW w:w="315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xml:space="preserve">    Welfare, 0.05 discount rate</w:t>
            </w:r>
          </w:p>
        </w:tc>
        <w:tc>
          <w:tcPr>
            <w:tcW w:w="84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-0.001</w:t>
            </w:r>
          </w:p>
        </w:tc>
        <w:tc>
          <w:tcPr>
            <w:tcW w:w="82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-0.003</w:t>
            </w:r>
          </w:p>
        </w:tc>
        <w:tc>
          <w:tcPr>
            <w:tcW w:w="82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-0.008</w:t>
            </w:r>
          </w:p>
        </w:tc>
        <w:tc>
          <w:tcPr>
            <w:tcW w:w="83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-0.005</w:t>
            </w:r>
          </w:p>
        </w:tc>
        <w:tc>
          <w:tcPr>
            <w:tcW w:w="916"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-0.004</w:t>
            </w:r>
          </w:p>
        </w:tc>
      </w:tr>
      <w:tr w:rsidR="002D1458" w:rsidTr="001E7F73">
        <w:tc>
          <w:tcPr>
            <w:tcW w:w="495" w:type="dxa"/>
            <w:tcBorders>
              <w:top w:val="nil"/>
              <w:left w:val="nil"/>
              <w:bottom w:val="nil"/>
              <w:right w:val="nil"/>
            </w:tcBorders>
          </w:tcPr>
          <w:p w:rsidR="002D1458" w:rsidRPr="00A520FE" w:rsidRDefault="002D1458" w:rsidP="001E7F73">
            <w:pPr>
              <w:pStyle w:val="ListParagraph"/>
              <w:spacing w:before="0"/>
              <w:ind w:left="0"/>
              <w:contextualSpacing w:val="0"/>
              <w:jc w:val="center"/>
              <w:rPr>
                <w:rFonts w:ascii="Times New Roman" w:hAnsi="Times New Roman" w:cs="Times New Roman"/>
                <w:sz w:val="20"/>
                <w:szCs w:val="20"/>
              </w:rPr>
            </w:pPr>
            <w:r w:rsidRPr="00A520FE">
              <w:rPr>
                <w:rFonts w:ascii="Times New Roman" w:hAnsi="Times New Roman" w:cs="Times New Roman"/>
                <w:sz w:val="20"/>
                <w:szCs w:val="20"/>
              </w:rPr>
              <w:t>3b</w:t>
            </w:r>
          </w:p>
        </w:tc>
        <w:tc>
          <w:tcPr>
            <w:tcW w:w="315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xml:space="preserve">    Welfare, 0.02 discount rate</w:t>
            </w:r>
          </w:p>
        </w:tc>
        <w:tc>
          <w:tcPr>
            <w:tcW w:w="84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0.000</w:t>
            </w:r>
          </w:p>
        </w:tc>
        <w:tc>
          <w:tcPr>
            <w:tcW w:w="82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-0.005</w:t>
            </w:r>
          </w:p>
        </w:tc>
        <w:tc>
          <w:tcPr>
            <w:tcW w:w="82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-0.008</w:t>
            </w:r>
          </w:p>
        </w:tc>
        <w:tc>
          <w:tcPr>
            <w:tcW w:w="83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-0.006</w:t>
            </w:r>
          </w:p>
        </w:tc>
        <w:tc>
          <w:tcPr>
            <w:tcW w:w="916"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-0.005</w:t>
            </w:r>
          </w:p>
        </w:tc>
      </w:tr>
      <w:tr w:rsidR="002D1458" w:rsidTr="001E7F73">
        <w:tc>
          <w:tcPr>
            <w:tcW w:w="495" w:type="dxa"/>
            <w:tcBorders>
              <w:top w:val="nil"/>
              <w:left w:val="nil"/>
              <w:bottom w:val="nil"/>
              <w:right w:val="nil"/>
            </w:tcBorders>
          </w:tcPr>
          <w:p w:rsidR="002D1458" w:rsidRPr="00A520FE"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i/>
                <w:color w:val="000000"/>
                <w:sz w:val="20"/>
                <w:szCs w:val="20"/>
              </w:rPr>
            </w:pPr>
            <w:r w:rsidRPr="00A520FE">
              <w:rPr>
                <w:rFonts w:ascii="Times New Roman" w:hAnsi="Times New Roman" w:cs="Times New Roman"/>
                <w:i/>
                <w:color w:val="000000"/>
                <w:sz w:val="20"/>
                <w:szCs w:val="20"/>
              </w:rPr>
              <w:t xml:space="preserve">Target region </w:t>
            </w:r>
          </w:p>
        </w:tc>
        <w:tc>
          <w:tcPr>
            <w:tcW w:w="84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82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82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83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16"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r>
      <w:tr w:rsidR="002D1458" w:rsidTr="001E7F73">
        <w:tc>
          <w:tcPr>
            <w:tcW w:w="495" w:type="dxa"/>
            <w:tcBorders>
              <w:top w:val="nil"/>
              <w:left w:val="nil"/>
              <w:bottom w:val="nil"/>
              <w:right w:val="nil"/>
            </w:tcBorders>
          </w:tcPr>
          <w:p w:rsidR="002D1458" w:rsidRPr="00A520FE" w:rsidRDefault="002D1458" w:rsidP="001E7F73">
            <w:pPr>
              <w:pStyle w:val="ListParagraph"/>
              <w:spacing w:before="0"/>
              <w:ind w:left="0"/>
              <w:contextualSpacing w:val="0"/>
              <w:jc w:val="center"/>
              <w:rPr>
                <w:rFonts w:ascii="Times New Roman" w:hAnsi="Times New Roman" w:cs="Times New Roman"/>
                <w:sz w:val="20"/>
                <w:szCs w:val="20"/>
              </w:rPr>
            </w:pPr>
            <w:r w:rsidRPr="00A520FE">
              <w:rPr>
                <w:rFonts w:ascii="Times New Roman" w:hAnsi="Times New Roman" w:cs="Times New Roman"/>
                <w:sz w:val="20"/>
                <w:szCs w:val="20"/>
              </w:rPr>
              <w:t>4</w:t>
            </w:r>
          </w:p>
        </w:tc>
        <w:tc>
          <w:tcPr>
            <w:tcW w:w="315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xml:space="preserve">    GRP</w:t>
            </w:r>
          </w:p>
        </w:tc>
        <w:tc>
          <w:tcPr>
            <w:tcW w:w="84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-1.94</w:t>
            </w: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0.011</w:t>
            </w:r>
          </w:p>
        </w:tc>
        <w:tc>
          <w:tcPr>
            <w:tcW w:w="82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-1.43</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-0.012</w:t>
            </w:r>
          </w:p>
        </w:tc>
        <w:tc>
          <w:tcPr>
            <w:tcW w:w="82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-1.97</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-0.013</w:t>
            </w:r>
          </w:p>
        </w:tc>
        <w:tc>
          <w:tcPr>
            <w:tcW w:w="83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-1.60</w:t>
            </w: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-0.005</w:t>
            </w:r>
          </w:p>
        </w:tc>
        <w:tc>
          <w:tcPr>
            <w:tcW w:w="916"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-1.73</w:t>
            </w: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-0.005</w:t>
            </w:r>
          </w:p>
        </w:tc>
      </w:tr>
      <w:tr w:rsidR="002D1458" w:rsidTr="001E7F73">
        <w:tc>
          <w:tcPr>
            <w:tcW w:w="495" w:type="dxa"/>
            <w:tcBorders>
              <w:top w:val="nil"/>
              <w:left w:val="nil"/>
              <w:bottom w:val="single" w:sz="18" w:space="0" w:color="7F7F7F" w:themeColor="text1" w:themeTint="80"/>
              <w:right w:val="nil"/>
            </w:tcBorders>
          </w:tcPr>
          <w:p w:rsidR="002D1458" w:rsidRPr="00A520FE" w:rsidRDefault="002D1458" w:rsidP="001E7F73">
            <w:pPr>
              <w:pStyle w:val="ListParagraph"/>
              <w:spacing w:before="0"/>
              <w:ind w:left="0"/>
              <w:contextualSpacing w:val="0"/>
              <w:jc w:val="center"/>
              <w:rPr>
                <w:rFonts w:ascii="Times New Roman" w:hAnsi="Times New Roman" w:cs="Times New Roman"/>
                <w:sz w:val="20"/>
                <w:szCs w:val="20"/>
              </w:rPr>
            </w:pPr>
            <w:r w:rsidRPr="00A520FE">
              <w:rPr>
                <w:rFonts w:ascii="Times New Roman" w:hAnsi="Times New Roman" w:cs="Times New Roman"/>
                <w:sz w:val="20"/>
                <w:szCs w:val="20"/>
              </w:rPr>
              <w:t>5</w:t>
            </w:r>
          </w:p>
        </w:tc>
        <w:tc>
          <w:tcPr>
            <w:tcW w:w="3150" w:type="dxa"/>
            <w:tcBorders>
              <w:top w:val="nil"/>
              <w:left w:val="nil"/>
              <w:bottom w:val="single" w:sz="18" w:space="0" w:color="7F7F7F" w:themeColor="text1" w:themeTint="80"/>
              <w:right w:val="single" w:sz="4" w:space="0" w:color="000000" w:themeColor="text1"/>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xml:space="preserve">    Employment</w:t>
            </w:r>
          </w:p>
        </w:tc>
        <w:tc>
          <w:tcPr>
            <w:tcW w:w="842" w:type="dxa"/>
            <w:tcBorders>
              <w:top w:val="nil"/>
              <w:left w:val="single" w:sz="4" w:space="0" w:color="000000" w:themeColor="text1"/>
              <w:bottom w:val="single" w:sz="18" w:space="0" w:color="7F7F7F" w:themeColor="text1" w:themeTint="80"/>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-1.87</w:t>
            </w:r>
          </w:p>
        </w:tc>
        <w:tc>
          <w:tcPr>
            <w:tcW w:w="910" w:type="dxa"/>
            <w:tcBorders>
              <w:top w:val="nil"/>
              <w:left w:val="nil"/>
              <w:bottom w:val="single" w:sz="18" w:space="0" w:color="7F7F7F" w:themeColor="text1" w:themeTint="80"/>
              <w:right w:val="single" w:sz="4" w:space="0" w:color="000000" w:themeColor="text1"/>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-0.001</w:t>
            </w:r>
          </w:p>
        </w:tc>
        <w:tc>
          <w:tcPr>
            <w:tcW w:w="821" w:type="dxa"/>
            <w:tcBorders>
              <w:top w:val="nil"/>
              <w:left w:val="single" w:sz="4" w:space="0" w:color="000000" w:themeColor="text1"/>
              <w:bottom w:val="single" w:sz="18" w:space="0" w:color="7F7F7F" w:themeColor="text1" w:themeTint="80"/>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-0.92</w:t>
            </w:r>
          </w:p>
        </w:tc>
        <w:tc>
          <w:tcPr>
            <w:tcW w:w="900" w:type="dxa"/>
            <w:tcBorders>
              <w:top w:val="nil"/>
              <w:left w:val="nil"/>
              <w:bottom w:val="single" w:sz="18" w:space="0" w:color="7F7F7F" w:themeColor="text1" w:themeTint="80"/>
              <w:right w:val="single" w:sz="4" w:space="0" w:color="000000" w:themeColor="text1"/>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-0.001</w:t>
            </w:r>
          </w:p>
        </w:tc>
        <w:tc>
          <w:tcPr>
            <w:tcW w:w="822" w:type="dxa"/>
            <w:tcBorders>
              <w:top w:val="nil"/>
              <w:left w:val="single" w:sz="4" w:space="0" w:color="000000" w:themeColor="text1"/>
              <w:bottom w:val="single" w:sz="18" w:space="0" w:color="7F7F7F" w:themeColor="text1" w:themeTint="80"/>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-1.30</w:t>
            </w:r>
          </w:p>
        </w:tc>
        <w:tc>
          <w:tcPr>
            <w:tcW w:w="900" w:type="dxa"/>
            <w:tcBorders>
              <w:top w:val="nil"/>
              <w:left w:val="nil"/>
              <w:bottom w:val="single" w:sz="18" w:space="0" w:color="7F7F7F" w:themeColor="text1" w:themeTint="80"/>
              <w:right w:val="single" w:sz="4" w:space="0" w:color="000000" w:themeColor="text1"/>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0.003</w:t>
            </w:r>
          </w:p>
        </w:tc>
        <w:tc>
          <w:tcPr>
            <w:tcW w:w="831" w:type="dxa"/>
            <w:tcBorders>
              <w:top w:val="nil"/>
              <w:left w:val="single" w:sz="4" w:space="0" w:color="000000" w:themeColor="text1"/>
              <w:bottom w:val="single" w:sz="18" w:space="0" w:color="7F7F7F" w:themeColor="text1" w:themeTint="80"/>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-1.16</w:t>
            </w:r>
          </w:p>
        </w:tc>
        <w:tc>
          <w:tcPr>
            <w:tcW w:w="904" w:type="dxa"/>
            <w:tcBorders>
              <w:top w:val="nil"/>
              <w:left w:val="nil"/>
              <w:bottom w:val="single" w:sz="18" w:space="0" w:color="7F7F7F" w:themeColor="text1" w:themeTint="80"/>
              <w:right w:val="single" w:sz="4" w:space="0" w:color="000000" w:themeColor="text1"/>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0.001</w:t>
            </w:r>
          </w:p>
        </w:tc>
        <w:tc>
          <w:tcPr>
            <w:tcW w:w="916" w:type="dxa"/>
            <w:tcBorders>
              <w:top w:val="nil"/>
              <w:left w:val="single" w:sz="4" w:space="0" w:color="000000" w:themeColor="text1"/>
              <w:bottom w:val="single" w:sz="18" w:space="0" w:color="7F7F7F" w:themeColor="text1" w:themeTint="80"/>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-1.31</w:t>
            </w:r>
          </w:p>
        </w:tc>
        <w:tc>
          <w:tcPr>
            <w:tcW w:w="931" w:type="dxa"/>
            <w:tcBorders>
              <w:top w:val="nil"/>
              <w:left w:val="nil"/>
              <w:bottom w:val="single" w:sz="18" w:space="0" w:color="7F7F7F" w:themeColor="text1" w:themeTint="80"/>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0.000</w:t>
            </w:r>
          </w:p>
        </w:tc>
      </w:tr>
    </w:tbl>
    <w:p w:rsidR="002D1458" w:rsidRPr="00696CAD" w:rsidRDefault="002D1458" w:rsidP="002D1458">
      <w:pPr>
        <w:pStyle w:val="ListParagraph"/>
        <w:ind w:left="900" w:hanging="900"/>
        <w:contextualSpacing w:val="0"/>
        <w:rPr>
          <w:rFonts w:ascii="Times New Roman" w:hAnsi="Times New Roman" w:cs="Times New Roman"/>
          <w:b/>
          <w:sz w:val="24"/>
          <w:szCs w:val="24"/>
        </w:rPr>
      </w:pPr>
      <w:r w:rsidRPr="00696CAD">
        <w:rPr>
          <w:rFonts w:ascii="Times New Roman" w:hAnsi="Times New Roman" w:cs="Times New Roman"/>
          <w:b/>
          <w:sz w:val="24"/>
          <w:szCs w:val="24"/>
        </w:rPr>
        <w:t xml:space="preserve">Relevant variables.  </w:t>
      </w:r>
    </w:p>
    <w:p w:rsidR="002D1458" w:rsidRPr="00BA5B92" w:rsidRDefault="002D1458" w:rsidP="002D1458">
      <w:pPr>
        <w:pStyle w:val="ListParagraph"/>
        <w:ind w:left="900" w:hanging="900"/>
        <w:contextualSpacing w:val="0"/>
        <w:rPr>
          <w:rFonts w:ascii="Times New Roman" w:hAnsi="Times New Roman" w:cs="Times New Roman"/>
          <w:sz w:val="24"/>
          <w:szCs w:val="24"/>
        </w:rPr>
      </w:pPr>
      <w:r w:rsidRPr="00BA5B92">
        <w:rPr>
          <w:rFonts w:ascii="Times New Roman" w:hAnsi="Times New Roman" w:cs="Times New Roman"/>
          <w:b/>
          <w:i/>
          <w:sz w:val="24"/>
          <w:szCs w:val="24"/>
        </w:rPr>
        <w:t xml:space="preserve">National:  </w:t>
      </w:r>
      <w:r>
        <w:rPr>
          <w:rFonts w:ascii="Times New Roman" w:hAnsi="Times New Roman" w:cs="Times New Roman"/>
          <w:sz w:val="24"/>
          <w:szCs w:val="24"/>
        </w:rPr>
        <w:t xml:space="preserve">Target state’s value added in agriculture and food production as a share of national GDP.  In this simulation we hold constant national output of agriculture and food.  Nevertheless, the national economy is adversely affected.  With damage to the </w:t>
      </w:r>
      <w:r w:rsidR="009A70D4">
        <w:rPr>
          <w:rFonts w:ascii="Times New Roman" w:hAnsi="Times New Roman" w:cs="Times New Roman"/>
          <w:sz w:val="24"/>
          <w:szCs w:val="24"/>
        </w:rPr>
        <w:t>T</w:t>
      </w:r>
      <w:r>
        <w:rPr>
          <w:rFonts w:ascii="Times New Roman" w:hAnsi="Times New Roman" w:cs="Times New Roman"/>
          <w:sz w:val="24"/>
          <w:szCs w:val="24"/>
        </w:rPr>
        <w:t xml:space="preserve">arget state’s ability to produce agriculture and food, the nation as a whole needs to devote more resources to maintain the initial national levels of output of these commodities.   </w:t>
      </w:r>
      <w:r w:rsidRPr="00BA5B92">
        <w:rPr>
          <w:rFonts w:ascii="Times New Roman" w:hAnsi="Times New Roman" w:cs="Times New Roman"/>
          <w:sz w:val="24"/>
          <w:szCs w:val="24"/>
        </w:rPr>
        <w:t xml:space="preserve">   </w:t>
      </w:r>
    </w:p>
    <w:p w:rsidR="002D1458" w:rsidRDefault="002D1458" w:rsidP="002D1458">
      <w:pPr>
        <w:pStyle w:val="ListParagraph"/>
        <w:ind w:left="900" w:hanging="900"/>
        <w:contextualSpacing w:val="0"/>
        <w:rPr>
          <w:rFonts w:ascii="Times New Roman" w:hAnsi="Times New Roman" w:cs="Times New Roman"/>
          <w:sz w:val="24"/>
          <w:szCs w:val="24"/>
        </w:rPr>
      </w:pPr>
      <w:r w:rsidRPr="00BA5B92">
        <w:rPr>
          <w:rFonts w:ascii="Times New Roman" w:hAnsi="Times New Roman" w:cs="Times New Roman"/>
          <w:b/>
          <w:i/>
          <w:sz w:val="24"/>
          <w:szCs w:val="24"/>
        </w:rPr>
        <w:t>Regional:</w:t>
      </w:r>
      <w:r w:rsidRPr="00BA5B92">
        <w:rPr>
          <w:rFonts w:ascii="Times New Roman" w:hAnsi="Times New Roman" w:cs="Times New Roman"/>
          <w:sz w:val="24"/>
          <w:szCs w:val="24"/>
        </w:rPr>
        <w:t xml:space="preserve">  Share of target region’s GRP that is </w:t>
      </w:r>
      <w:r>
        <w:rPr>
          <w:rFonts w:ascii="Times New Roman" w:hAnsi="Times New Roman" w:cs="Times New Roman"/>
          <w:sz w:val="24"/>
          <w:szCs w:val="24"/>
        </w:rPr>
        <w:t xml:space="preserve">accounted for by production of agriculture and food </w:t>
      </w:r>
      <w:r w:rsidRPr="00F84B05">
        <w:rPr>
          <w:rFonts w:ascii="Times New Roman" w:hAnsi="Times New Roman" w:cs="Times New Roman"/>
          <w:i/>
          <w:sz w:val="24"/>
          <w:szCs w:val="24"/>
        </w:rPr>
        <w:t>plus</w:t>
      </w:r>
      <w:r>
        <w:rPr>
          <w:rFonts w:ascii="Times New Roman" w:hAnsi="Times New Roman" w:cs="Times New Roman"/>
          <w:sz w:val="24"/>
          <w:szCs w:val="24"/>
        </w:rPr>
        <w:t xml:space="preserve"> share of target region’s sales of all commodities that goes to </w:t>
      </w:r>
      <w:r w:rsidR="009A70D4">
        <w:rPr>
          <w:rFonts w:ascii="Times New Roman" w:hAnsi="Times New Roman" w:cs="Times New Roman"/>
          <w:sz w:val="24"/>
          <w:szCs w:val="24"/>
        </w:rPr>
        <w:t>Re</w:t>
      </w:r>
      <w:r>
        <w:rPr>
          <w:rFonts w:ascii="Times New Roman" w:hAnsi="Times New Roman" w:cs="Times New Roman"/>
          <w:sz w:val="24"/>
          <w:szCs w:val="24"/>
        </w:rPr>
        <w:t xml:space="preserve">st of </w:t>
      </w:r>
      <w:r w:rsidR="009A70D4">
        <w:rPr>
          <w:rFonts w:ascii="Times New Roman" w:hAnsi="Times New Roman" w:cs="Times New Roman"/>
          <w:sz w:val="24"/>
          <w:szCs w:val="24"/>
        </w:rPr>
        <w:t>t</w:t>
      </w:r>
      <w:r>
        <w:rPr>
          <w:rFonts w:ascii="Times New Roman" w:hAnsi="Times New Roman" w:cs="Times New Roman"/>
          <w:sz w:val="24"/>
          <w:szCs w:val="24"/>
        </w:rPr>
        <w:t xml:space="preserve">arget city times share of </w:t>
      </w:r>
      <w:r w:rsidR="009A70D4">
        <w:rPr>
          <w:rFonts w:ascii="Times New Roman" w:hAnsi="Times New Roman" w:cs="Times New Roman"/>
          <w:sz w:val="24"/>
          <w:szCs w:val="24"/>
        </w:rPr>
        <w:t>R</w:t>
      </w:r>
      <w:r>
        <w:rPr>
          <w:rFonts w:ascii="Times New Roman" w:hAnsi="Times New Roman" w:cs="Times New Roman"/>
          <w:sz w:val="24"/>
          <w:szCs w:val="24"/>
        </w:rPr>
        <w:t xml:space="preserve">est of </w:t>
      </w:r>
      <w:r w:rsidRPr="00BA5B92">
        <w:rPr>
          <w:rFonts w:ascii="Times New Roman" w:hAnsi="Times New Roman" w:cs="Times New Roman"/>
          <w:sz w:val="24"/>
          <w:szCs w:val="24"/>
        </w:rPr>
        <w:t xml:space="preserve">target </w:t>
      </w:r>
      <w:r>
        <w:rPr>
          <w:rFonts w:ascii="Times New Roman" w:hAnsi="Times New Roman" w:cs="Times New Roman"/>
          <w:sz w:val="24"/>
          <w:szCs w:val="24"/>
        </w:rPr>
        <w:t>city’s</w:t>
      </w:r>
      <w:r w:rsidRPr="00BA5B92">
        <w:rPr>
          <w:rFonts w:ascii="Times New Roman" w:hAnsi="Times New Roman" w:cs="Times New Roman"/>
          <w:sz w:val="24"/>
          <w:szCs w:val="24"/>
        </w:rPr>
        <w:t xml:space="preserve"> GRP that is </w:t>
      </w:r>
      <w:r>
        <w:rPr>
          <w:rFonts w:ascii="Times New Roman" w:hAnsi="Times New Roman" w:cs="Times New Roman"/>
          <w:sz w:val="24"/>
          <w:szCs w:val="24"/>
        </w:rPr>
        <w:t>accounted for by production of agriculture and food</w:t>
      </w:r>
      <w:r w:rsidRPr="00BA5B92">
        <w:rPr>
          <w:rFonts w:ascii="Times New Roman" w:hAnsi="Times New Roman" w:cs="Times New Roman"/>
          <w:sz w:val="24"/>
          <w:szCs w:val="24"/>
        </w:rPr>
        <w:t xml:space="preserve"> </w:t>
      </w:r>
      <w:r w:rsidRPr="00F84B05">
        <w:rPr>
          <w:rFonts w:ascii="Times New Roman" w:hAnsi="Times New Roman" w:cs="Times New Roman"/>
          <w:i/>
          <w:sz w:val="24"/>
          <w:szCs w:val="24"/>
        </w:rPr>
        <w:t>plus</w:t>
      </w:r>
      <w:r>
        <w:rPr>
          <w:rFonts w:ascii="Times New Roman" w:hAnsi="Times New Roman" w:cs="Times New Roman"/>
          <w:sz w:val="24"/>
          <w:szCs w:val="24"/>
        </w:rPr>
        <w:t xml:space="preserve"> share of target region’s sales of all commodities that goes to </w:t>
      </w:r>
      <w:r w:rsidR="009A70D4">
        <w:rPr>
          <w:rFonts w:ascii="Times New Roman" w:hAnsi="Times New Roman" w:cs="Times New Roman"/>
          <w:sz w:val="24"/>
          <w:szCs w:val="24"/>
        </w:rPr>
        <w:t>R</w:t>
      </w:r>
      <w:r>
        <w:rPr>
          <w:rFonts w:ascii="Times New Roman" w:hAnsi="Times New Roman" w:cs="Times New Roman"/>
          <w:sz w:val="24"/>
          <w:szCs w:val="24"/>
        </w:rPr>
        <w:t xml:space="preserve">est of target state times share of </w:t>
      </w:r>
      <w:r w:rsidR="009A70D4">
        <w:rPr>
          <w:rFonts w:ascii="Times New Roman" w:hAnsi="Times New Roman" w:cs="Times New Roman"/>
          <w:sz w:val="24"/>
          <w:szCs w:val="24"/>
        </w:rPr>
        <w:t>R</w:t>
      </w:r>
      <w:r>
        <w:rPr>
          <w:rFonts w:ascii="Times New Roman" w:hAnsi="Times New Roman" w:cs="Times New Roman"/>
          <w:sz w:val="24"/>
          <w:szCs w:val="24"/>
        </w:rPr>
        <w:t xml:space="preserve">est of </w:t>
      </w:r>
      <w:r w:rsidRPr="00BA5B92">
        <w:rPr>
          <w:rFonts w:ascii="Times New Roman" w:hAnsi="Times New Roman" w:cs="Times New Roman"/>
          <w:sz w:val="24"/>
          <w:szCs w:val="24"/>
        </w:rPr>
        <w:t>target</w:t>
      </w:r>
      <w:r>
        <w:rPr>
          <w:rFonts w:ascii="Times New Roman" w:hAnsi="Times New Roman" w:cs="Times New Roman"/>
          <w:sz w:val="24"/>
          <w:szCs w:val="24"/>
        </w:rPr>
        <w:t xml:space="preserve"> state’s </w:t>
      </w:r>
      <w:r w:rsidRPr="00BA5B92">
        <w:rPr>
          <w:rFonts w:ascii="Times New Roman" w:hAnsi="Times New Roman" w:cs="Times New Roman"/>
          <w:sz w:val="24"/>
          <w:szCs w:val="24"/>
        </w:rPr>
        <w:t xml:space="preserve">GRP that is </w:t>
      </w:r>
      <w:r>
        <w:rPr>
          <w:rFonts w:ascii="Times New Roman" w:hAnsi="Times New Roman" w:cs="Times New Roman"/>
          <w:sz w:val="24"/>
          <w:szCs w:val="24"/>
        </w:rPr>
        <w:t>accounted for by production of agriculture and food.</w:t>
      </w:r>
      <w:r>
        <w:rPr>
          <w:rFonts w:ascii="Times New Roman" w:hAnsi="Times New Roman" w:cs="Times New Roman"/>
          <w:sz w:val="24"/>
          <w:szCs w:val="24"/>
        </w:rPr>
        <w:br w:type="page"/>
      </w:r>
    </w:p>
    <w:p w:rsidR="002D1458" w:rsidRPr="00BC333D" w:rsidRDefault="002D1458" w:rsidP="002D1458">
      <w:pPr>
        <w:pStyle w:val="ListParagraph"/>
        <w:ind w:left="900" w:hanging="900"/>
        <w:contextualSpacing w:val="0"/>
        <w:jc w:val="center"/>
        <w:rPr>
          <w:rFonts w:ascii="Times New Roman" w:hAnsi="Times New Roman" w:cs="Times New Roman"/>
          <w:b/>
          <w:i/>
          <w:sz w:val="24"/>
          <w:szCs w:val="24"/>
        </w:rPr>
      </w:pPr>
      <w:r w:rsidRPr="00BC333D">
        <w:rPr>
          <w:rFonts w:ascii="Times New Roman" w:hAnsi="Times New Roman" w:cs="Times New Roman"/>
          <w:b/>
          <w:i/>
          <w:sz w:val="24"/>
          <w:szCs w:val="24"/>
        </w:rPr>
        <w:lastRenderedPageBreak/>
        <w:t xml:space="preserve">Table A12.  Coefficients, C(s,v), for loss of food production in the U.S. (s=12) </w:t>
      </w:r>
    </w:p>
    <w:tbl>
      <w:tblPr>
        <w:tblStyle w:val="TableGrid"/>
        <w:tblW w:w="12422" w:type="dxa"/>
        <w:tblInd w:w="900" w:type="dxa"/>
        <w:tblLook w:val="04A0" w:firstRow="1" w:lastRow="0" w:firstColumn="1" w:lastColumn="0" w:noHBand="0" w:noVBand="1"/>
      </w:tblPr>
      <w:tblGrid>
        <w:gridCol w:w="495"/>
        <w:gridCol w:w="3150"/>
        <w:gridCol w:w="842"/>
        <w:gridCol w:w="910"/>
        <w:gridCol w:w="821"/>
        <w:gridCol w:w="900"/>
        <w:gridCol w:w="822"/>
        <w:gridCol w:w="900"/>
        <w:gridCol w:w="831"/>
        <w:gridCol w:w="904"/>
        <w:gridCol w:w="916"/>
        <w:gridCol w:w="931"/>
      </w:tblGrid>
      <w:tr w:rsidR="002D1458" w:rsidRPr="00E27213" w:rsidTr="001E7F73">
        <w:tc>
          <w:tcPr>
            <w:tcW w:w="495" w:type="dxa"/>
            <w:tcBorders>
              <w:top w:val="single" w:sz="18" w:space="0" w:color="7F7F7F" w:themeColor="text1" w:themeTint="80"/>
              <w:left w:val="nil"/>
              <w:bottom w:val="nil"/>
              <w:right w:val="nil"/>
            </w:tcBorders>
            <w:vAlign w:val="bottom"/>
          </w:tcPr>
          <w:p w:rsidR="002D1458" w:rsidRPr="00E27213" w:rsidRDefault="002D1458" w:rsidP="001E7F73">
            <w:pPr>
              <w:spacing w:before="0"/>
              <w:rPr>
                <w:rFonts w:ascii="Times New Roman" w:hAnsi="Times New Roman" w:cs="Times New Roman"/>
                <w:color w:val="000000"/>
                <w:sz w:val="20"/>
                <w:szCs w:val="20"/>
              </w:rPr>
            </w:pPr>
          </w:p>
        </w:tc>
        <w:tc>
          <w:tcPr>
            <w:tcW w:w="3150" w:type="dxa"/>
            <w:tcBorders>
              <w:top w:val="single" w:sz="18" w:space="0" w:color="7F7F7F" w:themeColor="text1" w:themeTint="80"/>
              <w:left w:val="nil"/>
              <w:bottom w:val="nil"/>
            </w:tcBorders>
            <w:vAlign w:val="center"/>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Target region (d)</w:t>
            </w:r>
          </w:p>
        </w:tc>
        <w:tc>
          <w:tcPr>
            <w:tcW w:w="1752"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FL24</w:t>
            </w:r>
          </w:p>
        </w:tc>
        <w:tc>
          <w:tcPr>
            <w:tcW w:w="1721"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AZ07</w:t>
            </w:r>
          </w:p>
        </w:tc>
        <w:tc>
          <w:tcPr>
            <w:tcW w:w="1722"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NY14</w:t>
            </w:r>
          </w:p>
        </w:tc>
        <w:tc>
          <w:tcPr>
            <w:tcW w:w="1735"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WA09</w:t>
            </w:r>
          </w:p>
        </w:tc>
        <w:tc>
          <w:tcPr>
            <w:tcW w:w="1847" w:type="dxa"/>
            <w:gridSpan w:val="2"/>
            <w:tcBorders>
              <w:top w:val="single" w:sz="18" w:space="0" w:color="7F7F7F" w:themeColor="text1" w:themeTint="80"/>
              <w:right w:val="nil"/>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Average</w:t>
            </w:r>
          </w:p>
        </w:tc>
      </w:tr>
      <w:tr w:rsidR="002D1458" w:rsidRPr="00E27213" w:rsidTr="001E7F73">
        <w:tc>
          <w:tcPr>
            <w:tcW w:w="495" w:type="dxa"/>
            <w:tcBorders>
              <w:top w:val="nil"/>
              <w:left w:val="nil"/>
              <w:bottom w:val="single" w:sz="18" w:space="0" w:color="7F7F7F" w:themeColor="text1" w:themeTint="80"/>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single" w:sz="18" w:space="0" w:color="7F7F7F" w:themeColor="text1" w:themeTint="80"/>
            </w:tcBorders>
            <w:vAlign w:val="bottom"/>
          </w:tcPr>
          <w:p w:rsidR="002D1458" w:rsidRPr="00E27213" w:rsidRDefault="002D1458" w:rsidP="001E7F73">
            <w:pPr>
              <w:spacing w:before="0"/>
              <w:rPr>
                <w:rFonts w:ascii="Times New Roman" w:hAnsi="Times New Roman" w:cs="Times New Roman"/>
                <w:color w:val="000000"/>
                <w:sz w:val="20"/>
                <w:szCs w:val="20"/>
              </w:rPr>
            </w:pPr>
            <w:r w:rsidRPr="00E27213">
              <w:rPr>
                <w:rFonts w:ascii="Times New Roman" w:hAnsi="Times New Roman" w:cs="Times New Roman"/>
                <w:color w:val="000000"/>
                <w:sz w:val="20"/>
                <w:szCs w:val="20"/>
              </w:rPr>
              <w:t>Implication variables (s)</w:t>
            </w:r>
          </w:p>
        </w:tc>
        <w:tc>
          <w:tcPr>
            <w:tcW w:w="842"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1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21"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22"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31"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4"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916"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31" w:type="dxa"/>
            <w:tcBorders>
              <w:bottom w:val="single" w:sz="18" w:space="0" w:color="7F7F7F" w:themeColor="text1" w:themeTint="80"/>
              <w:right w:val="nil"/>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r>
      <w:tr w:rsidR="002D1458" w:rsidRPr="00F901FE" w:rsidTr="001E7F73">
        <w:trPr>
          <w:trHeight w:val="25"/>
        </w:trPr>
        <w:tc>
          <w:tcPr>
            <w:tcW w:w="3645" w:type="dxa"/>
            <w:gridSpan w:val="2"/>
            <w:tcBorders>
              <w:top w:val="single" w:sz="18" w:space="0" w:color="7F7F7F" w:themeColor="text1" w:themeTint="80"/>
              <w:left w:val="nil"/>
              <w:bottom w:val="nil"/>
              <w:right w:val="single" w:sz="4" w:space="0" w:color="auto"/>
            </w:tcBorders>
          </w:tcPr>
          <w:p w:rsidR="002D1458" w:rsidRPr="00A520FE" w:rsidRDefault="002D1458" w:rsidP="001E7F73">
            <w:pPr>
              <w:spacing w:before="0"/>
              <w:rPr>
                <w:rFonts w:ascii="Times New Roman" w:hAnsi="Times New Roman" w:cs="Times New Roman"/>
                <w:b/>
                <w:color w:val="000000"/>
                <w:sz w:val="20"/>
                <w:szCs w:val="20"/>
              </w:rPr>
            </w:pPr>
            <w:r w:rsidRPr="00A520FE">
              <w:rPr>
                <w:rFonts w:ascii="Times New Roman" w:hAnsi="Times New Roman" w:cs="Times New Roman"/>
                <w:b/>
                <w:color w:val="000000"/>
                <w:sz w:val="20"/>
                <w:szCs w:val="20"/>
              </w:rPr>
              <w:t>Keynesian</w:t>
            </w:r>
          </w:p>
        </w:tc>
        <w:tc>
          <w:tcPr>
            <w:tcW w:w="842" w:type="dxa"/>
            <w:tcBorders>
              <w:top w:val="single" w:sz="18" w:space="0" w:color="7F7F7F" w:themeColor="text1" w:themeTint="80"/>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single" w:sz="18" w:space="0" w:color="7F7F7F" w:themeColor="text1" w:themeTint="80"/>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single" w:sz="18" w:space="0" w:color="7F7F7F" w:themeColor="text1" w:themeTint="80"/>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single" w:sz="18" w:space="0" w:color="7F7F7F" w:themeColor="text1" w:themeTint="80"/>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single" w:sz="18" w:space="0" w:color="7F7F7F" w:themeColor="text1" w:themeTint="80"/>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single" w:sz="18" w:space="0" w:color="7F7F7F" w:themeColor="text1" w:themeTint="80"/>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single" w:sz="18" w:space="0" w:color="7F7F7F" w:themeColor="text1" w:themeTint="80"/>
              <w:left w:val="single" w:sz="4" w:space="0" w:color="auto"/>
              <w:bottom w:val="nil"/>
              <w:right w:val="nil"/>
            </w:tcBorders>
          </w:tcPr>
          <w:p w:rsidR="002D1458" w:rsidRPr="00A520FE" w:rsidRDefault="002D1458" w:rsidP="001E7F73">
            <w:pPr>
              <w:pStyle w:val="ListParagraph"/>
              <w:tabs>
                <w:tab w:val="decimal" w:pos="339"/>
              </w:tabs>
              <w:spacing w:before="0"/>
              <w:ind w:left="0"/>
              <w:contextualSpacing w:val="0"/>
              <w:rPr>
                <w:rFonts w:ascii="Times New Roman" w:hAnsi="Times New Roman" w:cs="Times New Roman"/>
                <w:sz w:val="20"/>
                <w:szCs w:val="20"/>
              </w:rPr>
            </w:pPr>
          </w:p>
        </w:tc>
        <w:tc>
          <w:tcPr>
            <w:tcW w:w="931" w:type="dxa"/>
            <w:tcBorders>
              <w:top w:val="single" w:sz="18" w:space="0" w:color="7F7F7F" w:themeColor="text1" w:themeTint="80"/>
              <w:left w:val="nil"/>
              <w:bottom w:val="nil"/>
              <w:right w:val="nil"/>
            </w:tcBorders>
            <w:vAlign w:val="bottom"/>
          </w:tcPr>
          <w:p w:rsidR="002D1458" w:rsidRPr="00A520FE" w:rsidRDefault="002D1458" w:rsidP="001E7F73">
            <w:pPr>
              <w:tabs>
                <w:tab w:val="decimal" w:pos="339"/>
              </w:tabs>
              <w:spacing w:before="0"/>
              <w:rPr>
                <w:rFonts w:ascii="Times New Roman" w:hAnsi="Times New Roman" w:cs="Times New Roman"/>
                <w:color w:val="000000"/>
                <w:sz w:val="20"/>
                <w:szCs w:val="20"/>
              </w:rPr>
            </w:pPr>
          </w:p>
        </w:tc>
      </w:tr>
      <w:tr w:rsidR="002D1458" w:rsidRPr="00F901FE"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i/>
                <w:color w:val="000000"/>
                <w:sz w:val="20"/>
                <w:szCs w:val="20"/>
              </w:rPr>
            </w:pPr>
            <w:r w:rsidRPr="00A520FE">
              <w:rPr>
                <w:rFonts w:ascii="Times New Roman" w:hAnsi="Times New Roman" w:cs="Times New Roman"/>
                <w:i/>
                <w:color w:val="000000"/>
                <w:sz w:val="20"/>
                <w:szCs w:val="20"/>
              </w:rPr>
              <w:t xml:space="preserve">National </w:t>
            </w:r>
          </w:p>
        </w:tc>
        <w:tc>
          <w:tcPr>
            <w:tcW w:w="842" w:type="dxa"/>
            <w:tcBorders>
              <w:top w:val="nil"/>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nil"/>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nil"/>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nil"/>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nil"/>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nil"/>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nil"/>
              <w:left w:val="single" w:sz="4" w:space="0" w:color="auto"/>
              <w:bottom w:val="nil"/>
              <w:right w:val="nil"/>
            </w:tcBorders>
            <w:vAlign w:val="bottom"/>
          </w:tcPr>
          <w:p w:rsidR="002D1458" w:rsidRPr="00A520FE" w:rsidRDefault="002D1458" w:rsidP="001E7F73">
            <w:pPr>
              <w:tabs>
                <w:tab w:val="decimal" w:pos="339"/>
              </w:tabs>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A520FE" w:rsidRDefault="002D1458" w:rsidP="001E7F73">
            <w:pPr>
              <w:tabs>
                <w:tab w:val="decimal" w:pos="339"/>
              </w:tabs>
              <w:spacing w:before="0"/>
              <w:rPr>
                <w:rFonts w:ascii="Times New Roman" w:hAnsi="Times New Roman" w:cs="Times New Roman"/>
                <w:color w:val="000000"/>
                <w:sz w:val="20"/>
                <w:szCs w:val="20"/>
              </w:rPr>
            </w:pPr>
          </w:p>
        </w:tc>
      </w:tr>
      <w:tr w:rsidR="002D1458" w:rsidTr="001E7F73">
        <w:trPr>
          <w:trHeight w:val="305"/>
        </w:trPr>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1</w:t>
            </w:r>
          </w:p>
        </w:tc>
        <w:tc>
          <w:tcPr>
            <w:tcW w:w="315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xml:space="preserve">    GDP</w:t>
            </w:r>
          </w:p>
        </w:tc>
        <w:tc>
          <w:tcPr>
            <w:tcW w:w="84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-5.25</w:t>
            </w: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-0.012</w:t>
            </w:r>
          </w:p>
        </w:tc>
        <w:tc>
          <w:tcPr>
            <w:tcW w:w="82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-5.26</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-0.001</w:t>
            </w:r>
          </w:p>
        </w:tc>
        <w:tc>
          <w:tcPr>
            <w:tcW w:w="82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-5.25</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-0.001</w:t>
            </w:r>
          </w:p>
        </w:tc>
        <w:tc>
          <w:tcPr>
            <w:tcW w:w="83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-5.25</w:t>
            </w: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-0.050</w:t>
            </w:r>
          </w:p>
        </w:tc>
        <w:tc>
          <w:tcPr>
            <w:tcW w:w="916"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-5.25</w:t>
            </w: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-0.016</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p>
        </w:tc>
        <w:tc>
          <w:tcPr>
            <w:tcW w:w="315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-3.74</w:t>
            </w: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-0.013</w:t>
            </w:r>
          </w:p>
        </w:tc>
        <w:tc>
          <w:tcPr>
            <w:tcW w:w="82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-3.75</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-0.011</w:t>
            </w:r>
          </w:p>
        </w:tc>
        <w:tc>
          <w:tcPr>
            <w:tcW w:w="82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-3.74</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-0.011</w:t>
            </w:r>
          </w:p>
        </w:tc>
        <w:tc>
          <w:tcPr>
            <w:tcW w:w="83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-3.74</w:t>
            </w: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-0.037</w:t>
            </w:r>
          </w:p>
        </w:tc>
        <w:tc>
          <w:tcPr>
            <w:tcW w:w="916"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-3.74</w:t>
            </w: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-0.018</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3a</w:t>
            </w:r>
          </w:p>
        </w:tc>
        <w:tc>
          <w:tcPr>
            <w:tcW w:w="315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xml:space="preserve">    Welfare, 0.05 discount rate</w:t>
            </w:r>
          </w:p>
        </w:tc>
        <w:tc>
          <w:tcPr>
            <w:tcW w:w="84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-0.037</w:t>
            </w:r>
          </w:p>
        </w:tc>
        <w:tc>
          <w:tcPr>
            <w:tcW w:w="82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-0.036</w:t>
            </w:r>
          </w:p>
        </w:tc>
        <w:tc>
          <w:tcPr>
            <w:tcW w:w="82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-0.036</w:t>
            </w:r>
          </w:p>
        </w:tc>
        <w:tc>
          <w:tcPr>
            <w:tcW w:w="83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-0.039</w:t>
            </w:r>
          </w:p>
        </w:tc>
        <w:tc>
          <w:tcPr>
            <w:tcW w:w="916"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-0.037</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3b</w:t>
            </w:r>
          </w:p>
        </w:tc>
        <w:tc>
          <w:tcPr>
            <w:tcW w:w="315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xml:space="preserve">    Welfare, 0.02 discount rate</w:t>
            </w:r>
          </w:p>
        </w:tc>
        <w:tc>
          <w:tcPr>
            <w:tcW w:w="84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-0.037</w:t>
            </w:r>
          </w:p>
        </w:tc>
        <w:tc>
          <w:tcPr>
            <w:tcW w:w="82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-0.037</w:t>
            </w:r>
          </w:p>
        </w:tc>
        <w:tc>
          <w:tcPr>
            <w:tcW w:w="82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-0.037</w:t>
            </w:r>
          </w:p>
        </w:tc>
        <w:tc>
          <w:tcPr>
            <w:tcW w:w="83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-0.040</w:t>
            </w:r>
          </w:p>
        </w:tc>
        <w:tc>
          <w:tcPr>
            <w:tcW w:w="916"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-0.038</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i/>
                <w:color w:val="000000"/>
                <w:sz w:val="20"/>
                <w:szCs w:val="20"/>
              </w:rPr>
            </w:pPr>
            <w:r w:rsidRPr="00A520FE">
              <w:rPr>
                <w:rFonts w:ascii="Times New Roman" w:hAnsi="Times New Roman" w:cs="Times New Roman"/>
                <w:i/>
                <w:color w:val="000000"/>
                <w:sz w:val="20"/>
                <w:szCs w:val="20"/>
              </w:rPr>
              <w:t xml:space="preserve">Target region </w:t>
            </w:r>
          </w:p>
        </w:tc>
        <w:tc>
          <w:tcPr>
            <w:tcW w:w="84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91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82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82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83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904"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916"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931" w:type="dxa"/>
            <w:tcBorders>
              <w:top w:val="nil"/>
              <w:left w:val="nil"/>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4</w:t>
            </w:r>
          </w:p>
        </w:tc>
        <w:tc>
          <w:tcPr>
            <w:tcW w:w="315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xml:space="preserve">    GRP</w:t>
            </w:r>
          </w:p>
        </w:tc>
        <w:tc>
          <w:tcPr>
            <w:tcW w:w="84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-9.73</w:t>
            </w: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0.387</w:t>
            </w:r>
          </w:p>
        </w:tc>
        <w:tc>
          <w:tcPr>
            <w:tcW w:w="82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-14.32</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-0.019</w:t>
            </w:r>
          </w:p>
        </w:tc>
        <w:tc>
          <w:tcPr>
            <w:tcW w:w="82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-13.26</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-0.031</w:t>
            </w:r>
          </w:p>
        </w:tc>
        <w:tc>
          <w:tcPr>
            <w:tcW w:w="83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-9.75</w:t>
            </w: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-0.801</w:t>
            </w:r>
          </w:p>
        </w:tc>
        <w:tc>
          <w:tcPr>
            <w:tcW w:w="916"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-11.76</w:t>
            </w: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-0.116</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5</w:t>
            </w:r>
          </w:p>
        </w:tc>
        <w:tc>
          <w:tcPr>
            <w:tcW w:w="315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-9.91</w:t>
            </w: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0.184</w:t>
            </w:r>
          </w:p>
        </w:tc>
        <w:tc>
          <w:tcPr>
            <w:tcW w:w="82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-12.59</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-0.079</w:t>
            </w:r>
          </w:p>
        </w:tc>
        <w:tc>
          <w:tcPr>
            <w:tcW w:w="82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-11.92</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-0.051</w:t>
            </w:r>
          </w:p>
        </w:tc>
        <w:tc>
          <w:tcPr>
            <w:tcW w:w="83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-7.94</w:t>
            </w: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-0.203</w:t>
            </w:r>
          </w:p>
        </w:tc>
        <w:tc>
          <w:tcPr>
            <w:tcW w:w="916"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-10.59</w:t>
            </w: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-0.037</w:t>
            </w:r>
          </w:p>
        </w:tc>
      </w:tr>
      <w:tr w:rsidR="002D1458" w:rsidRPr="00857A94" w:rsidTr="001E7F73">
        <w:tc>
          <w:tcPr>
            <w:tcW w:w="3645" w:type="dxa"/>
            <w:gridSpan w:val="2"/>
            <w:tcBorders>
              <w:top w:val="single" w:sz="18" w:space="0" w:color="7F7F7F" w:themeColor="text1" w:themeTint="80"/>
              <w:left w:val="nil"/>
              <w:bottom w:val="nil"/>
              <w:right w:val="single" w:sz="4" w:space="0" w:color="auto"/>
            </w:tcBorders>
          </w:tcPr>
          <w:p w:rsidR="002D1458" w:rsidRPr="00A520FE" w:rsidRDefault="002D1458" w:rsidP="001E7F73">
            <w:pPr>
              <w:spacing w:before="0"/>
              <w:rPr>
                <w:rFonts w:ascii="Times New Roman" w:hAnsi="Times New Roman" w:cs="Times New Roman"/>
                <w:b/>
                <w:color w:val="000000"/>
                <w:sz w:val="20"/>
                <w:szCs w:val="20"/>
              </w:rPr>
            </w:pPr>
            <w:r w:rsidRPr="00A520FE">
              <w:rPr>
                <w:rFonts w:ascii="Times New Roman" w:hAnsi="Times New Roman" w:cs="Times New Roman"/>
                <w:b/>
                <w:color w:val="000000"/>
                <w:sz w:val="20"/>
                <w:szCs w:val="20"/>
              </w:rPr>
              <w:t>Neoclassical</w:t>
            </w:r>
          </w:p>
        </w:tc>
        <w:tc>
          <w:tcPr>
            <w:tcW w:w="842" w:type="dxa"/>
            <w:tcBorders>
              <w:top w:val="single" w:sz="18" w:space="0" w:color="7F7F7F" w:themeColor="text1" w:themeTint="80"/>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single" w:sz="18" w:space="0" w:color="7F7F7F" w:themeColor="text1" w:themeTint="80"/>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single" w:sz="18" w:space="0" w:color="7F7F7F" w:themeColor="text1" w:themeTint="80"/>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single" w:sz="18" w:space="0" w:color="7F7F7F" w:themeColor="text1" w:themeTint="80"/>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single" w:sz="18" w:space="0" w:color="7F7F7F" w:themeColor="text1" w:themeTint="80"/>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single" w:sz="18" w:space="0" w:color="7F7F7F" w:themeColor="text1" w:themeTint="80"/>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single" w:sz="18" w:space="0" w:color="7F7F7F" w:themeColor="text1" w:themeTint="80"/>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31" w:type="dxa"/>
            <w:tcBorders>
              <w:top w:val="single" w:sz="18" w:space="0" w:color="7F7F7F" w:themeColor="text1" w:themeTint="80"/>
              <w:left w:val="nil"/>
              <w:bottom w:val="nil"/>
              <w:right w:val="nil"/>
            </w:tcBorders>
          </w:tcPr>
          <w:p w:rsidR="002D1458" w:rsidRPr="00A520FE" w:rsidRDefault="002D1458" w:rsidP="001E7F73">
            <w:pPr>
              <w:pStyle w:val="ListParagraph"/>
              <w:tabs>
                <w:tab w:val="decimal" w:pos="339"/>
              </w:tabs>
              <w:spacing w:before="0"/>
              <w:ind w:left="0"/>
              <w:contextualSpacing w:val="0"/>
              <w:rPr>
                <w:rFonts w:ascii="Times New Roman" w:hAnsi="Times New Roman" w:cs="Times New Roman"/>
                <w:sz w:val="20"/>
                <w:szCs w:val="20"/>
              </w:rPr>
            </w:pPr>
          </w:p>
        </w:tc>
      </w:tr>
      <w:tr w:rsidR="002D1458" w:rsidRPr="00857A94"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i/>
                <w:color w:val="000000"/>
                <w:sz w:val="20"/>
                <w:szCs w:val="20"/>
              </w:rPr>
            </w:pPr>
            <w:r w:rsidRPr="00A520FE">
              <w:rPr>
                <w:rFonts w:ascii="Times New Roman" w:hAnsi="Times New Roman" w:cs="Times New Roman"/>
                <w:i/>
                <w:color w:val="000000"/>
                <w:sz w:val="20"/>
                <w:szCs w:val="20"/>
              </w:rPr>
              <w:t xml:space="preserve">National </w:t>
            </w:r>
          </w:p>
        </w:tc>
        <w:tc>
          <w:tcPr>
            <w:tcW w:w="842" w:type="dxa"/>
            <w:tcBorders>
              <w:top w:val="nil"/>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nil"/>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nil"/>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nil"/>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nil"/>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nil"/>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nil"/>
              <w:left w:val="single" w:sz="4" w:space="0" w:color="auto"/>
              <w:bottom w:val="nil"/>
              <w:right w:val="nil"/>
            </w:tcBorders>
            <w:vAlign w:val="bottom"/>
          </w:tcPr>
          <w:p w:rsidR="002D1458" w:rsidRPr="00A520FE" w:rsidRDefault="002D1458" w:rsidP="001E7F73">
            <w:pPr>
              <w:tabs>
                <w:tab w:val="decimal" w:pos="339"/>
              </w:tabs>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A520FE" w:rsidRDefault="002D1458" w:rsidP="001E7F73">
            <w:pPr>
              <w:tabs>
                <w:tab w:val="decimal" w:pos="339"/>
              </w:tabs>
              <w:spacing w:before="0"/>
              <w:rPr>
                <w:rFonts w:ascii="Times New Roman" w:hAnsi="Times New Roman" w:cs="Times New Roman"/>
                <w:color w:val="000000"/>
                <w:sz w:val="20"/>
                <w:szCs w:val="20"/>
              </w:rPr>
            </w:pPr>
          </w:p>
        </w:tc>
      </w:tr>
      <w:tr w:rsidR="002D1458" w:rsidTr="001E7F73">
        <w:trPr>
          <w:trHeight w:val="305"/>
        </w:trPr>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1</w:t>
            </w:r>
          </w:p>
        </w:tc>
        <w:tc>
          <w:tcPr>
            <w:tcW w:w="315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xml:space="preserve">    GDP</w:t>
            </w:r>
          </w:p>
        </w:tc>
        <w:tc>
          <w:tcPr>
            <w:tcW w:w="84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-1.99</w:t>
            </w: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0.009</w:t>
            </w:r>
          </w:p>
        </w:tc>
        <w:tc>
          <w:tcPr>
            <w:tcW w:w="82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-1.99</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0.010</w:t>
            </w:r>
          </w:p>
        </w:tc>
        <w:tc>
          <w:tcPr>
            <w:tcW w:w="82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-1.99</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0.010</w:t>
            </w:r>
          </w:p>
        </w:tc>
        <w:tc>
          <w:tcPr>
            <w:tcW w:w="83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-1.99</w:t>
            </w: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0.010</w:t>
            </w:r>
          </w:p>
        </w:tc>
        <w:tc>
          <w:tcPr>
            <w:tcW w:w="916"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-1.99</w:t>
            </w: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0.010</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p>
        </w:tc>
        <w:tc>
          <w:tcPr>
            <w:tcW w:w="315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-1.38</w:t>
            </w: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0.000</w:t>
            </w:r>
          </w:p>
        </w:tc>
        <w:tc>
          <w:tcPr>
            <w:tcW w:w="82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-1.38</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0.001</w:t>
            </w:r>
          </w:p>
        </w:tc>
        <w:tc>
          <w:tcPr>
            <w:tcW w:w="82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-1.37</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0.000</w:t>
            </w:r>
          </w:p>
        </w:tc>
        <w:tc>
          <w:tcPr>
            <w:tcW w:w="83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-1.38</w:t>
            </w: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0.001</w:t>
            </w:r>
          </w:p>
        </w:tc>
        <w:tc>
          <w:tcPr>
            <w:tcW w:w="916"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-1.38</w:t>
            </w: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0.001</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3a</w:t>
            </w:r>
          </w:p>
        </w:tc>
        <w:tc>
          <w:tcPr>
            <w:tcW w:w="315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xml:space="preserve">    Welfare, 0.05 discount rate</w:t>
            </w:r>
          </w:p>
        </w:tc>
        <w:tc>
          <w:tcPr>
            <w:tcW w:w="84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-0.023</w:t>
            </w:r>
          </w:p>
        </w:tc>
        <w:tc>
          <w:tcPr>
            <w:tcW w:w="82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-0.023</w:t>
            </w:r>
          </w:p>
        </w:tc>
        <w:tc>
          <w:tcPr>
            <w:tcW w:w="82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-0.023</w:t>
            </w:r>
          </w:p>
        </w:tc>
        <w:tc>
          <w:tcPr>
            <w:tcW w:w="83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-0.023</w:t>
            </w:r>
          </w:p>
        </w:tc>
        <w:tc>
          <w:tcPr>
            <w:tcW w:w="916"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-0.023</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3b</w:t>
            </w:r>
          </w:p>
        </w:tc>
        <w:tc>
          <w:tcPr>
            <w:tcW w:w="315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xml:space="preserve">    Welfare, 0.02 discount rate</w:t>
            </w:r>
          </w:p>
        </w:tc>
        <w:tc>
          <w:tcPr>
            <w:tcW w:w="84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-0.024</w:t>
            </w:r>
          </w:p>
        </w:tc>
        <w:tc>
          <w:tcPr>
            <w:tcW w:w="82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-0.024</w:t>
            </w:r>
          </w:p>
        </w:tc>
        <w:tc>
          <w:tcPr>
            <w:tcW w:w="82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-0.024</w:t>
            </w:r>
          </w:p>
        </w:tc>
        <w:tc>
          <w:tcPr>
            <w:tcW w:w="83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-0.024</w:t>
            </w:r>
          </w:p>
        </w:tc>
        <w:tc>
          <w:tcPr>
            <w:tcW w:w="916"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-0.024</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i/>
                <w:color w:val="000000"/>
                <w:sz w:val="20"/>
                <w:szCs w:val="20"/>
              </w:rPr>
            </w:pPr>
            <w:r w:rsidRPr="00A520FE">
              <w:rPr>
                <w:rFonts w:ascii="Times New Roman" w:hAnsi="Times New Roman" w:cs="Times New Roman"/>
                <w:i/>
                <w:color w:val="000000"/>
                <w:sz w:val="20"/>
                <w:szCs w:val="20"/>
              </w:rPr>
              <w:t xml:space="preserve">Target region </w:t>
            </w:r>
          </w:p>
        </w:tc>
        <w:tc>
          <w:tcPr>
            <w:tcW w:w="84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82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82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83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16"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4</w:t>
            </w:r>
          </w:p>
        </w:tc>
        <w:tc>
          <w:tcPr>
            <w:tcW w:w="315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xml:space="preserve">    GRP</w:t>
            </w:r>
          </w:p>
        </w:tc>
        <w:tc>
          <w:tcPr>
            <w:tcW w:w="84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0.18</w:t>
            </w: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0.205</w:t>
            </w:r>
          </w:p>
        </w:tc>
        <w:tc>
          <w:tcPr>
            <w:tcW w:w="82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-2.98</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0.089</w:t>
            </w:r>
          </w:p>
        </w:tc>
        <w:tc>
          <w:tcPr>
            <w:tcW w:w="82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-3.09</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0.047</w:t>
            </w:r>
          </w:p>
        </w:tc>
        <w:tc>
          <w:tcPr>
            <w:tcW w:w="83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-1.59</w:t>
            </w: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0.106</w:t>
            </w:r>
          </w:p>
        </w:tc>
        <w:tc>
          <w:tcPr>
            <w:tcW w:w="916"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-1.87</w:t>
            </w: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0.112</w:t>
            </w:r>
          </w:p>
        </w:tc>
      </w:tr>
      <w:tr w:rsidR="002D1458" w:rsidTr="001E7F73">
        <w:tc>
          <w:tcPr>
            <w:tcW w:w="495" w:type="dxa"/>
            <w:tcBorders>
              <w:top w:val="nil"/>
              <w:left w:val="nil"/>
              <w:bottom w:val="single" w:sz="18" w:space="0" w:color="7F7F7F" w:themeColor="text1" w:themeTint="80"/>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5</w:t>
            </w:r>
          </w:p>
        </w:tc>
        <w:tc>
          <w:tcPr>
            <w:tcW w:w="3150" w:type="dxa"/>
            <w:tcBorders>
              <w:top w:val="nil"/>
              <w:left w:val="nil"/>
              <w:bottom w:val="single" w:sz="18" w:space="0" w:color="7F7F7F" w:themeColor="text1" w:themeTint="80"/>
              <w:right w:val="single" w:sz="4" w:space="0" w:color="000000" w:themeColor="text1"/>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xml:space="preserve">    Employment</w:t>
            </w:r>
          </w:p>
        </w:tc>
        <w:tc>
          <w:tcPr>
            <w:tcW w:w="842" w:type="dxa"/>
            <w:tcBorders>
              <w:top w:val="nil"/>
              <w:left w:val="single" w:sz="4" w:space="0" w:color="000000" w:themeColor="text1"/>
              <w:bottom w:val="single" w:sz="18" w:space="0" w:color="7F7F7F" w:themeColor="text1" w:themeTint="80"/>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-5.35</w:t>
            </w:r>
          </w:p>
        </w:tc>
        <w:tc>
          <w:tcPr>
            <w:tcW w:w="910" w:type="dxa"/>
            <w:tcBorders>
              <w:top w:val="nil"/>
              <w:left w:val="nil"/>
              <w:bottom w:val="single" w:sz="18" w:space="0" w:color="7F7F7F" w:themeColor="text1" w:themeTint="80"/>
              <w:right w:val="single" w:sz="4" w:space="0" w:color="000000" w:themeColor="text1"/>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-0.036</w:t>
            </w:r>
          </w:p>
        </w:tc>
        <w:tc>
          <w:tcPr>
            <w:tcW w:w="821" w:type="dxa"/>
            <w:tcBorders>
              <w:top w:val="nil"/>
              <w:left w:val="single" w:sz="4" w:space="0" w:color="000000" w:themeColor="text1"/>
              <w:bottom w:val="single" w:sz="18" w:space="0" w:color="7F7F7F" w:themeColor="text1" w:themeTint="80"/>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-4.58</w:t>
            </w:r>
          </w:p>
        </w:tc>
        <w:tc>
          <w:tcPr>
            <w:tcW w:w="900" w:type="dxa"/>
            <w:tcBorders>
              <w:top w:val="nil"/>
              <w:left w:val="nil"/>
              <w:bottom w:val="single" w:sz="18" w:space="0" w:color="7F7F7F" w:themeColor="text1" w:themeTint="80"/>
              <w:right w:val="single" w:sz="4" w:space="0" w:color="000000" w:themeColor="text1"/>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-0.005</w:t>
            </w:r>
          </w:p>
        </w:tc>
        <w:tc>
          <w:tcPr>
            <w:tcW w:w="822" w:type="dxa"/>
            <w:tcBorders>
              <w:top w:val="nil"/>
              <w:left w:val="single" w:sz="4" w:space="0" w:color="000000" w:themeColor="text1"/>
              <w:bottom w:val="single" w:sz="18" w:space="0" w:color="7F7F7F" w:themeColor="text1" w:themeTint="80"/>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-4.79</w:t>
            </w:r>
          </w:p>
        </w:tc>
        <w:tc>
          <w:tcPr>
            <w:tcW w:w="900" w:type="dxa"/>
            <w:tcBorders>
              <w:top w:val="nil"/>
              <w:left w:val="nil"/>
              <w:bottom w:val="single" w:sz="18" w:space="0" w:color="7F7F7F" w:themeColor="text1" w:themeTint="80"/>
              <w:right w:val="single" w:sz="4" w:space="0" w:color="000000" w:themeColor="text1"/>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-0.001</w:t>
            </w:r>
          </w:p>
        </w:tc>
        <w:tc>
          <w:tcPr>
            <w:tcW w:w="831" w:type="dxa"/>
            <w:tcBorders>
              <w:top w:val="nil"/>
              <w:left w:val="single" w:sz="4" w:space="0" w:color="000000" w:themeColor="text1"/>
              <w:bottom w:val="single" w:sz="18" w:space="0" w:color="7F7F7F" w:themeColor="text1" w:themeTint="80"/>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-2.51</w:t>
            </w:r>
          </w:p>
        </w:tc>
        <w:tc>
          <w:tcPr>
            <w:tcW w:w="904" w:type="dxa"/>
            <w:tcBorders>
              <w:top w:val="nil"/>
              <w:left w:val="nil"/>
              <w:bottom w:val="single" w:sz="18" w:space="0" w:color="7F7F7F" w:themeColor="text1" w:themeTint="80"/>
              <w:right w:val="single" w:sz="4" w:space="0" w:color="000000" w:themeColor="text1"/>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-0.012</w:t>
            </w:r>
          </w:p>
        </w:tc>
        <w:tc>
          <w:tcPr>
            <w:tcW w:w="916" w:type="dxa"/>
            <w:tcBorders>
              <w:top w:val="nil"/>
              <w:left w:val="single" w:sz="4" w:space="0" w:color="000000" w:themeColor="text1"/>
              <w:bottom w:val="single" w:sz="18" w:space="0" w:color="7F7F7F" w:themeColor="text1" w:themeTint="80"/>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-4.31</w:t>
            </w:r>
          </w:p>
        </w:tc>
        <w:tc>
          <w:tcPr>
            <w:tcW w:w="931" w:type="dxa"/>
            <w:tcBorders>
              <w:top w:val="nil"/>
              <w:left w:val="nil"/>
              <w:bottom w:val="single" w:sz="18" w:space="0" w:color="7F7F7F" w:themeColor="text1" w:themeTint="80"/>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-0.013</w:t>
            </w:r>
          </w:p>
        </w:tc>
      </w:tr>
    </w:tbl>
    <w:p w:rsidR="002D1458" w:rsidRPr="00696CAD" w:rsidRDefault="002D1458" w:rsidP="002D1458">
      <w:pPr>
        <w:pStyle w:val="ListParagraph"/>
        <w:ind w:left="900" w:hanging="900"/>
        <w:contextualSpacing w:val="0"/>
        <w:rPr>
          <w:rFonts w:ascii="Times New Roman" w:hAnsi="Times New Roman" w:cs="Times New Roman"/>
          <w:b/>
          <w:sz w:val="24"/>
          <w:szCs w:val="24"/>
        </w:rPr>
      </w:pPr>
      <w:r w:rsidRPr="00696CAD">
        <w:rPr>
          <w:rFonts w:ascii="Times New Roman" w:hAnsi="Times New Roman" w:cs="Times New Roman"/>
          <w:b/>
          <w:sz w:val="24"/>
          <w:szCs w:val="24"/>
        </w:rPr>
        <w:t xml:space="preserve">Relevant variables.  </w:t>
      </w:r>
    </w:p>
    <w:p w:rsidR="002D1458" w:rsidRPr="00BA5B92" w:rsidRDefault="002D1458" w:rsidP="002D1458">
      <w:pPr>
        <w:pStyle w:val="ListParagraph"/>
        <w:ind w:left="900" w:hanging="900"/>
        <w:contextualSpacing w:val="0"/>
        <w:rPr>
          <w:rFonts w:ascii="Times New Roman" w:hAnsi="Times New Roman" w:cs="Times New Roman"/>
          <w:sz w:val="24"/>
          <w:szCs w:val="24"/>
        </w:rPr>
      </w:pPr>
      <w:r w:rsidRPr="00BA5B92">
        <w:rPr>
          <w:rFonts w:ascii="Times New Roman" w:hAnsi="Times New Roman" w:cs="Times New Roman"/>
          <w:b/>
          <w:i/>
          <w:sz w:val="24"/>
          <w:szCs w:val="24"/>
        </w:rPr>
        <w:t xml:space="preserve">National:  </w:t>
      </w:r>
      <w:r>
        <w:rPr>
          <w:rFonts w:ascii="Times New Roman" w:hAnsi="Times New Roman" w:cs="Times New Roman"/>
          <w:sz w:val="24"/>
          <w:szCs w:val="24"/>
        </w:rPr>
        <w:t xml:space="preserve">Share of agriculture and food in national GDP.  </w:t>
      </w:r>
      <w:r w:rsidRPr="00BA5B92">
        <w:rPr>
          <w:rFonts w:ascii="Times New Roman" w:hAnsi="Times New Roman" w:cs="Times New Roman"/>
          <w:sz w:val="24"/>
          <w:szCs w:val="24"/>
        </w:rPr>
        <w:t xml:space="preserve">  </w:t>
      </w:r>
    </w:p>
    <w:p w:rsidR="002D1458" w:rsidRDefault="002D1458" w:rsidP="002D1458">
      <w:pPr>
        <w:pStyle w:val="ListParagraph"/>
        <w:ind w:left="993" w:hanging="993"/>
        <w:contextualSpacing w:val="0"/>
        <w:rPr>
          <w:rFonts w:ascii="Times New Roman" w:hAnsi="Times New Roman" w:cs="Times New Roman"/>
          <w:sz w:val="24"/>
          <w:szCs w:val="24"/>
        </w:rPr>
      </w:pPr>
      <w:r w:rsidRPr="00BA5B92">
        <w:rPr>
          <w:rFonts w:ascii="Times New Roman" w:hAnsi="Times New Roman" w:cs="Times New Roman"/>
          <w:b/>
          <w:i/>
          <w:sz w:val="24"/>
          <w:szCs w:val="24"/>
        </w:rPr>
        <w:t>Regional:</w:t>
      </w:r>
      <w:r w:rsidRPr="00BA5B92">
        <w:rPr>
          <w:rFonts w:ascii="Times New Roman" w:hAnsi="Times New Roman" w:cs="Times New Roman"/>
          <w:sz w:val="24"/>
          <w:szCs w:val="24"/>
        </w:rPr>
        <w:t xml:space="preserve">  </w:t>
      </w:r>
      <w:r>
        <w:rPr>
          <w:rFonts w:ascii="Times New Roman" w:hAnsi="Times New Roman" w:cs="Times New Roman"/>
          <w:sz w:val="24"/>
          <w:szCs w:val="24"/>
        </w:rPr>
        <w:t xml:space="preserve">In this simulation output of agriculture and food in the </w:t>
      </w:r>
      <w:r w:rsidR="009A70D4">
        <w:rPr>
          <w:rFonts w:ascii="Times New Roman" w:hAnsi="Times New Roman" w:cs="Times New Roman"/>
          <w:sz w:val="24"/>
          <w:szCs w:val="24"/>
        </w:rPr>
        <w:t>T</w:t>
      </w:r>
      <w:r>
        <w:rPr>
          <w:rFonts w:ascii="Times New Roman" w:hAnsi="Times New Roman" w:cs="Times New Roman"/>
          <w:sz w:val="24"/>
          <w:szCs w:val="24"/>
        </w:rPr>
        <w:t xml:space="preserve">arget state is held constant.  The target region is damaged through its connections with the </w:t>
      </w:r>
      <w:r w:rsidR="009A70D4">
        <w:rPr>
          <w:rFonts w:ascii="Times New Roman" w:hAnsi="Times New Roman" w:cs="Times New Roman"/>
          <w:sz w:val="24"/>
          <w:szCs w:val="24"/>
        </w:rPr>
        <w:t>R</w:t>
      </w:r>
      <w:r>
        <w:rPr>
          <w:rFonts w:ascii="Times New Roman" w:hAnsi="Times New Roman" w:cs="Times New Roman"/>
          <w:sz w:val="24"/>
          <w:szCs w:val="24"/>
        </w:rPr>
        <w:t>est of the U.S.  To capture this, we set the relevant variable as:</w:t>
      </w:r>
    </w:p>
    <w:p w:rsidR="002D1458" w:rsidRDefault="002D1458" w:rsidP="002D1458">
      <w:pPr>
        <w:pStyle w:val="ListParagraph"/>
        <w:ind w:left="993"/>
        <w:contextualSpacing w:val="0"/>
        <w:rPr>
          <w:rFonts w:ascii="Times New Roman" w:hAnsi="Times New Roman" w:cs="Times New Roman"/>
          <w:i/>
          <w:sz w:val="24"/>
          <w:szCs w:val="24"/>
        </w:rPr>
      </w:pPr>
      <w:r>
        <w:rPr>
          <w:rFonts w:ascii="Times New Roman" w:hAnsi="Times New Roman" w:cs="Times New Roman"/>
          <w:sz w:val="24"/>
          <w:szCs w:val="24"/>
        </w:rPr>
        <w:t>s</w:t>
      </w:r>
      <w:r w:rsidRPr="00BA5B92">
        <w:rPr>
          <w:rFonts w:ascii="Times New Roman" w:hAnsi="Times New Roman" w:cs="Times New Roman"/>
          <w:sz w:val="24"/>
          <w:szCs w:val="24"/>
        </w:rPr>
        <w:t xml:space="preserve">hare of </w:t>
      </w:r>
      <w:r>
        <w:rPr>
          <w:rFonts w:ascii="Times New Roman" w:hAnsi="Times New Roman" w:cs="Times New Roman"/>
          <w:sz w:val="24"/>
          <w:szCs w:val="24"/>
        </w:rPr>
        <w:t xml:space="preserve">production in target region that is sold to the Rest of the U.S. times the share of agriculture and food in Rest of U.S. production </w:t>
      </w:r>
      <w:r>
        <w:rPr>
          <w:rFonts w:ascii="Times New Roman" w:hAnsi="Times New Roman" w:cs="Times New Roman"/>
          <w:i/>
          <w:sz w:val="24"/>
          <w:szCs w:val="24"/>
        </w:rPr>
        <w:t xml:space="preserve"> plus </w:t>
      </w:r>
    </w:p>
    <w:p w:rsidR="002D1458" w:rsidRDefault="002D1458" w:rsidP="002D1458">
      <w:pPr>
        <w:pStyle w:val="ListParagraph"/>
        <w:spacing w:before="0"/>
        <w:ind w:left="993"/>
        <w:contextualSpacing w:val="0"/>
        <w:rPr>
          <w:rFonts w:ascii="Times New Roman" w:hAnsi="Times New Roman" w:cs="Times New Roman"/>
          <w:i/>
          <w:sz w:val="24"/>
          <w:szCs w:val="24"/>
        </w:rPr>
      </w:pPr>
      <w:r>
        <w:rPr>
          <w:rFonts w:ascii="Times New Roman" w:hAnsi="Times New Roman" w:cs="Times New Roman"/>
          <w:sz w:val="24"/>
          <w:szCs w:val="24"/>
        </w:rPr>
        <w:t>s</w:t>
      </w:r>
      <w:r w:rsidRPr="00BA5B92">
        <w:rPr>
          <w:rFonts w:ascii="Times New Roman" w:hAnsi="Times New Roman" w:cs="Times New Roman"/>
          <w:sz w:val="24"/>
          <w:szCs w:val="24"/>
        </w:rPr>
        <w:t xml:space="preserve">hare of </w:t>
      </w:r>
      <w:r>
        <w:rPr>
          <w:rFonts w:ascii="Times New Roman" w:hAnsi="Times New Roman" w:cs="Times New Roman"/>
          <w:sz w:val="24"/>
          <w:szCs w:val="24"/>
        </w:rPr>
        <w:t xml:space="preserve">production in target region that is sold to the Rest of target city times the share of Rest of target city’s production that is sold to the Rest of U.S. times share of agriculture and food in Rest of U.S. production </w:t>
      </w:r>
      <w:r>
        <w:rPr>
          <w:rFonts w:ascii="Times New Roman" w:hAnsi="Times New Roman" w:cs="Times New Roman"/>
          <w:i/>
          <w:sz w:val="24"/>
          <w:szCs w:val="24"/>
        </w:rPr>
        <w:t xml:space="preserve"> plus</w:t>
      </w:r>
    </w:p>
    <w:p w:rsidR="002D1458" w:rsidRDefault="002D1458" w:rsidP="002D1458">
      <w:pPr>
        <w:pStyle w:val="ListParagraph"/>
        <w:spacing w:before="0"/>
        <w:ind w:left="1134"/>
        <w:contextualSpacing w:val="0"/>
        <w:rPr>
          <w:rFonts w:ascii="Times New Roman" w:hAnsi="Times New Roman" w:cs="Times New Roman"/>
          <w:i/>
          <w:sz w:val="24"/>
          <w:szCs w:val="24"/>
        </w:rPr>
      </w:pPr>
      <w:r>
        <w:rPr>
          <w:rFonts w:ascii="Times New Roman" w:hAnsi="Times New Roman" w:cs="Times New Roman"/>
          <w:sz w:val="24"/>
          <w:szCs w:val="24"/>
        </w:rPr>
        <w:t>s</w:t>
      </w:r>
      <w:r w:rsidRPr="00BA5B92">
        <w:rPr>
          <w:rFonts w:ascii="Times New Roman" w:hAnsi="Times New Roman" w:cs="Times New Roman"/>
          <w:sz w:val="24"/>
          <w:szCs w:val="24"/>
        </w:rPr>
        <w:t xml:space="preserve">hare of </w:t>
      </w:r>
      <w:r>
        <w:rPr>
          <w:rFonts w:ascii="Times New Roman" w:hAnsi="Times New Roman" w:cs="Times New Roman"/>
          <w:sz w:val="24"/>
          <w:szCs w:val="24"/>
        </w:rPr>
        <w:t xml:space="preserve">production in target region that is sold to the Rest of target state times the share of Rest of target state’s production that is sold to the Rest of U.S. times share of agriculture and food in Rest of U.S. production </w:t>
      </w:r>
    </w:p>
    <w:p w:rsidR="00A520FE" w:rsidRDefault="00A520FE">
      <w:pPr>
        <w:spacing w:before="0" w:after="200" w:line="276" w:lineRule="auto"/>
        <w:rPr>
          <w:rFonts w:ascii="Times New Roman" w:hAnsi="Times New Roman" w:cs="Times New Roman"/>
          <w:b/>
          <w:sz w:val="24"/>
          <w:szCs w:val="24"/>
        </w:rPr>
      </w:pPr>
      <w:r>
        <w:rPr>
          <w:rFonts w:ascii="Times New Roman" w:hAnsi="Times New Roman" w:cs="Times New Roman"/>
          <w:b/>
          <w:sz w:val="24"/>
          <w:szCs w:val="24"/>
        </w:rPr>
        <w:br w:type="page"/>
      </w:r>
    </w:p>
    <w:p w:rsidR="002D1458" w:rsidRPr="00BC333D" w:rsidRDefault="002D1458" w:rsidP="002D1458">
      <w:pPr>
        <w:pStyle w:val="ListParagraph"/>
        <w:ind w:left="900" w:hanging="900"/>
        <w:contextualSpacing w:val="0"/>
        <w:jc w:val="center"/>
        <w:rPr>
          <w:rFonts w:ascii="Times New Roman" w:hAnsi="Times New Roman" w:cs="Times New Roman"/>
          <w:b/>
          <w:i/>
          <w:sz w:val="24"/>
          <w:szCs w:val="24"/>
        </w:rPr>
      </w:pPr>
      <w:r w:rsidRPr="00BC333D">
        <w:rPr>
          <w:rFonts w:ascii="Times New Roman" w:hAnsi="Times New Roman" w:cs="Times New Roman"/>
          <w:b/>
          <w:i/>
          <w:sz w:val="24"/>
          <w:szCs w:val="24"/>
        </w:rPr>
        <w:lastRenderedPageBreak/>
        <w:t xml:space="preserve">Table A13.  Coefficients, C(s,v), for reduction in U.S. labor supply through death and injury (s=13)  </w:t>
      </w:r>
    </w:p>
    <w:tbl>
      <w:tblPr>
        <w:tblStyle w:val="TableGrid"/>
        <w:tblW w:w="12422" w:type="dxa"/>
        <w:tblInd w:w="900" w:type="dxa"/>
        <w:tblLook w:val="04A0" w:firstRow="1" w:lastRow="0" w:firstColumn="1" w:lastColumn="0" w:noHBand="0" w:noVBand="1"/>
      </w:tblPr>
      <w:tblGrid>
        <w:gridCol w:w="495"/>
        <w:gridCol w:w="3150"/>
        <w:gridCol w:w="842"/>
        <w:gridCol w:w="910"/>
        <w:gridCol w:w="821"/>
        <w:gridCol w:w="900"/>
        <w:gridCol w:w="822"/>
        <w:gridCol w:w="900"/>
        <w:gridCol w:w="831"/>
        <w:gridCol w:w="904"/>
        <w:gridCol w:w="916"/>
        <w:gridCol w:w="931"/>
      </w:tblGrid>
      <w:tr w:rsidR="002D1458" w:rsidRPr="00E27213" w:rsidTr="001E7F73">
        <w:tc>
          <w:tcPr>
            <w:tcW w:w="495" w:type="dxa"/>
            <w:tcBorders>
              <w:top w:val="single" w:sz="18" w:space="0" w:color="7F7F7F" w:themeColor="text1" w:themeTint="80"/>
              <w:left w:val="nil"/>
              <w:bottom w:val="nil"/>
              <w:right w:val="nil"/>
            </w:tcBorders>
            <w:vAlign w:val="bottom"/>
          </w:tcPr>
          <w:p w:rsidR="002D1458" w:rsidRPr="00E27213" w:rsidRDefault="002D1458" w:rsidP="001E7F73">
            <w:pPr>
              <w:spacing w:before="0"/>
              <w:rPr>
                <w:rFonts w:ascii="Times New Roman" w:hAnsi="Times New Roman" w:cs="Times New Roman"/>
                <w:color w:val="000000"/>
                <w:sz w:val="20"/>
                <w:szCs w:val="20"/>
              </w:rPr>
            </w:pPr>
          </w:p>
        </w:tc>
        <w:tc>
          <w:tcPr>
            <w:tcW w:w="3150" w:type="dxa"/>
            <w:tcBorders>
              <w:top w:val="single" w:sz="18" w:space="0" w:color="7F7F7F" w:themeColor="text1" w:themeTint="80"/>
              <w:left w:val="nil"/>
              <w:bottom w:val="nil"/>
            </w:tcBorders>
            <w:vAlign w:val="center"/>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Target region (d)</w:t>
            </w:r>
          </w:p>
        </w:tc>
        <w:tc>
          <w:tcPr>
            <w:tcW w:w="1752"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FL24</w:t>
            </w:r>
          </w:p>
        </w:tc>
        <w:tc>
          <w:tcPr>
            <w:tcW w:w="1721"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AZ07</w:t>
            </w:r>
          </w:p>
        </w:tc>
        <w:tc>
          <w:tcPr>
            <w:tcW w:w="1722"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NY14</w:t>
            </w:r>
          </w:p>
        </w:tc>
        <w:tc>
          <w:tcPr>
            <w:tcW w:w="1735"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WA09</w:t>
            </w:r>
          </w:p>
        </w:tc>
        <w:tc>
          <w:tcPr>
            <w:tcW w:w="1847" w:type="dxa"/>
            <w:gridSpan w:val="2"/>
            <w:tcBorders>
              <w:top w:val="single" w:sz="18" w:space="0" w:color="7F7F7F" w:themeColor="text1" w:themeTint="80"/>
              <w:right w:val="nil"/>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Average</w:t>
            </w:r>
          </w:p>
        </w:tc>
      </w:tr>
      <w:tr w:rsidR="002D1458" w:rsidRPr="00E27213" w:rsidTr="001E7F73">
        <w:tc>
          <w:tcPr>
            <w:tcW w:w="495" w:type="dxa"/>
            <w:tcBorders>
              <w:top w:val="nil"/>
              <w:left w:val="nil"/>
              <w:bottom w:val="single" w:sz="18" w:space="0" w:color="7F7F7F" w:themeColor="text1" w:themeTint="80"/>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single" w:sz="18" w:space="0" w:color="7F7F7F" w:themeColor="text1" w:themeTint="80"/>
            </w:tcBorders>
            <w:vAlign w:val="bottom"/>
          </w:tcPr>
          <w:p w:rsidR="002D1458" w:rsidRPr="00E27213" w:rsidRDefault="002D1458" w:rsidP="001E7F73">
            <w:pPr>
              <w:spacing w:before="0"/>
              <w:rPr>
                <w:rFonts w:ascii="Times New Roman" w:hAnsi="Times New Roman" w:cs="Times New Roman"/>
                <w:color w:val="000000"/>
                <w:sz w:val="20"/>
                <w:szCs w:val="20"/>
              </w:rPr>
            </w:pPr>
            <w:r w:rsidRPr="00E27213">
              <w:rPr>
                <w:rFonts w:ascii="Times New Roman" w:hAnsi="Times New Roman" w:cs="Times New Roman"/>
                <w:color w:val="000000"/>
                <w:sz w:val="20"/>
                <w:szCs w:val="20"/>
              </w:rPr>
              <w:t>Implication variables (s)</w:t>
            </w:r>
          </w:p>
        </w:tc>
        <w:tc>
          <w:tcPr>
            <w:tcW w:w="842"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1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21"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22"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31"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4"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916"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31" w:type="dxa"/>
            <w:tcBorders>
              <w:bottom w:val="single" w:sz="18" w:space="0" w:color="7F7F7F" w:themeColor="text1" w:themeTint="80"/>
              <w:right w:val="nil"/>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r>
      <w:tr w:rsidR="002D1458" w:rsidRPr="00F901FE" w:rsidTr="001E7F73">
        <w:tc>
          <w:tcPr>
            <w:tcW w:w="3645" w:type="dxa"/>
            <w:gridSpan w:val="2"/>
            <w:tcBorders>
              <w:top w:val="single" w:sz="18" w:space="0" w:color="7F7F7F" w:themeColor="text1" w:themeTint="80"/>
              <w:left w:val="nil"/>
              <w:bottom w:val="nil"/>
              <w:right w:val="single" w:sz="4" w:space="0" w:color="auto"/>
            </w:tcBorders>
          </w:tcPr>
          <w:p w:rsidR="002D1458" w:rsidRPr="00F901FE" w:rsidRDefault="002D1458" w:rsidP="001E7F73">
            <w:pPr>
              <w:spacing w:before="0"/>
              <w:rPr>
                <w:rFonts w:ascii="Times New Roman" w:hAnsi="Times New Roman" w:cs="Times New Roman"/>
                <w:b/>
                <w:color w:val="000000"/>
                <w:sz w:val="20"/>
                <w:szCs w:val="20"/>
              </w:rPr>
            </w:pPr>
            <w:r w:rsidRPr="00F901FE">
              <w:rPr>
                <w:rFonts w:ascii="Times New Roman" w:hAnsi="Times New Roman" w:cs="Times New Roman"/>
                <w:b/>
                <w:color w:val="000000"/>
                <w:sz w:val="20"/>
                <w:szCs w:val="20"/>
              </w:rPr>
              <w:t>Keynesian</w:t>
            </w:r>
          </w:p>
        </w:tc>
        <w:tc>
          <w:tcPr>
            <w:tcW w:w="842"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39"/>
              </w:tabs>
              <w:spacing w:before="0"/>
              <w:ind w:left="0"/>
              <w:contextualSpacing w:val="0"/>
              <w:rPr>
                <w:rFonts w:ascii="Times New Roman" w:hAnsi="Times New Roman" w:cs="Times New Roman"/>
                <w:sz w:val="20"/>
                <w:szCs w:val="20"/>
              </w:rPr>
            </w:pPr>
          </w:p>
        </w:tc>
        <w:tc>
          <w:tcPr>
            <w:tcW w:w="931" w:type="dxa"/>
            <w:tcBorders>
              <w:top w:val="single" w:sz="18" w:space="0" w:color="7F7F7F" w:themeColor="text1" w:themeTint="80"/>
              <w:left w:val="nil"/>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r>
      <w:tr w:rsidR="002D1458" w:rsidRPr="00F901FE"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National </w:t>
            </w:r>
          </w:p>
        </w:tc>
        <w:tc>
          <w:tcPr>
            <w:tcW w:w="842"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nil"/>
              <w:left w:val="single" w:sz="4" w:space="0" w:color="auto"/>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r>
      <w:tr w:rsidR="002D1458" w:rsidTr="001E7F73">
        <w:trPr>
          <w:trHeight w:val="305"/>
        </w:trPr>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1</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GDP</w:t>
            </w:r>
          </w:p>
        </w:tc>
        <w:tc>
          <w:tcPr>
            <w:tcW w:w="84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-0.51</w:t>
            </w: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-0.920</w:t>
            </w:r>
          </w:p>
        </w:tc>
        <w:tc>
          <w:tcPr>
            <w:tcW w:w="82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-0.49</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-0.929</w:t>
            </w:r>
          </w:p>
        </w:tc>
        <w:tc>
          <w:tcPr>
            <w:tcW w:w="82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-0.59</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-1.007</w:t>
            </w:r>
          </w:p>
        </w:tc>
        <w:tc>
          <w:tcPr>
            <w:tcW w:w="83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-0.59</w:t>
            </w: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-0.964</w:t>
            </w:r>
          </w:p>
        </w:tc>
        <w:tc>
          <w:tcPr>
            <w:tcW w:w="916"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-0.55</w:t>
            </w: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-0.955</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-0.57</w:t>
            </w: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-0.952</w:t>
            </w:r>
          </w:p>
        </w:tc>
        <w:tc>
          <w:tcPr>
            <w:tcW w:w="82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-0.55</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-0.970</w:t>
            </w:r>
          </w:p>
        </w:tc>
        <w:tc>
          <w:tcPr>
            <w:tcW w:w="82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-0.67</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-1.037</w:t>
            </w:r>
          </w:p>
        </w:tc>
        <w:tc>
          <w:tcPr>
            <w:tcW w:w="83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-0.67</w:t>
            </w: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-0.990</w:t>
            </w:r>
          </w:p>
        </w:tc>
        <w:tc>
          <w:tcPr>
            <w:tcW w:w="916"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-0.61</w:t>
            </w: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-0.987</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3a</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0.05 discount rate</w:t>
            </w:r>
          </w:p>
        </w:tc>
        <w:tc>
          <w:tcPr>
            <w:tcW w:w="84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-2.990</w:t>
            </w:r>
          </w:p>
        </w:tc>
        <w:tc>
          <w:tcPr>
            <w:tcW w:w="82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-2.979</w:t>
            </w:r>
          </w:p>
        </w:tc>
        <w:tc>
          <w:tcPr>
            <w:tcW w:w="82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-2.989</w:t>
            </w:r>
          </w:p>
        </w:tc>
        <w:tc>
          <w:tcPr>
            <w:tcW w:w="83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-2.987</w:t>
            </w:r>
          </w:p>
        </w:tc>
        <w:tc>
          <w:tcPr>
            <w:tcW w:w="916"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-2.986</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3b</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0.02 discount rate</w:t>
            </w:r>
          </w:p>
        </w:tc>
        <w:tc>
          <w:tcPr>
            <w:tcW w:w="84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-3.079</w:t>
            </w:r>
          </w:p>
        </w:tc>
        <w:tc>
          <w:tcPr>
            <w:tcW w:w="82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-3.064</w:t>
            </w:r>
          </w:p>
        </w:tc>
        <w:tc>
          <w:tcPr>
            <w:tcW w:w="82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-3.077</w:t>
            </w:r>
          </w:p>
        </w:tc>
        <w:tc>
          <w:tcPr>
            <w:tcW w:w="83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-3.074</w:t>
            </w:r>
          </w:p>
        </w:tc>
        <w:tc>
          <w:tcPr>
            <w:tcW w:w="916"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-3.073</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Target region </w:t>
            </w:r>
          </w:p>
        </w:tc>
        <w:tc>
          <w:tcPr>
            <w:tcW w:w="84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91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82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82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90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83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904"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916"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c>
          <w:tcPr>
            <w:tcW w:w="931" w:type="dxa"/>
            <w:tcBorders>
              <w:top w:val="nil"/>
              <w:left w:val="nil"/>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r w:rsidRPr="00A520FE">
              <w:rPr>
                <w:rFonts w:ascii="Times New Roman" w:hAnsi="Times New Roman" w:cs="Times New Roman"/>
                <w:color w:val="000000"/>
                <w:sz w:val="20"/>
                <w:szCs w:val="20"/>
              </w:rPr>
              <w:t> </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4</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GRP</w:t>
            </w:r>
          </w:p>
        </w:tc>
        <w:tc>
          <w:tcPr>
            <w:tcW w:w="84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-0.23</w:t>
            </w: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-0.018</w:t>
            </w:r>
          </w:p>
        </w:tc>
        <w:tc>
          <w:tcPr>
            <w:tcW w:w="82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-0.27</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-0.022</w:t>
            </w:r>
          </w:p>
        </w:tc>
        <w:tc>
          <w:tcPr>
            <w:tcW w:w="82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-0.38</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-0.073</w:t>
            </w:r>
          </w:p>
        </w:tc>
        <w:tc>
          <w:tcPr>
            <w:tcW w:w="83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-0.37</w:t>
            </w: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-0.023</w:t>
            </w:r>
          </w:p>
        </w:tc>
        <w:tc>
          <w:tcPr>
            <w:tcW w:w="916"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-0.31</w:t>
            </w: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-0.034</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5</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-0.27</w:t>
            </w: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-0.010</w:t>
            </w:r>
          </w:p>
        </w:tc>
        <w:tc>
          <w:tcPr>
            <w:tcW w:w="82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-0.30</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-0.013</w:t>
            </w:r>
          </w:p>
        </w:tc>
        <w:tc>
          <w:tcPr>
            <w:tcW w:w="82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-0.41</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-0.065</w:t>
            </w:r>
          </w:p>
        </w:tc>
        <w:tc>
          <w:tcPr>
            <w:tcW w:w="83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-0.41</w:t>
            </w: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-0.013</w:t>
            </w:r>
          </w:p>
        </w:tc>
        <w:tc>
          <w:tcPr>
            <w:tcW w:w="916"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-0.35</w:t>
            </w: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-0.025</w:t>
            </w:r>
          </w:p>
        </w:tc>
      </w:tr>
      <w:tr w:rsidR="002D1458" w:rsidRPr="00857A94" w:rsidTr="001E7F73">
        <w:tc>
          <w:tcPr>
            <w:tcW w:w="3645" w:type="dxa"/>
            <w:gridSpan w:val="2"/>
            <w:tcBorders>
              <w:top w:val="single" w:sz="18" w:space="0" w:color="7F7F7F" w:themeColor="text1" w:themeTint="80"/>
              <w:left w:val="nil"/>
              <w:bottom w:val="nil"/>
              <w:right w:val="single" w:sz="4" w:space="0" w:color="auto"/>
            </w:tcBorders>
          </w:tcPr>
          <w:p w:rsidR="002D1458" w:rsidRPr="00F901FE" w:rsidRDefault="002D1458" w:rsidP="001E7F73">
            <w:pPr>
              <w:spacing w:before="0"/>
              <w:rPr>
                <w:rFonts w:ascii="Times New Roman" w:hAnsi="Times New Roman" w:cs="Times New Roman"/>
                <w:b/>
                <w:color w:val="000000"/>
                <w:sz w:val="20"/>
                <w:szCs w:val="20"/>
              </w:rPr>
            </w:pPr>
            <w:r w:rsidRPr="00F901FE">
              <w:rPr>
                <w:rFonts w:ascii="Times New Roman" w:hAnsi="Times New Roman" w:cs="Times New Roman"/>
                <w:b/>
                <w:color w:val="000000"/>
                <w:sz w:val="20"/>
                <w:szCs w:val="20"/>
              </w:rPr>
              <w:t>Neoclassical</w:t>
            </w:r>
          </w:p>
        </w:tc>
        <w:tc>
          <w:tcPr>
            <w:tcW w:w="842" w:type="dxa"/>
            <w:tcBorders>
              <w:top w:val="single" w:sz="18" w:space="0" w:color="7F7F7F" w:themeColor="text1" w:themeTint="80"/>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single" w:sz="18" w:space="0" w:color="7F7F7F" w:themeColor="text1" w:themeTint="80"/>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single" w:sz="18" w:space="0" w:color="7F7F7F" w:themeColor="text1" w:themeTint="80"/>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single" w:sz="18" w:space="0" w:color="7F7F7F" w:themeColor="text1" w:themeTint="80"/>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single" w:sz="18" w:space="0" w:color="7F7F7F" w:themeColor="text1" w:themeTint="80"/>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single" w:sz="18" w:space="0" w:color="7F7F7F" w:themeColor="text1" w:themeTint="80"/>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single" w:sz="18" w:space="0" w:color="7F7F7F" w:themeColor="text1" w:themeTint="80"/>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31" w:type="dxa"/>
            <w:tcBorders>
              <w:top w:val="single" w:sz="18" w:space="0" w:color="7F7F7F" w:themeColor="text1" w:themeTint="80"/>
              <w:left w:val="nil"/>
              <w:bottom w:val="nil"/>
              <w:right w:val="nil"/>
            </w:tcBorders>
          </w:tcPr>
          <w:p w:rsidR="002D1458" w:rsidRPr="00A520FE" w:rsidRDefault="002D1458" w:rsidP="001E7F73">
            <w:pPr>
              <w:pStyle w:val="ListParagraph"/>
              <w:tabs>
                <w:tab w:val="decimal" w:pos="339"/>
              </w:tabs>
              <w:spacing w:before="0"/>
              <w:ind w:left="0"/>
              <w:contextualSpacing w:val="0"/>
              <w:rPr>
                <w:rFonts w:ascii="Times New Roman" w:hAnsi="Times New Roman" w:cs="Times New Roman"/>
                <w:sz w:val="20"/>
                <w:szCs w:val="20"/>
              </w:rPr>
            </w:pPr>
          </w:p>
        </w:tc>
      </w:tr>
      <w:tr w:rsidR="002D1458" w:rsidRPr="00857A94"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National </w:t>
            </w:r>
          </w:p>
        </w:tc>
        <w:tc>
          <w:tcPr>
            <w:tcW w:w="842" w:type="dxa"/>
            <w:tcBorders>
              <w:top w:val="nil"/>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nil"/>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nil"/>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nil"/>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nil"/>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nil"/>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nil"/>
              <w:left w:val="single" w:sz="4" w:space="0" w:color="auto"/>
              <w:bottom w:val="nil"/>
              <w:right w:val="nil"/>
            </w:tcBorders>
            <w:vAlign w:val="bottom"/>
          </w:tcPr>
          <w:p w:rsidR="002D1458" w:rsidRPr="00A520FE" w:rsidRDefault="002D1458" w:rsidP="001E7F73">
            <w:pPr>
              <w:tabs>
                <w:tab w:val="decimal" w:pos="339"/>
              </w:tabs>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A520FE" w:rsidRDefault="002D1458" w:rsidP="001E7F73">
            <w:pPr>
              <w:tabs>
                <w:tab w:val="decimal" w:pos="339"/>
              </w:tabs>
              <w:spacing w:before="0"/>
              <w:rPr>
                <w:rFonts w:ascii="Times New Roman" w:hAnsi="Times New Roman" w:cs="Times New Roman"/>
                <w:color w:val="000000"/>
                <w:sz w:val="20"/>
                <w:szCs w:val="20"/>
              </w:rPr>
            </w:pPr>
          </w:p>
        </w:tc>
      </w:tr>
      <w:tr w:rsidR="002D1458" w:rsidTr="001E7F73">
        <w:trPr>
          <w:trHeight w:val="305"/>
        </w:trPr>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1</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GDP</w:t>
            </w:r>
          </w:p>
        </w:tc>
        <w:tc>
          <w:tcPr>
            <w:tcW w:w="84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-0.19</w:t>
            </w: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-0.928</w:t>
            </w:r>
          </w:p>
        </w:tc>
        <w:tc>
          <w:tcPr>
            <w:tcW w:w="82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-0.19</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-0.918</w:t>
            </w:r>
          </w:p>
        </w:tc>
        <w:tc>
          <w:tcPr>
            <w:tcW w:w="82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-0.23</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-1.011</w:t>
            </w:r>
          </w:p>
        </w:tc>
        <w:tc>
          <w:tcPr>
            <w:tcW w:w="83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-0.23</w:t>
            </w: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-0.964</w:t>
            </w:r>
          </w:p>
        </w:tc>
        <w:tc>
          <w:tcPr>
            <w:tcW w:w="916"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-0.21</w:t>
            </w: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-0.955</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-0.32</w:t>
            </w: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-0.962</w:t>
            </w:r>
          </w:p>
        </w:tc>
        <w:tc>
          <w:tcPr>
            <w:tcW w:w="82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-0.32</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-0.956</w:t>
            </w:r>
          </w:p>
        </w:tc>
        <w:tc>
          <w:tcPr>
            <w:tcW w:w="82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-0.39</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-1.052</w:t>
            </w:r>
          </w:p>
        </w:tc>
        <w:tc>
          <w:tcPr>
            <w:tcW w:w="83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-0.39</w:t>
            </w: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-0.993</w:t>
            </w:r>
          </w:p>
        </w:tc>
        <w:tc>
          <w:tcPr>
            <w:tcW w:w="916"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-0.36</w:t>
            </w: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-0.991</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3a</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0.05 discount rate</w:t>
            </w:r>
          </w:p>
        </w:tc>
        <w:tc>
          <w:tcPr>
            <w:tcW w:w="84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-2.989</w:t>
            </w:r>
          </w:p>
        </w:tc>
        <w:tc>
          <w:tcPr>
            <w:tcW w:w="82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-2.978</w:t>
            </w:r>
          </w:p>
        </w:tc>
        <w:tc>
          <w:tcPr>
            <w:tcW w:w="82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-2.989</w:t>
            </w:r>
          </w:p>
        </w:tc>
        <w:tc>
          <w:tcPr>
            <w:tcW w:w="83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-2.988</w:t>
            </w:r>
          </w:p>
        </w:tc>
        <w:tc>
          <w:tcPr>
            <w:tcW w:w="916"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-2.986</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3b</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0.02 discount rate</w:t>
            </w:r>
          </w:p>
        </w:tc>
        <w:tc>
          <w:tcPr>
            <w:tcW w:w="84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-3.078</w:t>
            </w:r>
          </w:p>
        </w:tc>
        <w:tc>
          <w:tcPr>
            <w:tcW w:w="82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-3.062</w:t>
            </w:r>
          </w:p>
        </w:tc>
        <w:tc>
          <w:tcPr>
            <w:tcW w:w="82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-3.077</w:t>
            </w:r>
          </w:p>
        </w:tc>
        <w:tc>
          <w:tcPr>
            <w:tcW w:w="83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-3.075</w:t>
            </w:r>
          </w:p>
        </w:tc>
        <w:tc>
          <w:tcPr>
            <w:tcW w:w="916"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-3.073</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Target region </w:t>
            </w:r>
          </w:p>
        </w:tc>
        <w:tc>
          <w:tcPr>
            <w:tcW w:w="84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82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82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83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16"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4</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GRP</w:t>
            </w:r>
          </w:p>
        </w:tc>
        <w:tc>
          <w:tcPr>
            <w:tcW w:w="84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-0.10</w:t>
            </w: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-0.021</w:t>
            </w:r>
          </w:p>
        </w:tc>
        <w:tc>
          <w:tcPr>
            <w:tcW w:w="82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-0.10</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-0.026</w:t>
            </w:r>
          </w:p>
        </w:tc>
        <w:tc>
          <w:tcPr>
            <w:tcW w:w="82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-0.14</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-0.077</w:t>
            </w:r>
          </w:p>
        </w:tc>
        <w:tc>
          <w:tcPr>
            <w:tcW w:w="83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-0.14</w:t>
            </w: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-0.028</w:t>
            </w:r>
          </w:p>
        </w:tc>
        <w:tc>
          <w:tcPr>
            <w:tcW w:w="916"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-0.12</w:t>
            </w: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-0.038</w:t>
            </w:r>
          </w:p>
        </w:tc>
      </w:tr>
      <w:tr w:rsidR="002D1458" w:rsidTr="001E7F73">
        <w:tc>
          <w:tcPr>
            <w:tcW w:w="495" w:type="dxa"/>
            <w:tcBorders>
              <w:top w:val="nil"/>
              <w:left w:val="nil"/>
              <w:bottom w:val="single" w:sz="18" w:space="0" w:color="7F7F7F" w:themeColor="text1" w:themeTint="80"/>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5</w:t>
            </w:r>
          </w:p>
        </w:tc>
        <w:tc>
          <w:tcPr>
            <w:tcW w:w="3150" w:type="dxa"/>
            <w:tcBorders>
              <w:top w:val="nil"/>
              <w:left w:val="nil"/>
              <w:bottom w:val="single" w:sz="18" w:space="0" w:color="7F7F7F" w:themeColor="text1" w:themeTint="80"/>
              <w:right w:val="single" w:sz="4" w:space="0" w:color="000000" w:themeColor="text1"/>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000000" w:themeColor="text1"/>
              <w:bottom w:val="single" w:sz="18" w:space="0" w:color="7F7F7F" w:themeColor="text1" w:themeTint="80"/>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-0.17</w:t>
            </w:r>
          </w:p>
        </w:tc>
        <w:tc>
          <w:tcPr>
            <w:tcW w:w="910" w:type="dxa"/>
            <w:tcBorders>
              <w:top w:val="nil"/>
              <w:left w:val="nil"/>
              <w:bottom w:val="single" w:sz="18" w:space="0" w:color="7F7F7F" w:themeColor="text1" w:themeTint="80"/>
              <w:right w:val="single" w:sz="4" w:space="0" w:color="000000" w:themeColor="text1"/>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-0.011</w:t>
            </w:r>
          </w:p>
        </w:tc>
        <w:tc>
          <w:tcPr>
            <w:tcW w:w="821" w:type="dxa"/>
            <w:tcBorders>
              <w:top w:val="nil"/>
              <w:left w:val="single" w:sz="4" w:space="0" w:color="000000" w:themeColor="text1"/>
              <w:bottom w:val="single" w:sz="18" w:space="0" w:color="7F7F7F" w:themeColor="text1" w:themeTint="80"/>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-0.17</w:t>
            </w:r>
          </w:p>
        </w:tc>
        <w:tc>
          <w:tcPr>
            <w:tcW w:w="900" w:type="dxa"/>
            <w:tcBorders>
              <w:top w:val="nil"/>
              <w:left w:val="nil"/>
              <w:bottom w:val="single" w:sz="18" w:space="0" w:color="7F7F7F" w:themeColor="text1" w:themeTint="80"/>
              <w:right w:val="single" w:sz="4" w:space="0" w:color="000000" w:themeColor="text1"/>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-0.014</w:t>
            </w:r>
          </w:p>
        </w:tc>
        <w:tc>
          <w:tcPr>
            <w:tcW w:w="822" w:type="dxa"/>
            <w:tcBorders>
              <w:top w:val="nil"/>
              <w:left w:val="single" w:sz="4" w:space="0" w:color="000000" w:themeColor="text1"/>
              <w:bottom w:val="single" w:sz="18" w:space="0" w:color="7F7F7F" w:themeColor="text1" w:themeTint="80"/>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-0.24</w:t>
            </w:r>
          </w:p>
        </w:tc>
        <w:tc>
          <w:tcPr>
            <w:tcW w:w="900" w:type="dxa"/>
            <w:tcBorders>
              <w:top w:val="nil"/>
              <w:left w:val="nil"/>
              <w:bottom w:val="single" w:sz="18" w:space="0" w:color="7F7F7F" w:themeColor="text1" w:themeTint="80"/>
              <w:right w:val="single" w:sz="4" w:space="0" w:color="000000" w:themeColor="text1"/>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-0.065</w:t>
            </w:r>
          </w:p>
        </w:tc>
        <w:tc>
          <w:tcPr>
            <w:tcW w:w="831" w:type="dxa"/>
            <w:tcBorders>
              <w:top w:val="nil"/>
              <w:left w:val="single" w:sz="4" w:space="0" w:color="000000" w:themeColor="text1"/>
              <w:bottom w:val="single" w:sz="18" w:space="0" w:color="7F7F7F" w:themeColor="text1" w:themeTint="80"/>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-0.24</w:t>
            </w:r>
          </w:p>
        </w:tc>
        <w:tc>
          <w:tcPr>
            <w:tcW w:w="904" w:type="dxa"/>
            <w:tcBorders>
              <w:top w:val="nil"/>
              <w:left w:val="nil"/>
              <w:bottom w:val="single" w:sz="18" w:space="0" w:color="7F7F7F" w:themeColor="text1" w:themeTint="80"/>
              <w:right w:val="single" w:sz="4" w:space="0" w:color="000000" w:themeColor="text1"/>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-0.014</w:t>
            </w:r>
          </w:p>
        </w:tc>
        <w:tc>
          <w:tcPr>
            <w:tcW w:w="916" w:type="dxa"/>
            <w:tcBorders>
              <w:top w:val="nil"/>
              <w:left w:val="single" w:sz="4" w:space="0" w:color="000000" w:themeColor="text1"/>
              <w:bottom w:val="single" w:sz="18" w:space="0" w:color="7F7F7F" w:themeColor="text1" w:themeTint="80"/>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-0.20</w:t>
            </w:r>
          </w:p>
        </w:tc>
        <w:tc>
          <w:tcPr>
            <w:tcW w:w="931" w:type="dxa"/>
            <w:tcBorders>
              <w:top w:val="nil"/>
              <w:left w:val="nil"/>
              <w:bottom w:val="single" w:sz="18" w:space="0" w:color="7F7F7F" w:themeColor="text1" w:themeTint="80"/>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-0.026</w:t>
            </w:r>
          </w:p>
        </w:tc>
      </w:tr>
    </w:tbl>
    <w:p w:rsidR="002D1458" w:rsidRPr="00696CAD" w:rsidRDefault="002D1458" w:rsidP="002D1458">
      <w:pPr>
        <w:pStyle w:val="ListParagraph"/>
        <w:ind w:left="900" w:hanging="900"/>
        <w:contextualSpacing w:val="0"/>
        <w:rPr>
          <w:rFonts w:ascii="Times New Roman" w:hAnsi="Times New Roman" w:cs="Times New Roman"/>
          <w:b/>
          <w:sz w:val="24"/>
          <w:szCs w:val="24"/>
        </w:rPr>
      </w:pPr>
      <w:r w:rsidRPr="00696CAD">
        <w:rPr>
          <w:rFonts w:ascii="Times New Roman" w:hAnsi="Times New Roman" w:cs="Times New Roman"/>
          <w:b/>
          <w:sz w:val="24"/>
          <w:szCs w:val="24"/>
        </w:rPr>
        <w:t xml:space="preserve">Relevant variables.  </w:t>
      </w:r>
    </w:p>
    <w:p w:rsidR="002D1458" w:rsidRPr="00BA5B92" w:rsidRDefault="002D1458" w:rsidP="002D1458">
      <w:pPr>
        <w:pStyle w:val="ListParagraph"/>
        <w:ind w:left="900" w:hanging="900"/>
        <w:contextualSpacing w:val="0"/>
        <w:rPr>
          <w:rFonts w:ascii="Times New Roman" w:hAnsi="Times New Roman" w:cs="Times New Roman"/>
          <w:sz w:val="24"/>
          <w:szCs w:val="24"/>
        </w:rPr>
      </w:pPr>
      <w:r>
        <w:rPr>
          <w:rFonts w:ascii="Times New Roman" w:hAnsi="Times New Roman" w:cs="Times New Roman"/>
          <w:b/>
          <w:i/>
          <w:sz w:val="24"/>
          <w:szCs w:val="24"/>
        </w:rPr>
        <w:t xml:space="preserve">National: </w:t>
      </w:r>
      <w:r>
        <w:rPr>
          <w:rFonts w:ascii="Times New Roman" w:hAnsi="Times New Roman" w:cs="Times New Roman"/>
          <w:sz w:val="24"/>
          <w:szCs w:val="24"/>
        </w:rPr>
        <w:t xml:space="preserve"> The shock is the percentage reduction in the workforce through death and injury.  We anticipate that national variables do not depend on the target </w:t>
      </w:r>
      <w:r w:rsidR="00F6390E">
        <w:rPr>
          <w:rFonts w:ascii="Times New Roman" w:hAnsi="Times New Roman" w:cs="Times New Roman"/>
          <w:sz w:val="24"/>
          <w:szCs w:val="24"/>
        </w:rPr>
        <w:t>region</w:t>
      </w:r>
      <w:r>
        <w:rPr>
          <w:rFonts w:ascii="Times New Roman" w:hAnsi="Times New Roman" w:cs="Times New Roman"/>
          <w:sz w:val="24"/>
          <w:szCs w:val="24"/>
        </w:rPr>
        <w:t xml:space="preserve">.  Thus we set RV at one.  </w:t>
      </w:r>
      <w:r w:rsidRPr="00BA5B92">
        <w:rPr>
          <w:rFonts w:ascii="Times New Roman" w:hAnsi="Times New Roman" w:cs="Times New Roman"/>
          <w:sz w:val="24"/>
          <w:szCs w:val="24"/>
        </w:rPr>
        <w:t xml:space="preserve">  </w:t>
      </w:r>
    </w:p>
    <w:p w:rsidR="002D1458" w:rsidRDefault="002D1458" w:rsidP="002D1458">
      <w:pPr>
        <w:pStyle w:val="ListParagraph"/>
        <w:ind w:left="993" w:hanging="993"/>
        <w:contextualSpacing w:val="0"/>
        <w:rPr>
          <w:rFonts w:ascii="Times New Roman" w:hAnsi="Times New Roman" w:cs="Times New Roman"/>
          <w:sz w:val="24"/>
          <w:szCs w:val="24"/>
        </w:rPr>
      </w:pPr>
      <w:r w:rsidRPr="00BA5B92">
        <w:rPr>
          <w:rFonts w:ascii="Times New Roman" w:hAnsi="Times New Roman" w:cs="Times New Roman"/>
          <w:b/>
          <w:i/>
          <w:sz w:val="24"/>
          <w:szCs w:val="24"/>
        </w:rPr>
        <w:t>Regional:</w:t>
      </w:r>
      <w:r w:rsidRPr="00BA5B92">
        <w:rPr>
          <w:rFonts w:ascii="Times New Roman" w:hAnsi="Times New Roman" w:cs="Times New Roman"/>
          <w:sz w:val="24"/>
          <w:szCs w:val="24"/>
        </w:rPr>
        <w:t xml:space="preserve">  </w:t>
      </w:r>
      <w:r>
        <w:rPr>
          <w:rFonts w:ascii="Times New Roman" w:hAnsi="Times New Roman" w:cs="Times New Roman"/>
          <w:sz w:val="24"/>
          <w:szCs w:val="24"/>
        </w:rPr>
        <w:t xml:space="preserve">For 2015 we use 1/LabSupSh(target city), that is the reciprocal of the </w:t>
      </w:r>
      <w:r w:rsidR="00F6390E">
        <w:rPr>
          <w:rFonts w:ascii="Times New Roman" w:hAnsi="Times New Roman" w:cs="Times New Roman"/>
          <w:sz w:val="24"/>
          <w:szCs w:val="24"/>
        </w:rPr>
        <w:t>T</w:t>
      </w:r>
      <w:r>
        <w:rPr>
          <w:rFonts w:ascii="Times New Roman" w:hAnsi="Times New Roman" w:cs="Times New Roman"/>
          <w:sz w:val="24"/>
          <w:szCs w:val="24"/>
        </w:rPr>
        <w:t>arget city’s share in national labor supply.</w:t>
      </w:r>
    </w:p>
    <w:p w:rsidR="002D1458" w:rsidRDefault="00A520FE" w:rsidP="002D1458">
      <w:pPr>
        <w:pStyle w:val="ListParagraph"/>
        <w:ind w:left="993"/>
        <w:contextualSpacing w:val="0"/>
        <w:rPr>
          <w:rFonts w:ascii="Times New Roman" w:hAnsi="Times New Roman" w:cs="Times New Roman"/>
          <w:sz w:val="24"/>
          <w:szCs w:val="24"/>
        </w:rPr>
      </w:pPr>
      <w:r>
        <w:rPr>
          <w:rFonts w:ascii="Times New Roman" w:hAnsi="Times New Roman" w:cs="Times New Roman"/>
          <w:sz w:val="24"/>
          <w:szCs w:val="24"/>
        </w:rPr>
        <w:t xml:space="preserve">  </w:t>
      </w:r>
      <w:r w:rsidR="002D1458">
        <w:rPr>
          <w:rFonts w:ascii="Times New Roman" w:hAnsi="Times New Roman" w:cs="Times New Roman"/>
          <w:sz w:val="24"/>
          <w:szCs w:val="24"/>
        </w:rPr>
        <w:t>For 2034 we use [</w:t>
      </w:r>
      <w:r w:rsidR="002D1458" w:rsidRPr="00B82BE5">
        <w:rPr>
          <w:rFonts w:ascii="Times New Roman" w:hAnsi="Times New Roman" w:cs="Times New Roman"/>
          <w:sz w:val="24"/>
          <w:szCs w:val="24"/>
        </w:rPr>
        <w:t xml:space="preserve"> </w:t>
      </w:r>
      <w:r w:rsidR="002D1458">
        <w:rPr>
          <w:rFonts w:ascii="Times New Roman" w:hAnsi="Times New Roman" w:cs="Times New Roman"/>
          <w:sz w:val="24"/>
          <w:szCs w:val="24"/>
        </w:rPr>
        <w:t>LabSupSh(target city) + 0.01]/</w:t>
      </w:r>
      <w:r w:rsidR="002D1458" w:rsidRPr="000D6E95">
        <w:rPr>
          <w:rFonts w:ascii="Times New Roman" w:hAnsi="Times New Roman" w:cs="Times New Roman"/>
          <w:sz w:val="24"/>
          <w:szCs w:val="24"/>
        </w:rPr>
        <w:t xml:space="preserve"> </w:t>
      </w:r>
      <w:r w:rsidR="002D1458">
        <w:rPr>
          <w:rFonts w:ascii="Times New Roman" w:hAnsi="Times New Roman" w:cs="Times New Roman"/>
          <w:sz w:val="24"/>
          <w:szCs w:val="24"/>
        </w:rPr>
        <w:t xml:space="preserve">LabSupSh(target city).  </w:t>
      </w:r>
    </w:p>
    <w:p w:rsidR="002D1458" w:rsidRDefault="002D1458" w:rsidP="002D1458">
      <w:pPr>
        <w:rPr>
          <w:rFonts w:ascii="Times New Roman" w:hAnsi="Times New Roman" w:cs="Times New Roman"/>
          <w:b/>
          <w:sz w:val="24"/>
          <w:szCs w:val="24"/>
        </w:rPr>
      </w:pPr>
      <w:r>
        <w:rPr>
          <w:rFonts w:ascii="Times New Roman" w:hAnsi="Times New Roman" w:cs="Times New Roman"/>
          <w:b/>
          <w:sz w:val="24"/>
          <w:szCs w:val="24"/>
        </w:rPr>
        <w:br w:type="page"/>
      </w:r>
    </w:p>
    <w:p w:rsidR="002D1458" w:rsidRPr="00BC333D" w:rsidRDefault="002D1458" w:rsidP="002D1458">
      <w:pPr>
        <w:pStyle w:val="ListParagraph"/>
        <w:ind w:left="900" w:hanging="900"/>
        <w:contextualSpacing w:val="0"/>
        <w:jc w:val="center"/>
        <w:rPr>
          <w:rFonts w:ascii="Times New Roman" w:hAnsi="Times New Roman" w:cs="Times New Roman"/>
          <w:b/>
          <w:i/>
          <w:sz w:val="24"/>
          <w:szCs w:val="24"/>
        </w:rPr>
      </w:pPr>
      <w:r w:rsidRPr="00BC333D">
        <w:rPr>
          <w:rFonts w:ascii="Times New Roman" w:hAnsi="Times New Roman" w:cs="Times New Roman"/>
          <w:b/>
          <w:i/>
          <w:sz w:val="24"/>
          <w:szCs w:val="24"/>
        </w:rPr>
        <w:lastRenderedPageBreak/>
        <w:t xml:space="preserve">Table A14.  Coefficients, C(s,v), for permanent aversion to working in target region (s=14)     </w:t>
      </w:r>
    </w:p>
    <w:tbl>
      <w:tblPr>
        <w:tblStyle w:val="TableGrid"/>
        <w:tblW w:w="12422" w:type="dxa"/>
        <w:tblInd w:w="900" w:type="dxa"/>
        <w:tblLook w:val="04A0" w:firstRow="1" w:lastRow="0" w:firstColumn="1" w:lastColumn="0" w:noHBand="0" w:noVBand="1"/>
      </w:tblPr>
      <w:tblGrid>
        <w:gridCol w:w="495"/>
        <w:gridCol w:w="3150"/>
        <w:gridCol w:w="842"/>
        <w:gridCol w:w="910"/>
        <w:gridCol w:w="821"/>
        <w:gridCol w:w="900"/>
        <w:gridCol w:w="822"/>
        <w:gridCol w:w="900"/>
        <w:gridCol w:w="831"/>
        <w:gridCol w:w="904"/>
        <w:gridCol w:w="916"/>
        <w:gridCol w:w="931"/>
      </w:tblGrid>
      <w:tr w:rsidR="002D1458" w:rsidRPr="00E27213" w:rsidTr="001E7F73">
        <w:tc>
          <w:tcPr>
            <w:tcW w:w="495" w:type="dxa"/>
            <w:tcBorders>
              <w:top w:val="single" w:sz="18" w:space="0" w:color="7F7F7F" w:themeColor="text1" w:themeTint="80"/>
              <w:left w:val="nil"/>
              <w:bottom w:val="nil"/>
              <w:right w:val="nil"/>
            </w:tcBorders>
            <w:vAlign w:val="bottom"/>
          </w:tcPr>
          <w:p w:rsidR="002D1458" w:rsidRPr="00E27213" w:rsidRDefault="002D1458" w:rsidP="001E7F73">
            <w:pPr>
              <w:spacing w:before="0"/>
              <w:rPr>
                <w:rFonts w:ascii="Times New Roman" w:hAnsi="Times New Roman" w:cs="Times New Roman"/>
                <w:color w:val="000000"/>
                <w:sz w:val="20"/>
                <w:szCs w:val="20"/>
              </w:rPr>
            </w:pPr>
          </w:p>
        </w:tc>
        <w:tc>
          <w:tcPr>
            <w:tcW w:w="3150" w:type="dxa"/>
            <w:tcBorders>
              <w:top w:val="single" w:sz="18" w:space="0" w:color="7F7F7F" w:themeColor="text1" w:themeTint="80"/>
              <w:left w:val="nil"/>
              <w:bottom w:val="nil"/>
            </w:tcBorders>
            <w:vAlign w:val="center"/>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Target region (d)</w:t>
            </w:r>
          </w:p>
        </w:tc>
        <w:tc>
          <w:tcPr>
            <w:tcW w:w="1752"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FL24</w:t>
            </w:r>
          </w:p>
        </w:tc>
        <w:tc>
          <w:tcPr>
            <w:tcW w:w="1721"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AZ07</w:t>
            </w:r>
          </w:p>
        </w:tc>
        <w:tc>
          <w:tcPr>
            <w:tcW w:w="1722"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NY14</w:t>
            </w:r>
          </w:p>
        </w:tc>
        <w:tc>
          <w:tcPr>
            <w:tcW w:w="1735" w:type="dxa"/>
            <w:gridSpan w:val="2"/>
            <w:tcBorders>
              <w:top w:val="single" w:sz="18" w:space="0" w:color="7F7F7F" w:themeColor="text1" w:themeTint="80"/>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WA09</w:t>
            </w:r>
          </w:p>
        </w:tc>
        <w:tc>
          <w:tcPr>
            <w:tcW w:w="1847" w:type="dxa"/>
            <w:gridSpan w:val="2"/>
            <w:tcBorders>
              <w:top w:val="single" w:sz="18" w:space="0" w:color="7F7F7F" w:themeColor="text1" w:themeTint="80"/>
              <w:right w:val="nil"/>
            </w:tcBorders>
            <w:vAlign w:val="bottom"/>
          </w:tcPr>
          <w:p w:rsidR="002D1458" w:rsidRPr="00E27213" w:rsidRDefault="002D1458" w:rsidP="001E7F73">
            <w:pPr>
              <w:spacing w:before="0"/>
              <w:jc w:val="center"/>
              <w:rPr>
                <w:rFonts w:ascii="Times New Roman" w:hAnsi="Times New Roman" w:cs="Times New Roman"/>
                <w:color w:val="000000"/>
                <w:sz w:val="20"/>
                <w:szCs w:val="20"/>
              </w:rPr>
            </w:pPr>
            <w:r w:rsidRPr="00E27213">
              <w:rPr>
                <w:rFonts w:ascii="Times New Roman" w:hAnsi="Times New Roman" w:cs="Times New Roman"/>
                <w:color w:val="000000"/>
                <w:sz w:val="20"/>
                <w:szCs w:val="20"/>
              </w:rPr>
              <w:t>Average</w:t>
            </w:r>
          </w:p>
        </w:tc>
      </w:tr>
      <w:tr w:rsidR="002D1458" w:rsidRPr="00E27213" w:rsidTr="001E7F73">
        <w:tc>
          <w:tcPr>
            <w:tcW w:w="495" w:type="dxa"/>
            <w:tcBorders>
              <w:top w:val="nil"/>
              <w:left w:val="nil"/>
              <w:bottom w:val="single" w:sz="18" w:space="0" w:color="7F7F7F" w:themeColor="text1" w:themeTint="80"/>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single" w:sz="18" w:space="0" w:color="7F7F7F" w:themeColor="text1" w:themeTint="80"/>
            </w:tcBorders>
            <w:vAlign w:val="bottom"/>
          </w:tcPr>
          <w:p w:rsidR="002D1458" w:rsidRPr="00E27213" w:rsidRDefault="002D1458" w:rsidP="001E7F73">
            <w:pPr>
              <w:spacing w:before="0"/>
              <w:rPr>
                <w:rFonts w:ascii="Times New Roman" w:hAnsi="Times New Roman" w:cs="Times New Roman"/>
                <w:color w:val="000000"/>
                <w:sz w:val="20"/>
                <w:szCs w:val="20"/>
              </w:rPr>
            </w:pPr>
            <w:r w:rsidRPr="00E27213">
              <w:rPr>
                <w:rFonts w:ascii="Times New Roman" w:hAnsi="Times New Roman" w:cs="Times New Roman"/>
                <w:color w:val="000000"/>
                <w:sz w:val="20"/>
                <w:szCs w:val="20"/>
              </w:rPr>
              <w:t>Implication variables (s)</w:t>
            </w:r>
          </w:p>
        </w:tc>
        <w:tc>
          <w:tcPr>
            <w:tcW w:w="842"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1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21"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22"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0"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831"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04"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c>
          <w:tcPr>
            <w:tcW w:w="916" w:type="dxa"/>
            <w:tcBorders>
              <w:bottom w:val="single" w:sz="18" w:space="0" w:color="7F7F7F" w:themeColor="text1" w:themeTint="80"/>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2015</w:t>
            </w:r>
          </w:p>
        </w:tc>
        <w:tc>
          <w:tcPr>
            <w:tcW w:w="931" w:type="dxa"/>
            <w:tcBorders>
              <w:bottom w:val="single" w:sz="18" w:space="0" w:color="7F7F7F" w:themeColor="text1" w:themeTint="80"/>
              <w:right w:val="nil"/>
            </w:tcBorders>
            <w:vAlign w:val="bottom"/>
          </w:tcPr>
          <w:p w:rsidR="002D1458" w:rsidRPr="00E27213" w:rsidRDefault="002D1458" w:rsidP="001E7F73">
            <w:pPr>
              <w:spacing w:before="0"/>
              <w:jc w:val="right"/>
              <w:rPr>
                <w:rFonts w:ascii="Times New Roman" w:hAnsi="Times New Roman" w:cs="Times New Roman"/>
                <w:color w:val="000000"/>
                <w:sz w:val="20"/>
                <w:szCs w:val="20"/>
              </w:rPr>
            </w:pPr>
            <w:r w:rsidRPr="00E27213">
              <w:rPr>
                <w:rFonts w:ascii="Times New Roman" w:hAnsi="Times New Roman" w:cs="Times New Roman"/>
                <w:color w:val="000000"/>
                <w:sz w:val="20"/>
                <w:szCs w:val="20"/>
              </w:rPr>
              <w:t>2034</w:t>
            </w:r>
          </w:p>
        </w:tc>
      </w:tr>
      <w:tr w:rsidR="002D1458" w:rsidRPr="00F901FE" w:rsidTr="001E7F73">
        <w:tc>
          <w:tcPr>
            <w:tcW w:w="3645" w:type="dxa"/>
            <w:gridSpan w:val="2"/>
            <w:tcBorders>
              <w:top w:val="single" w:sz="18" w:space="0" w:color="7F7F7F" w:themeColor="text1" w:themeTint="80"/>
              <w:left w:val="nil"/>
              <w:bottom w:val="nil"/>
              <w:right w:val="single" w:sz="4" w:space="0" w:color="auto"/>
            </w:tcBorders>
          </w:tcPr>
          <w:p w:rsidR="002D1458" w:rsidRPr="00F901FE" w:rsidRDefault="002D1458" w:rsidP="001E7F73">
            <w:pPr>
              <w:spacing w:before="0"/>
              <w:rPr>
                <w:rFonts w:ascii="Times New Roman" w:hAnsi="Times New Roman" w:cs="Times New Roman"/>
                <w:b/>
                <w:color w:val="000000"/>
                <w:sz w:val="20"/>
                <w:szCs w:val="20"/>
              </w:rPr>
            </w:pPr>
            <w:r w:rsidRPr="00F901FE">
              <w:rPr>
                <w:rFonts w:ascii="Times New Roman" w:hAnsi="Times New Roman" w:cs="Times New Roman"/>
                <w:b/>
                <w:color w:val="000000"/>
                <w:sz w:val="20"/>
                <w:szCs w:val="20"/>
              </w:rPr>
              <w:t>Keynesian</w:t>
            </w:r>
          </w:p>
        </w:tc>
        <w:tc>
          <w:tcPr>
            <w:tcW w:w="842"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single" w:sz="18" w:space="0" w:color="7F7F7F" w:themeColor="text1" w:themeTint="80"/>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single" w:sz="18" w:space="0" w:color="7F7F7F" w:themeColor="text1" w:themeTint="80"/>
              <w:left w:val="single" w:sz="4" w:space="0" w:color="auto"/>
              <w:bottom w:val="nil"/>
              <w:right w:val="nil"/>
            </w:tcBorders>
          </w:tcPr>
          <w:p w:rsidR="002D1458" w:rsidRPr="00F901FE" w:rsidRDefault="002D1458" w:rsidP="001E7F73">
            <w:pPr>
              <w:pStyle w:val="ListParagraph"/>
              <w:tabs>
                <w:tab w:val="decimal" w:pos="339"/>
              </w:tabs>
              <w:spacing w:before="0"/>
              <w:ind w:left="0"/>
              <w:contextualSpacing w:val="0"/>
              <w:rPr>
                <w:rFonts w:ascii="Times New Roman" w:hAnsi="Times New Roman" w:cs="Times New Roman"/>
                <w:sz w:val="20"/>
                <w:szCs w:val="20"/>
              </w:rPr>
            </w:pPr>
          </w:p>
        </w:tc>
        <w:tc>
          <w:tcPr>
            <w:tcW w:w="931" w:type="dxa"/>
            <w:tcBorders>
              <w:top w:val="single" w:sz="18" w:space="0" w:color="7F7F7F" w:themeColor="text1" w:themeTint="80"/>
              <w:left w:val="nil"/>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r>
      <w:tr w:rsidR="002D1458" w:rsidRPr="00F901FE"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National </w:t>
            </w:r>
          </w:p>
        </w:tc>
        <w:tc>
          <w:tcPr>
            <w:tcW w:w="842"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nil"/>
              <w:left w:val="single" w:sz="4" w:space="0" w:color="auto"/>
              <w:bottom w:val="nil"/>
              <w:right w:val="nil"/>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nil"/>
              <w:left w:val="nil"/>
              <w:bottom w:val="nil"/>
              <w:right w:val="single" w:sz="4" w:space="0" w:color="auto"/>
            </w:tcBorders>
          </w:tcPr>
          <w:p w:rsidR="002D1458" w:rsidRPr="00F901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nil"/>
              <w:left w:val="single" w:sz="4" w:space="0" w:color="auto"/>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F901FE" w:rsidRDefault="002D1458" w:rsidP="001E7F73">
            <w:pPr>
              <w:tabs>
                <w:tab w:val="decimal" w:pos="339"/>
              </w:tabs>
              <w:spacing w:before="0"/>
              <w:rPr>
                <w:rFonts w:ascii="Times New Roman" w:hAnsi="Times New Roman" w:cs="Times New Roman"/>
                <w:color w:val="000000"/>
                <w:sz w:val="20"/>
                <w:szCs w:val="20"/>
              </w:rPr>
            </w:pPr>
          </w:p>
        </w:tc>
      </w:tr>
      <w:tr w:rsidR="002D1458" w:rsidTr="001E7F73">
        <w:trPr>
          <w:trHeight w:val="305"/>
        </w:trPr>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1</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GDP</w:t>
            </w:r>
          </w:p>
        </w:tc>
        <w:tc>
          <w:tcPr>
            <w:tcW w:w="84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w:t>
            </w: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0.000</w:t>
            </w:r>
          </w:p>
        </w:tc>
        <w:tc>
          <w:tcPr>
            <w:tcW w:w="82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0.001</w:t>
            </w:r>
          </w:p>
        </w:tc>
        <w:tc>
          <w:tcPr>
            <w:tcW w:w="82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-0.004</w:t>
            </w:r>
          </w:p>
        </w:tc>
        <w:tc>
          <w:tcPr>
            <w:tcW w:w="83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w:t>
            </w: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-0.004</w:t>
            </w:r>
          </w:p>
        </w:tc>
        <w:tc>
          <w:tcPr>
            <w:tcW w:w="916"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w:t>
            </w: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-0.001</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w:t>
            </w: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0.000</w:t>
            </w:r>
          </w:p>
        </w:tc>
        <w:tc>
          <w:tcPr>
            <w:tcW w:w="82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0.001</w:t>
            </w:r>
          </w:p>
        </w:tc>
        <w:tc>
          <w:tcPr>
            <w:tcW w:w="82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-0.005</w:t>
            </w:r>
          </w:p>
        </w:tc>
        <w:tc>
          <w:tcPr>
            <w:tcW w:w="83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w:t>
            </w: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-0.004</w:t>
            </w:r>
          </w:p>
        </w:tc>
        <w:tc>
          <w:tcPr>
            <w:tcW w:w="916"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w:t>
            </w: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-0.002</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3a</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0.05 discount rate</w:t>
            </w:r>
          </w:p>
        </w:tc>
        <w:tc>
          <w:tcPr>
            <w:tcW w:w="84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0.000</w:t>
            </w:r>
          </w:p>
        </w:tc>
        <w:tc>
          <w:tcPr>
            <w:tcW w:w="82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0.000</w:t>
            </w:r>
          </w:p>
        </w:tc>
        <w:tc>
          <w:tcPr>
            <w:tcW w:w="82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0.000</w:t>
            </w:r>
          </w:p>
        </w:tc>
        <w:tc>
          <w:tcPr>
            <w:tcW w:w="83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0.000</w:t>
            </w:r>
          </w:p>
        </w:tc>
        <w:tc>
          <w:tcPr>
            <w:tcW w:w="916"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0.000</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3b</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0.02 discount rate</w:t>
            </w:r>
          </w:p>
        </w:tc>
        <w:tc>
          <w:tcPr>
            <w:tcW w:w="84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0.000</w:t>
            </w:r>
          </w:p>
        </w:tc>
        <w:tc>
          <w:tcPr>
            <w:tcW w:w="82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0.001</w:t>
            </w:r>
          </w:p>
        </w:tc>
        <w:tc>
          <w:tcPr>
            <w:tcW w:w="82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-0.001</w:t>
            </w:r>
          </w:p>
        </w:tc>
        <w:tc>
          <w:tcPr>
            <w:tcW w:w="83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0.000</w:t>
            </w:r>
          </w:p>
        </w:tc>
        <w:tc>
          <w:tcPr>
            <w:tcW w:w="916"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0.000</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Target region </w:t>
            </w:r>
          </w:p>
        </w:tc>
        <w:tc>
          <w:tcPr>
            <w:tcW w:w="84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82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82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83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16"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4</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GRP</w:t>
            </w:r>
          </w:p>
        </w:tc>
        <w:tc>
          <w:tcPr>
            <w:tcW w:w="84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-0.72</w:t>
            </w: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-1.445</w:t>
            </w:r>
          </w:p>
        </w:tc>
        <w:tc>
          <w:tcPr>
            <w:tcW w:w="82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-0.83</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-1.528</w:t>
            </w:r>
          </w:p>
        </w:tc>
        <w:tc>
          <w:tcPr>
            <w:tcW w:w="82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-0.85</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-1.533</w:t>
            </w:r>
          </w:p>
        </w:tc>
        <w:tc>
          <w:tcPr>
            <w:tcW w:w="83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-0.82</w:t>
            </w: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-1.506</w:t>
            </w:r>
          </w:p>
        </w:tc>
        <w:tc>
          <w:tcPr>
            <w:tcW w:w="916"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-0.81</w:t>
            </w: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-1.503</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5</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-0.83</w:t>
            </w: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-1.669</w:t>
            </w:r>
          </w:p>
        </w:tc>
        <w:tc>
          <w:tcPr>
            <w:tcW w:w="82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-0.91</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-1.651</w:t>
            </w:r>
          </w:p>
        </w:tc>
        <w:tc>
          <w:tcPr>
            <w:tcW w:w="82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-0.92</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-1.639</w:t>
            </w:r>
          </w:p>
        </w:tc>
        <w:tc>
          <w:tcPr>
            <w:tcW w:w="83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-0.90</w:t>
            </w: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-1.649</w:t>
            </w:r>
          </w:p>
        </w:tc>
        <w:tc>
          <w:tcPr>
            <w:tcW w:w="916"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-0.89</w:t>
            </w: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-1.652</w:t>
            </w:r>
          </w:p>
        </w:tc>
      </w:tr>
      <w:tr w:rsidR="002D1458" w:rsidRPr="00857A94" w:rsidTr="001E7F73">
        <w:tc>
          <w:tcPr>
            <w:tcW w:w="3645" w:type="dxa"/>
            <w:gridSpan w:val="2"/>
            <w:tcBorders>
              <w:top w:val="single" w:sz="18" w:space="0" w:color="7F7F7F" w:themeColor="text1" w:themeTint="80"/>
              <w:left w:val="nil"/>
              <w:bottom w:val="nil"/>
              <w:right w:val="single" w:sz="4" w:space="0" w:color="auto"/>
            </w:tcBorders>
          </w:tcPr>
          <w:p w:rsidR="002D1458" w:rsidRPr="00F901FE" w:rsidRDefault="002D1458" w:rsidP="001E7F73">
            <w:pPr>
              <w:spacing w:before="0"/>
              <w:rPr>
                <w:rFonts w:ascii="Times New Roman" w:hAnsi="Times New Roman" w:cs="Times New Roman"/>
                <w:b/>
                <w:color w:val="000000"/>
                <w:sz w:val="20"/>
                <w:szCs w:val="20"/>
              </w:rPr>
            </w:pPr>
            <w:r w:rsidRPr="00F901FE">
              <w:rPr>
                <w:rFonts w:ascii="Times New Roman" w:hAnsi="Times New Roman" w:cs="Times New Roman"/>
                <w:b/>
                <w:color w:val="000000"/>
                <w:sz w:val="20"/>
                <w:szCs w:val="20"/>
              </w:rPr>
              <w:t>Neoclassical</w:t>
            </w:r>
          </w:p>
        </w:tc>
        <w:tc>
          <w:tcPr>
            <w:tcW w:w="842" w:type="dxa"/>
            <w:tcBorders>
              <w:top w:val="single" w:sz="18" w:space="0" w:color="7F7F7F" w:themeColor="text1" w:themeTint="80"/>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single" w:sz="18" w:space="0" w:color="7F7F7F" w:themeColor="text1" w:themeTint="80"/>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single" w:sz="18" w:space="0" w:color="7F7F7F" w:themeColor="text1" w:themeTint="80"/>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single" w:sz="18" w:space="0" w:color="7F7F7F" w:themeColor="text1" w:themeTint="80"/>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single" w:sz="18" w:space="0" w:color="7F7F7F" w:themeColor="text1" w:themeTint="80"/>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single" w:sz="18" w:space="0" w:color="7F7F7F" w:themeColor="text1" w:themeTint="80"/>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single" w:sz="18" w:space="0" w:color="7F7F7F" w:themeColor="text1" w:themeTint="80"/>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single" w:sz="18" w:space="0" w:color="7F7F7F" w:themeColor="text1" w:themeTint="80"/>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31" w:type="dxa"/>
            <w:tcBorders>
              <w:top w:val="single" w:sz="18" w:space="0" w:color="7F7F7F" w:themeColor="text1" w:themeTint="80"/>
              <w:left w:val="nil"/>
              <w:bottom w:val="nil"/>
              <w:right w:val="nil"/>
            </w:tcBorders>
          </w:tcPr>
          <w:p w:rsidR="002D1458" w:rsidRPr="00A520FE" w:rsidRDefault="002D1458" w:rsidP="001E7F73">
            <w:pPr>
              <w:pStyle w:val="ListParagraph"/>
              <w:tabs>
                <w:tab w:val="decimal" w:pos="339"/>
              </w:tabs>
              <w:spacing w:before="0"/>
              <w:ind w:left="0"/>
              <w:contextualSpacing w:val="0"/>
              <w:rPr>
                <w:rFonts w:ascii="Times New Roman" w:hAnsi="Times New Roman" w:cs="Times New Roman"/>
                <w:sz w:val="20"/>
                <w:szCs w:val="20"/>
              </w:rPr>
            </w:pPr>
          </w:p>
        </w:tc>
      </w:tr>
      <w:tr w:rsidR="002D1458" w:rsidRPr="00857A94"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National </w:t>
            </w:r>
          </w:p>
        </w:tc>
        <w:tc>
          <w:tcPr>
            <w:tcW w:w="842" w:type="dxa"/>
            <w:tcBorders>
              <w:top w:val="nil"/>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0" w:type="dxa"/>
            <w:tcBorders>
              <w:top w:val="nil"/>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1" w:type="dxa"/>
            <w:tcBorders>
              <w:top w:val="nil"/>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22" w:type="dxa"/>
            <w:tcBorders>
              <w:top w:val="nil"/>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0" w:type="dxa"/>
            <w:tcBorders>
              <w:top w:val="nil"/>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831" w:type="dxa"/>
            <w:tcBorders>
              <w:top w:val="nil"/>
              <w:left w:val="single" w:sz="4" w:space="0" w:color="auto"/>
              <w:bottom w:val="nil"/>
              <w:right w:val="nil"/>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04" w:type="dxa"/>
            <w:tcBorders>
              <w:top w:val="nil"/>
              <w:left w:val="nil"/>
              <w:bottom w:val="nil"/>
              <w:right w:val="single" w:sz="4" w:space="0" w:color="auto"/>
            </w:tcBorders>
          </w:tcPr>
          <w:p w:rsidR="002D1458" w:rsidRPr="00A520FE" w:rsidRDefault="002D1458" w:rsidP="001E7F73">
            <w:pPr>
              <w:pStyle w:val="ListParagraph"/>
              <w:tabs>
                <w:tab w:val="decimal" w:pos="340"/>
              </w:tabs>
              <w:spacing w:before="0"/>
              <w:ind w:left="0"/>
              <w:contextualSpacing w:val="0"/>
              <w:rPr>
                <w:rFonts w:ascii="Times New Roman" w:hAnsi="Times New Roman" w:cs="Times New Roman"/>
                <w:sz w:val="20"/>
                <w:szCs w:val="20"/>
              </w:rPr>
            </w:pPr>
          </w:p>
        </w:tc>
        <w:tc>
          <w:tcPr>
            <w:tcW w:w="916" w:type="dxa"/>
            <w:tcBorders>
              <w:top w:val="nil"/>
              <w:left w:val="single" w:sz="4" w:space="0" w:color="auto"/>
              <w:bottom w:val="nil"/>
              <w:right w:val="nil"/>
            </w:tcBorders>
            <w:vAlign w:val="bottom"/>
          </w:tcPr>
          <w:p w:rsidR="002D1458" w:rsidRPr="00A520FE" w:rsidRDefault="002D1458" w:rsidP="001E7F73">
            <w:pPr>
              <w:tabs>
                <w:tab w:val="decimal" w:pos="339"/>
              </w:tabs>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A520FE" w:rsidRDefault="002D1458" w:rsidP="001E7F73">
            <w:pPr>
              <w:tabs>
                <w:tab w:val="decimal" w:pos="339"/>
              </w:tabs>
              <w:spacing w:before="0"/>
              <w:rPr>
                <w:rFonts w:ascii="Times New Roman" w:hAnsi="Times New Roman" w:cs="Times New Roman"/>
                <w:color w:val="000000"/>
                <w:sz w:val="20"/>
                <w:szCs w:val="20"/>
              </w:rPr>
            </w:pPr>
          </w:p>
        </w:tc>
      </w:tr>
      <w:tr w:rsidR="002D1458" w:rsidTr="001E7F73">
        <w:trPr>
          <w:trHeight w:val="305"/>
        </w:trPr>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1</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GDP</w:t>
            </w:r>
          </w:p>
        </w:tc>
        <w:tc>
          <w:tcPr>
            <w:tcW w:w="84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w:t>
            </w: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0.000</w:t>
            </w:r>
          </w:p>
        </w:tc>
        <w:tc>
          <w:tcPr>
            <w:tcW w:w="82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0.001</w:t>
            </w:r>
          </w:p>
        </w:tc>
        <w:tc>
          <w:tcPr>
            <w:tcW w:w="82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-0.004</w:t>
            </w:r>
          </w:p>
        </w:tc>
        <w:tc>
          <w:tcPr>
            <w:tcW w:w="83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w:t>
            </w: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-0.004</w:t>
            </w:r>
          </w:p>
        </w:tc>
        <w:tc>
          <w:tcPr>
            <w:tcW w:w="916"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w:t>
            </w: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-0.002</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2</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w:t>
            </w: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0.000</w:t>
            </w:r>
          </w:p>
        </w:tc>
        <w:tc>
          <w:tcPr>
            <w:tcW w:w="82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0.001</w:t>
            </w:r>
          </w:p>
        </w:tc>
        <w:tc>
          <w:tcPr>
            <w:tcW w:w="82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-0.005</w:t>
            </w:r>
          </w:p>
        </w:tc>
        <w:tc>
          <w:tcPr>
            <w:tcW w:w="83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w:t>
            </w: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-0.004</w:t>
            </w:r>
          </w:p>
        </w:tc>
        <w:tc>
          <w:tcPr>
            <w:tcW w:w="916"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w:t>
            </w: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-0.002</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3a</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0.05 discount rate</w:t>
            </w:r>
          </w:p>
        </w:tc>
        <w:tc>
          <w:tcPr>
            <w:tcW w:w="84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0.000</w:t>
            </w:r>
          </w:p>
        </w:tc>
        <w:tc>
          <w:tcPr>
            <w:tcW w:w="82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0.000</w:t>
            </w:r>
          </w:p>
        </w:tc>
        <w:tc>
          <w:tcPr>
            <w:tcW w:w="82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0.000</w:t>
            </w:r>
          </w:p>
        </w:tc>
        <w:tc>
          <w:tcPr>
            <w:tcW w:w="83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0.000</w:t>
            </w:r>
          </w:p>
        </w:tc>
        <w:tc>
          <w:tcPr>
            <w:tcW w:w="916"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0.000</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3b</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Welfare</w:t>
            </w:r>
            <w:r>
              <w:rPr>
                <w:rFonts w:ascii="Times New Roman" w:hAnsi="Times New Roman" w:cs="Times New Roman"/>
                <w:color w:val="000000"/>
                <w:sz w:val="20"/>
                <w:szCs w:val="20"/>
              </w:rPr>
              <w:t>, 0.02 discount rate</w:t>
            </w:r>
          </w:p>
        </w:tc>
        <w:tc>
          <w:tcPr>
            <w:tcW w:w="84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0.000</w:t>
            </w:r>
          </w:p>
        </w:tc>
        <w:tc>
          <w:tcPr>
            <w:tcW w:w="82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0.000</w:t>
            </w:r>
          </w:p>
        </w:tc>
        <w:tc>
          <w:tcPr>
            <w:tcW w:w="82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-0.001</w:t>
            </w:r>
          </w:p>
        </w:tc>
        <w:tc>
          <w:tcPr>
            <w:tcW w:w="83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0.000</w:t>
            </w:r>
          </w:p>
        </w:tc>
        <w:tc>
          <w:tcPr>
            <w:tcW w:w="916"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0.000</w:t>
            </w: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i/>
                <w:color w:val="000000"/>
                <w:sz w:val="20"/>
                <w:szCs w:val="20"/>
              </w:rPr>
            </w:pPr>
            <w:r w:rsidRPr="00F901FE">
              <w:rPr>
                <w:rFonts w:ascii="Times New Roman" w:hAnsi="Times New Roman" w:cs="Times New Roman"/>
                <w:i/>
                <w:color w:val="000000"/>
                <w:sz w:val="20"/>
                <w:szCs w:val="20"/>
              </w:rPr>
              <w:t xml:space="preserve">Target region </w:t>
            </w:r>
          </w:p>
        </w:tc>
        <w:tc>
          <w:tcPr>
            <w:tcW w:w="84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1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82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822"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0"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831"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04" w:type="dxa"/>
            <w:tcBorders>
              <w:top w:val="nil"/>
              <w:left w:val="nil"/>
              <w:bottom w:val="nil"/>
              <w:right w:val="single" w:sz="4" w:space="0" w:color="auto"/>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16" w:type="dxa"/>
            <w:tcBorders>
              <w:top w:val="nil"/>
              <w:left w:val="single" w:sz="4" w:space="0" w:color="auto"/>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c>
          <w:tcPr>
            <w:tcW w:w="931" w:type="dxa"/>
            <w:tcBorders>
              <w:top w:val="nil"/>
              <w:left w:val="nil"/>
              <w:bottom w:val="nil"/>
              <w:right w:val="nil"/>
            </w:tcBorders>
            <w:vAlign w:val="bottom"/>
          </w:tcPr>
          <w:p w:rsidR="002D1458" w:rsidRPr="00A520FE" w:rsidRDefault="002D1458" w:rsidP="001E7F73">
            <w:pPr>
              <w:spacing w:before="0"/>
              <w:rPr>
                <w:rFonts w:ascii="Times New Roman" w:hAnsi="Times New Roman" w:cs="Times New Roman"/>
                <w:color w:val="000000"/>
                <w:sz w:val="20"/>
                <w:szCs w:val="20"/>
              </w:rPr>
            </w:pPr>
          </w:p>
        </w:tc>
      </w:tr>
      <w:tr w:rsidR="002D1458" w:rsidTr="001E7F73">
        <w:tc>
          <w:tcPr>
            <w:tcW w:w="495" w:type="dxa"/>
            <w:tcBorders>
              <w:top w:val="nil"/>
              <w:left w:val="nil"/>
              <w:bottom w:val="nil"/>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4</w:t>
            </w:r>
          </w:p>
        </w:tc>
        <w:tc>
          <w:tcPr>
            <w:tcW w:w="3150" w:type="dxa"/>
            <w:tcBorders>
              <w:top w:val="nil"/>
              <w:left w:val="nil"/>
              <w:bottom w:val="nil"/>
              <w:right w:val="single" w:sz="4" w:space="0" w:color="auto"/>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GRP</w:t>
            </w:r>
          </w:p>
        </w:tc>
        <w:tc>
          <w:tcPr>
            <w:tcW w:w="84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-0.27</w:t>
            </w:r>
          </w:p>
        </w:tc>
        <w:tc>
          <w:tcPr>
            <w:tcW w:w="91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-1.448</w:t>
            </w:r>
          </w:p>
        </w:tc>
        <w:tc>
          <w:tcPr>
            <w:tcW w:w="82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-0.28</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-1.532</w:t>
            </w:r>
          </w:p>
        </w:tc>
        <w:tc>
          <w:tcPr>
            <w:tcW w:w="822"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-0.28</w:t>
            </w:r>
          </w:p>
        </w:tc>
        <w:tc>
          <w:tcPr>
            <w:tcW w:w="900"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-1.537</w:t>
            </w:r>
          </w:p>
        </w:tc>
        <w:tc>
          <w:tcPr>
            <w:tcW w:w="831"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-0.27</w:t>
            </w:r>
          </w:p>
        </w:tc>
        <w:tc>
          <w:tcPr>
            <w:tcW w:w="904" w:type="dxa"/>
            <w:tcBorders>
              <w:top w:val="nil"/>
              <w:left w:val="nil"/>
              <w:bottom w:val="nil"/>
              <w:right w:val="single" w:sz="4" w:space="0" w:color="auto"/>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-1.510</w:t>
            </w:r>
          </w:p>
        </w:tc>
        <w:tc>
          <w:tcPr>
            <w:tcW w:w="916" w:type="dxa"/>
            <w:tcBorders>
              <w:top w:val="nil"/>
              <w:left w:val="single" w:sz="4" w:space="0" w:color="auto"/>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-0.27</w:t>
            </w:r>
          </w:p>
        </w:tc>
        <w:tc>
          <w:tcPr>
            <w:tcW w:w="931" w:type="dxa"/>
            <w:tcBorders>
              <w:top w:val="nil"/>
              <w:left w:val="nil"/>
              <w:bottom w:val="nil"/>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-1.507</w:t>
            </w:r>
          </w:p>
        </w:tc>
      </w:tr>
      <w:tr w:rsidR="002D1458" w:rsidTr="001E7F73">
        <w:tc>
          <w:tcPr>
            <w:tcW w:w="495" w:type="dxa"/>
            <w:tcBorders>
              <w:top w:val="nil"/>
              <w:left w:val="nil"/>
              <w:bottom w:val="single" w:sz="18" w:space="0" w:color="7F7F7F" w:themeColor="text1" w:themeTint="80"/>
              <w:right w:val="nil"/>
            </w:tcBorders>
          </w:tcPr>
          <w:p w:rsidR="002D1458" w:rsidRPr="00E27213" w:rsidRDefault="002D1458" w:rsidP="001E7F73">
            <w:pPr>
              <w:pStyle w:val="ListParagraph"/>
              <w:spacing w:before="0"/>
              <w:ind w:left="0"/>
              <w:contextualSpacing w:val="0"/>
              <w:jc w:val="center"/>
              <w:rPr>
                <w:rFonts w:ascii="Times New Roman" w:hAnsi="Times New Roman" w:cs="Times New Roman"/>
                <w:sz w:val="20"/>
                <w:szCs w:val="20"/>
              </w:rPr>
            </w:pPr>
            <w:r>
              <w:rPr>
                <w:rFonts w:ascii="Times New Roman" w:hAnsi="Times New Roman" w:cs="Times New Roman"/>
                <w:sz w:val="20"/>
                <w:szCs w:val="20"/>
              </w:rPr>
              <w:t>5</w:t>
            </w:r>
          </w:p>
        </w:tc>
        <w:tc>
          <w:tcPr>
            <w:tcW w:w="3150" w:type="dxa"/>
            <w:tcBorders>
              <w:top w:val="nil"/>
              <w:left w:val="nil"/>
              <w:bottom w:val="single" w:sz="18" w:space="0" w:color="7F7F7F" w:themeColor="text1" w:themeTint="80"/>
              <w:right w:val="single" w:sz="4" w:space="0" w:color="000000" w:themeColor="text1"/>
            </w:tcBorders>
            <w:vAlign w:val="bottom"/>
          </w:tcPr>
          <w:p w:rsidR="002D1458" w:rsidRPr="00F901FE" w:rsidRDefault="002D1458" w:rsidP="001E7F73">
            <w:pPr>
              <w:spacing w:before="0"/>
              <w:rPr>
                <w:rFonts w:ascii="Times New Roman" w:hAnsi="Times New Roman" w:cs="Times New Roman"/>
                <w:color w:val="000000"/>
                <w:sz w:val="20"/>
                <w:szCs w:val="20"/>
              </w:rPr>
            </w:pPr>
            <w:r w:rsidRPr="00F901FE">
              <w:rPr>
                <w:rFonts w:ascii="Times New Roman" w:hAnsi="Times New Roman" w:cs="Times New Roman"/>
                <w:color w:val="000000"/>
                <w:sz w:val="20"/>
                <w:szCs w:val="20"/>
              </w:rPr>
              <w:t xml:space="preserve">    Employment</w:t>
            </w:r>
          </w:p>
        </w:tc>
        <w:tc>
          <w:tcPr>
            <w:tcW w:w="842" w:type="dxa"/>
            <w:tcBorders>
              <w:top w:val="nil"/>
              <w:left w:val="single" w:sz="4" w:space="0" w:color="000000" w:themeColor="text1"/>
              <w:bottom w:val="single" w:sz="18" w:space="0" w:color="7F7F7F" w:themeColor="text1" w:themeTint="80"/>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-0.46</w:t>
            </w:r>
          </w:p>
        </w:tc>
        <w:tc>
          <w:tcPr>
            <w:tcW w:w="910" w:type="dxa"/>
            <w:tcBorders>
              <w:top w:val="nil"/>
              <w:left w:val="nil"/>
              <w:bottom w:val="single" w:sz="18" w:space="0" w:color="7F7F7F" w:themeColor="text1" w:themeTint="80"/>
              <w:right w:val="single" w:sz="4" w:space="0" w:color="000000" w:themeColor="text1"/>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-1.670</w:t>
            </w:r>
          </w:p>
        </w:tc>
        <w:tc>
          <w:tcPr>
            <w:tcW w:w="821" w:type="dxa"/>
            <w:tcBorders>
              <w:top w:val="nil"/>
              <w:left w:val="single" w:sz="4" w:space="0" w:color="000000" w:themeColor="text1"/>
              <w:bottom w:val="single" w:sz="18" w:space="0" w:color="7F7F7F" w:themeColor="text1" w:themeTint="80"/>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-0.46</w:t>
            </w:r>
          </w:p>
        </w:tc>
        <w:tc>
          <w:tcPr>
            <w:tcW w:w="900" w:type="dxa"/>
            <w:tcBorders>
              <w:top w:val="nil"/>
              <w:left w:val="nil"/>
              <w:bottom w:val="single" w:sz="18" w:space="0" w:color="7F7F7F" w:themeColor="text1" w:themeTint="80"/>
              <w:right w:val="single" w:sz="4" w:space="0" w:color="000000" w:themeColor="text1"/>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-1.651</w:t>
            </w:r>
          </w:p>
        </w:tc>
        <w:tc>
          <w:tcPr>
            <w:tcW w:w="822" w:type="dxa"/>
            <w:tcBorders>
              <w:top w:val="nil"/>
              <w:left w:val="single" w:sz="4" w:space="0" w:color="000000" w:themeColor="text1"/>
              <w:bottom w:val="single" w:sz="18" w:space="0" w:color="7F7F7F" w:themeColor="text1" w:themeTint="80"/>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-0.46</w:t>
            </w:r>
          </w:p>
        </w:tc>
        <w:tc>
          <w:tcPr>
            <w:tcW w:w="900" w:type="dxa"/>
            <w:tcBorders>
              <w:top w:val="nil"/>
              <w:left w:val="nil"/>
              <w:bottom w:val="single" w:sz="18" w:space="0" w:color="7F7F7F" w:themeColor="text1" w:themeTint="80"/>
              <w:right w:val="single" w:sz="4" w:space="0" w:color="000000" w:themeColor="text1"/>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-1.639</w:t>
            </w:r>
          </w:p>
        </w:tc>
        <w:tc>
          <w:tcPr>
            <w:tcW w:w="831" w:type="dxa"/>
            <w:tcBorders>
              <w:top w:val="nil"/>
              <w:left w:val="single" w:sz="4" w:space="0" w:color="000000" w:themeColor="text1"/>
              <w:bottom w:val="single" w:sz="18" w:space="0" w:color="7F7F7F" w:themeColor="text1" w:themeTint="80"/>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-0.46</w:t>
            </w:r>
          </w:p>
        </w:tc>
        <w:tc>
          <w:tcPr>
            <w:tcW w:w="904" w:type="dxa"/>
            <w:tcBorders>
              <w:top w:val="nil"/>
              <w:left w:val="nil"/>
              <w:bottom w:val="single" w:sz="18" w:space="0" w:color="7F7F7F" w:themeColor="text1" w:themeTint="80"/>
              <w:right w:val="single" w:sz="4" w:space="0" w:color="000000" w:themeColor="text1"/>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-1.649</w:t>
            </w:r>
          </w:p>
        </w:tc>
        <w:tc>
          <w:tcPr>
            <w:tcW w:w="916" w:type="dxa"/>
            <w:tcBorders>
              <w:top w:val="nil"/>
              <w:left w:val="single" w:sz="4" w:space="0" w:color="000000" w:themeColor="text1"/>
              <w:bottom w:val="single" w:sz="18" w:space="0" w:color="7F7F7F" w:themeColor="text1" w:themeTint="80"/>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-0.46</w:t>
            </w:r>
          </w:p>
        </w:tc>
        <w:tc>
          <w:tcPr>
            <w:tcW w:w="931" w:type="dxa"/>
            <w:tcBorders>
              <w:top w:val="nil"/>
              <w:left w:val="nil"/>
              <w:bottom w:val="single" w:sz="18" w:space="0" w:color="7F7F7F" w:themeColor="text1" w:themeTint="80"/>
              <w:right w:val="nil"/>
            </w:tcBorders>
            <w:vAlign w:val="bottom"/>
          </w:tcPr>
          <w:p w:rsidR="002D1458" w:rsidRPr="00A520FE" w:rsidRDefault="002D1458" w:rsidP="001E7F73">
            <w:pPr>
              <w:spacing w:before="0"/>
              <w:jc w:val="right"/>
              <w:rPr>
                <w:rFonts w:ascii="Times New Roman" w:hAnsi="Times New Roman" w:cs="Times New Roman"/>
                <w:color w:val="000000"/>
                <w:sz w:val="20"/>
                <w:szCs w:val="20"/>
              </w:rPr>
            </w:pPr>
            <w:r w:rsidRPr="00A520FE">
              <w:rPr>
                <w:rFonts w:ascii="Times New Roman" w:hAnsi="Times New Roman" w:cs="Times New Roman"/>
                <w:color w:val="000000"/>
                <w:sz w:val="20"/>
                <w:szCs w:val="20"/>
              </w:rPr>
              <w:t>-1.652</w:t>
            </w:r>
          </w:p>
        </w:tc>
      </w:tr>
    </w:tbl>
    <w:p w:rsidR="002D1458" w:rsidRPr="00696CAD" w:rsidRDefault="002D1458" w:rsidP="002D1458">
      <w:pPr>
        <w:pStyle w:val="ListParagraph"/>
        <w:ind w:left="900" w:hanging="900"/>
        <w:contextualSpacing w:val="0"/>
        <w:rPr>
          <w:rFonts w:ascii="Times New Roman" w:hAnsi="Times New Roman" w:cs="Times New Roman"/>
          <w:b/>
          <w:sz w:val="24"/>
          <w:szCs w:val="24"/>
        </w:rPr>
      </w:pPr>
      <w:r w:rsidRPr="00696CAD">
        <w:rPr>
          <w:rFonts w:ascii="Times New Roman" w:hAnsi="Times New Roman" w:cs="Times New Roman"/>
          <w:b/>
          <w:sz w:val="24"/>
          <w:szCs w:val="24"/>
        </w:rPr>
        <w:t xml:space="preserve">Relevant variables.  </w:t>
      </w:r>
    </w:p>
    <w:p w:rsidR="002D1458" w:rsidRPr="00EA5332" w:rsidRDefault="002D1458" w:rsidP="002D1458">
      <w:pPr>
        <w:pStyle w:val="ListParagraph"/>
        <w:ind w:left="900" w:hanging="900"/>
        <w:contextualSpacing w:val="0"/>
        <w:rPr>
          <w:rFonts w:ascii="Times New Roman" w:hAnsi="Times New Roman" w:cs="Times New Roman"/>
          <w:sz w:val="24"/>
          <w:szCs w:val="24"/>
        </w:rPr>
      </w:pPr>
      <w:r w:rsidRPr="00EA5332">
        <w:rPr>
          <w:rFonts w:ascii="Times New Roman" w:hAnsi="Times New Roman" w:cs="Times New Roman"/>
          <w:b/>
          <w:i/>
          <w:sz w:val="24"/>
          <w:szCs w:val="24"/>
        </w:rPr>
        <w:t xml:space="preserve">National:  </w:t>
      </w:r>
      <w:r>
        <w:rPr>
          <w:rFonts w:ascii="Times New Roman" w:hAnsi="Times New Roman" w:cs="Times New Roman"/>
          <w:sz w:val="24"/>
          <w:szCs w:val="24"/>
        </w:rPr>
        <w:t>The shock is aversion to working in the target region, introduced in the simulations by an inward movement of the labor-supply curve to that region.  We anticipate no discernable effect on national variables</w:t>
      </w:r>
      <w:r w:rsidRPr="00EA5332">
        <w:rPr>
          <w:rFonts w:ascii="Times New Roman" w:hAnsi="Times New Roman" w:cs="Times New Roman"/>
          <w:sz w:val="24"/>
          <w:szCs w:val="24"/>
        </w:rPr>
        <w:t xml:space="preserve">.  </w:t>
      </w:r>
      <w:r>
        <w:rPr>
          <w:rFonts w:ascii="Times New Roman" w:hAnsi="Times New Roman" w:cs="Times New Roman"/>
          <w:sz w:val="24"/>
          <w:szCs w:val="24"/>
        </w:rPr>
        <w:t xml:space="preserve">Consequently, we set the RV at zero.  </w:t>
      </w:r>
      <w:r w:rsidRPr="00EA5332">
        <w:rPr>
          <w:rFonts w:ascii="Times New Roman" w:hAnsi="Times New Roman" w:cs="Times New Roman"/>
          <w:sz w:val="24"/>
          <w:szCs w:val="24"/>
        </w:rPr>
        <w:t xml:space="preserve">   </w:t>
      </w:r>
    </w:p>
    <w:p w:rsidR="002D1458" w:rsidRDefault="002D1458" w:rsidP="002D1458">
      <w:pPr>
        <w:rPr>
          <w:rFonts w:ascii="Times New Roman" w:hAnsi="Times New Roman" w:cs="Times New Roman"/>
          <w:sz w:val="24"/>
          <w:szCs w:val="24"/>
        </w:rPr>
      </w:pPr>
      <w:r w:rsidRPr="00EA5332">
        <w:rPr>
          <w:rFonts w:ascii="Times New Roman" w:hAnsi="Times New Roman" w:cs="Times New Roman"/>
          <w:b/>
          <w:i/>
          <w:sz w:val="24"/>
          <w:szCs w:val="24"/>
        </w:rPr>
        <w:t>Regional:</w:t>
      </w:r>
      <w:r w:rsidRPr="00EA5332">
        <w:rPr>
          <w:rFonts w:ascii="Times New Roman" w:hAnsi="Times New Roman" w:cs="Times New Roman"/>
          <w:sz w:val="24"/>
          <w:szCs w:val="24"/>
        </w:rPr>
        <w:t xml:space="preserve">  </w:t>
      </w:r>
      <w:r>
        <w:rPr>
          <w:rFonts w:ascii="Times New Roman" w:hAnsi="Times New Roman" w:cs="Times New Roman"/>
          <w:sz w:val="24"/>
          <w:szCs w:val="24"/>
        </w:rPr>
        <w:t>Labor share in target region’s GRP</w:t>
      </w:r>
    </w:p>
    <w:p w:rsidR="002D1458" w:rsidRDefault="002D1458" w:rsidP="000418E3">
      <w:pPr>
        <w:rPr>
          <w:rFonts w:ascii="Times New Roman" w:hAnsi="Times New Roman" w:cs="Times New Roman"/>
          <w:sz w:val="24"/>
          <w:szCs w:val="24"/>
        </w:rPr>
      </w:pPr>
    </w:p>
    <w:p w:rsidR="002D1458" w:rsidRDefault="002D1458" w:rsidP="000418E3">
      <w:pPr>
        <w:rPr>
          <w:rFonts w:ascii="Times New Roman" w:hAnsi="Times New Roman" w:cs="Times New Roman"/>
          <w:sz w:val="24"/>
          <w:szCs w:val="24"/>
        </w:rPr>
        <w:sectPr w:rsidR="002D1458" w:rsidSect="002D1458">
          <w:pgSz w:w="16838" w:h="11906" w:orient="landscape"/>
          <w:pgMar w:top="1440" w:right="1440" w:bottom="1440" w:left="1440" w:header="708" w:footer="708" w:gutter="0"/>
          <w:cols w:space="708"/>
          <w:docGrid w:linePitch="360"/>
        </w:sectPr>
      </w:pPr>
    </w:p>
    <w:p w:rsidR="00076152" w:rsidRPr="00076152" w:rsidRDefault="00673C6A" w:rsidP="00076152">
      <w:pPr>
        <w:rPr>
          <w:rFonts w:ascii="Times New Roman" w:hAnsi="Times New Roman" w:cs="Times New Roman"/>
          <w:b/>
          <w:i/>
          <w:sz w:val="24"/>
          <w:szCs w:val="24"/>
        </w:rPr>
      </w:pPr>
      <w:r>
        <w:rPr>
          <w:rFonts w:ascii="Times New Roman" w:hAnsi="Times New Roman" w:cs="Times New Roman"/>
          <w:b/>
          <w:i/>
          <w:sz w:val="24"/>
          <w:szCs w:val="24"/>
        </w:rPr>
        <w:lastRenderedPageBreak/>
        <w:t xml:space="preserve">A1.1.  </w:t>
      </w:r>
      <w:r w:rsidR="00076152" w:rsidRPr="00076152">
        <w:rPr>
          <w:rFonts w:ascii="Times New Roman" w:hAnsi="Times New Roman" w:cs="Times New Roman"/>
          <w:b/>
          <w:i/>
          <w:sz w:val="24"/>
          <w:szCs w:val="24"/>
        </w:rPr>
        <w:t>Over</w:t>
      </w:r>
      <w:r w:rsidR="00076152">
        <w:rPr>
          <w:rFonts w:ascii="Times New Roman" w:hAnsi="Times New Roman" w:cs="Times New Roman"/>
          <w:b/>
          <w:i/>
          <w:sz w:val="24"/>
          <w:szCs w:val="24"/>
        </w:rPr>
        <w:t>view of results for the proportionality coefficients</w:t>
      </w:r>
    </w:p>
    <w:p w:rsidR="00077E2D" w:rsidRDefault="00077E2D" w:rsidP="00C9706F">
      <w:pPr>
        <w:rPr>
          <w:rFonts w:ascii="Times New Roman" w:hAnsi="Times New Roman" w:cs="Times New Roman"/>
          <w:sz w:val="24"/>
          <w:szCs w:val="24"/>
        </w:rPr>
      </w:pPr>
      <w:r>
        <w:rPr>
          <w:rFonts w:ascii="Times New Roman" w:hAnsi="Times New Roman" w:cs="Times New Roman"/>
          <w:sz w:val="24"/>
          <w:szCs w:val="24"/>
        </w:rPr>
        <w:t xml:space="preserve">Recall that our objective was to find relevant variables such that </w:t>
      </w:r>
      <w:r w:rsidR="00FF456A">
        <w:rPr>
          <w:rFonts w:ascii="Times New Roman" w:hAnsi="Times New Roman" w:cs="Times New Roman"/>
          <w:sz w:val="24"/>
          <w:szCs w:val="24"/>
        </w:rPr>
        <w:t xml:space="preserve">for any given shock </w:t>
      </w:r>
      <w:r w:rsidR="00FD5099">
        <w:rPr>
          <w:rFonts w:ascii="Times New Roman" w:hAnsi="Times New Roman" w:cs="Times New Roman"/>
          <w:sz w:val="24"/>
          <w:szCs w:val="24"/>
        </w:rPr>
        <w:t xml:space="preserve">variable </w:t>
      </w:r>
      <w:r w:rsidR="00FF456A">
        <w:rPr>
          <w:rFonts w:ascii="Times New Roman" w:hAnsi="Times New Roman" w:cs="Times New Roman"/>
          <w:sz w:val="24"/>
          <w:szCs w:val="24"/>
        </w:rPr>
        <w:t>(s)</w:t>
      </w:r>
      <w:r w:rsidR="00FD5099">
        <w:rPr>
          <w:rFonts w:ascii="Times New Roman" w:hAnsi="Times New Roman" w:cs="Times New Roman"/>
          <w:sz w:val="24"/>
          <w:szCs w:val="24"/>
        </w:rPr>
        <w:t>,</w:t>
      </w:r>
      <w:r w:rsidR="00FF456A">
        <w:rPr>
          <w:rFonts w:ascii="Times New Roman" w:hAnsi="Times New Roman" w:cs="Times New Roman"/>
          <w:sz w:val="24"/>
          <w:szCs w:val="24"/>
        </w:rPr>
        <w:t xml:space="preserve"> implication variable (v) </w:t>
      </w:r>
      <w:r w:rsidR="00FD5099">
        <w:rPr>
          <w:rFonts w:ascii="Times New Roman" w:hAnsi="Times New Roman" w:cs="Times New Roman"/>
          <w:sz w:val="24"/>
          <w:szCs w:val="24"/>
        </w:rPr>
        <w:t xml:space="preserve">and assumption A, </w:t>
      </w:r>
      <w:r>
        <w:rPr>
          <w:rFonts w:ascii="Times New Roman" w:hAnsi="Times New Roman" w:cs="Times New Roman"/>
          <w:sz w:val="24"/>
          <w:szCs w:val="24"/>
        </w:rPr>
        <w:t>the four coefficients</w:t>
      </w:r>
      <w:r w:rsidR="00FF456A">
        <w:rPr>
          <w:rFonts w:ascii="Times New Roman" w:hAnsi="Times New Roman" w:cs="Times New Roman"/>
          <w:sz w:val="24"/>
          <w:szCs w:val="24"/>
        </w:rPr>
        <w:t xml:space="preserve"> </w:t>
      </w:r>
      <w:r w:rsidR="00825015" w:rsidRPr="00B812E1">
        <w:rPr>
          <w:rFonts w:ascii="Times New Roman" w:hAnsi="Times New Roman" w:cs="Times New Roman"/>
          <w:position w:val="-14"/>
          <w:sz w:val="24"/>
          <w:szCs w:val="24"/>
        </w:rPr>
        <w:object w:dxaOrig="1040" w:dyaOrig="400">
          <v:shape id="_x0000_i1055" type="#_x0000_t75" style="width:50.4pt;height:21.6pt" o:ole="">
            <v:imagedata r:id="rId55" o:title=""/>
          </v:shape>
          <o:OLEObject Type="Embed" ProgID="Equation.DSMT4" ShapeID="_x0000_i1055" DrawAspect="Content" ObjectID="_1553159863" r:id="rId71"/>
        </w:object>
      </w:r>
      <w:r w:rsidR="00825015">
        <w:rPr>
          <w:rFonts w:ascii="Times New Roman" w:hAnsi="Times New Roman" w:cs="Times New Roman"/>
          <w:sz w:val="24"/>
          <w:szCs w:val="24"/>
        </w:rPr>
        <w:t xml:space="preserve">, </w:t>
      </w:r>
      <w:r w:rsidR="00825015" w:rsidRPr="00B812E1">
        <w:rPr>
          <w:rFonts w:ascii="Times New Roman" w:hAnsi="Times New Roman" w:cs="Times New Roman"/>
          <w:position w:val="-14"/>
          <w:sz w:val="24"/>
          <w:szCs w:val="24"/>
        </w:rPr>
        <w:object w:dxaOrig="1060" w:dyaOrig="400">
          <v:shape id="_x0000_i1056" type="#_x0000_t75" style="width:50.4pt;height:21.6pt" o:ole="">
            <v:imagedata r:id="rId57" o:title=""/>
          </v:shape>
          <o:OLEObject Type="Embed" ProgID="Equation.DSMT4" ShapeID="_x0000_i1056" DrawAspect="Content" ObjectID="_1553159864" r:id="rId72"/>
        </w:object>
      </w:r>
      <w:r w:rsidR="00825015">
        <w:rPr>
          <w:rFonts w:ascii="Times New Roman" w:hAnsi="Times New Roman" w:cs="Times New Roman"/>
          <w:sz w:val="24"/>
          <w:szCs w:val="24"/>
        </w:rPr>
        <w:t xml:space="preserve">, </w:t>
      </w:r>
      <w:r w:rsidR="00825015" w:rsidRPr="00B812E1">
        <w:rPr>
          <w:rFonts w:ascii="Times New Roman" w:hAnsi="Times New Roman" w:cs="Times New Roman"/>
          <w:position w:val="-14"/>
          <w:sz w:val="24"/>
          <w:szCs w:val="24"/>
        </w:rPr>
        <w:object w:dxaOrig="1080" w:dyaOrig="400">
          <v:shape id="_x0000_i1057" type="#_x0000_t75" style="width:50.4pt;height:21.6pt" o:ole="">
            <v:imagedata r:id="rId59" o:title=""/>
          </v:shape>
          <o:OLEObject Type="Embed" ProgID="Equation.DSMT4" ShapeID="_x0000_i1057" DrawAspect="Content" ObjectID="_1553159865" r:id="rId73"/>
        </w:object>
      </w:r>
      <w:r w:rsidR="00825015">
        <w:rPr>
          <w:rFonts w:ascii="Times New Roman" w:hAnsi="Times New Roman" w:cs="Times New Roman"/>
          <w:sz w:val="24"/>
          <w:szCs w:val="24"/>
        </w:rPr>
        <w:t xml:space="preserve"> and </w:t>
      </w:r>
      <w:r w:rsidR="00825015" w:rsidRPr="00B812E1">
        <w:rPr>
          <w:rFonts w:ascii="Times New Roman" w:hAnsi="Times New Roman" w:cs="Times New Roman"/>
          <w:position w:val="-14"/>
          <w:sz w:val="24"/>
          <w:szCs w:val="24"/>
        </w:rPr>
        <w:object w:dxaOrig="1120" w:dyaOrig="400">
          <v:shape id="_x0000_i1058" type="#_x0000_t75" style="width:57.6pt;height:21.6pt" o:ole="">
            <v:imagedata r:id="rId61" o:title=""/>
          </v:shape>
          <o:OLEObject Type="Embed" ProgID="Equation.DSMT4" ShapeID="_x0000_i1058" DrawAspect="Content" ObjectID="_1553159866" r:id="rId74"/>
        </w:object>
      </w:r>
      <w:r w:rsidR="00825015">
        <w:rPr>
          <w:rFonts w:ascii="Times New Roman" w:hAnsi="Times New Roman" w:cs="Times New Roman"/>
          <w:sz w:val="24"/>
          <w:szCs w:val="24"/>
        </w:rPr>
        <w:t xml:space="preserve"> </w:t>
      </w:r>
      <w:r>
        <w:rPr>
          <w:rFonts w:ascii="Times New Roman" w:hAnsi="Times New Roman" w:cs="Times New Roman"/>
          <w:sz w:val="24"/>
          <w:szCs w:val="24"/>
        </w:rPr>
        <w:t xml:space="preserve">calculated </w:t>
      </w:r>
      <w:r w:rsidR="00F6390E">
        <w:rPr>
          <w:rFonts w:ascii="Times New Roman" w:hAnsi="Times New Roman" w:cs="Times New Roman"/>
          <w:sz w:val="24"/>
          <w:szCs w:val="24"/>
        </w:rPr>
        <w:t>in</w:t>
      </w:r>
      <w:r>
        <w:rPr>
          <w:rFonts w:ascii="Times New Roman" w:hAnsi="Times New Roman" w:cs="Times New Roman"/>
          <w:sz w:val="24"/>
          <w:szCs w:val="24"/>
        </w:rPr>
        <w:t xml:space="preserve"> (</w:t>
      </w:r>
      <w:r w:rsidR="00F6390E">
        <w:rPr>
          <w:rFonts w:ascii="Times New Roman" w:hAnsi="Times New Roman" w:cs="Times New Roman"/>
          <w:sz w:val="24"/>
          <w:szCs w:val="24"/>
        </w:rPr>
        <w:t>6.5</w:t>
      </w:r>
      <w:r>
        <w:rPr>
          <w:rFonts w:ascii="Times New Roman" w:hAnsi="Times New Roman" w:cs="Times New Roman"/>
          <w:sz w:val="24"/>
          <w:szCs w:val="24"/>
        </w:rPr>
        <w:t>) to (</w:t>
      </w:r>
      <w:r w:rsidR="00F6390E">
        <w:rPr>
          <w:rFonts w:ascii="Times New Roman" w:hAnsi="Times New Roman" w:cs="Times New Roman"/>
          <w:sz w:val="24"/>
          <w:szCs w:val="24"/>
        </w:rPr>
        <w:t>6.8</w:t>
      </w:r>
      <w:r>
        <w:rPr>
          <w:rFonts w:ascii="Times New Roman" w:hAnsi="Times New Roman" w:cs="Times New Roman"/>
          <w:sz w:val="24"/>
          <w:szCs w:val="24"/>
        </w:rPr>
        <w:t>) have closely match</w:t>
      </w:r>
      <w:r w:rsidR="00FF456A">
        <w:rPr>
          <w:rFonts w:ascii="Times New Roman" w:hAnsi="Times New Roman" w:cs="Times New Roman"/>
          <w:sz w:val="24"/>
          <w:szCs w:val="24"/>
        </w:rPr>
        <w:t>ing</w:t>
      </w:r>
      <w:r>
        <w:rPr>
          <w:rFonts w:ascii="Times New Roman" w:hAnsi="Times New Roman" w:cs="Times New Roman"/>
          <w:sz w:val="24"/>
          <w:szCs w:val="24"/>
        </w:rPr>
        <w:t xml:space="preserve"> </w:t>
      </w:r>
      <w:r w:rsidR="00FF456A">
        <w:rPr>
          <w:rFonts w:ascii="Times New Roman" w:hAnsi="Times New Roman" w:cs="Times New Roman"/>
          <w:sz w:val="24"/>
          <w:szCs w:val="24"/>
        </w:rPr>
        <w:t xml:space="preserve">values.  </w:t>
      </w:r>
      <w:r w:rsidR="008B2DE3">
        <w:rPr>
          <w:rFonts w:ascii="Times New Roman" w:hAnsi="Times New Roman" w:cs="Times New Roman"/>
          <w:sz w:val="24"/>
          <w:szCs w:val="24"/>
        </w:rPr>
        <w:t xml:space="preserve">Looking through the 14 tables we see that this objective is largely met </w:t>
      </w:r>
      <w:r w:rsidR="003B68D0">
        <w:rPr>
          <w:rFonts w:ascii="Times New Roman" w:hAnsi="Times New Roman" w:cs="Times New Roman"/>
          <w:sz w:val="24"/>
          <w:szCs w:val="24"/>
        </w:rPr>
        <w:t>when v is a y</w:t>
      </w:r>
      <w:r w:rsidR="008B2DE3">
        <w:rPr>
          <w:rFonts w:ascii="Times New Roman" w:hAnsi="Times New Roman" w:cs="Times New Roman"/>
          <w:sz w:val="24"/>
          <w:szCs w:val="24"/>
        </w:rPr>
        <w:t xml:space="preserve">ear-1 national </w:t>
      </w:r>
      <w:r w:rsidR="003B68D0">
        <w:rPr>
          <w:rFonts w:ascii="Times New Roman" w:hAnsi="Times New Roman" w:cs="Times New Roman"/>
          <w:sz w:val="24"/>
          <w:szCs w:val="24"/>
        </w:rPr>
        <w:t>variable or an</w:t>
      </w:r>
      <w:r w:rsidR="008B2DE3">
        <w:rPr>
          <w:rFonts w:ascii="Times New Roman" w:hAnsi="Times New Roman" w:cs="Times New Roman"/>
          <w:sz w:val="24"/>
          <w:szCs w:val="24"/>
        </w:rPr>
        <w:t xml:space="preserve"> </w:t>
      </w:r>
      <w:r w:rsidR="003B68D0">
        <w:rPr>
          <w:rFonts w:ascii="Times New Roman" w:hAnsi="Times New Roman" w:cs="Times New Roman"/>
          <w:sz w:val="24"/>
          <w:szCs w:val="24"/>
        </w:rPr>
        <w:t xml:space="preserve">accumulated </w:t>
      </w:r>
      <w:r w:rsidR="008B2DE3">
        <w:rPr>
          <w:rFonts w:ascii="Times New Roman" w:hAnsi="Times New Roman" w:cs="Times New Roman"/>
          <w:sz w:val="24"/>
          <w:szCs w:val="24"/>
        </w:rPr>
        <w:t xml:space="preserve">welfare </w:t>
      </w:r>
      <w:r w:rsidR="003B68D0">
        <w:rPr>
          <w:rFonts w:ascii="Times New Roman" w:hAnsi="Times New Roman" w:cs="Times New Roman"/>
          <w:sz w:val="24"/>
          <w:szCs w:val="24"/>
        </w:rPr>
        <w:t>variable</w:t>
      </w:r>
      <w:r w:rsidR="008B2DE3">
        <w:rPr>
          <w:rFonts w:ascii="Times New Roman" w:hAnsi="Times New Roman" w:cs="Times New Roman"/>
          <w:sz w:val="24"/>
          <w:szCs w:val="24"/>
        </w:rPr>
        <w:t>.  For example, in Table A1, the four Keynesian coefficient</w:t>
      </w:r>
      <w:r w:rsidR="009305DF">
        <w:rPr>
          <w:rFonts w:ascii="Times New Roman" w:hAnsi="Times New Roman" w:cs="Times New Roman"/>
          <w:sz w:val="24"/>
          <w:szCs w:val="24"/>
        </w:rPr>
        <w:t>s</w:t>
      </w:r>
      <w:r w:rsidR="008B2DE3">
        <w:rPr>
          <w:rFonts w:ascii="Times New Roman" w:hAnsi="Times New Roman" w:cs="Times New Roman"/>
          <w:sz w:val="24"/>
          <w:szCs w:val="24"/>
        </w:rPr>
        <w:t xml:space="preserve"> for</w:t>
      </w:r>
      <w:r w:rsidR="00C9706F">
        <w:rPr>
          <w:rFonts w:ascii="Times New Roman" w:hAnsi="Times New Roman" w:cs="Times New Roman"/>
          <w:sz w:val="24"/>
          <w:szCs w:val="24"/>
        </w:rPr>
        <w:t xml:space="preserve"> v equals</w:t>
      </w:r>
      <w:r w:rsidR="008B2DE3">
        <w:rPr>
          <w:rFonts w:ascii="Times New Roman" w:hAnsi="Times New Roman" w:cs="Times New Roman"/>
          <w:sz w:val="24"/>
          <w:szCs w:val="24"/>
        </w:rPr>
        <w:t xml:space="preserve"> year-1 national GDP </w:t>
      </w:r>
      <w:r w:rsidR="00C9706F">
        <w:rPr>
          <w:rFonts w:ascii="Times New Roman" w:hAnsi="Times New Roman" w:cs="Times New Roman"/>
          <w:sz w:val="24"/>
          <w:szCs w:val="24"/>
        </w:rPr>
        <w:t xml:space="preserve">and s equals capital destruction </w:t>
      </w:r>
      <w:r w:rsidR="008B2DE3">
        <w:rPr>
          <w:rFonts w:ascii="Times New Roman" w:hAnsi="Times New Roman" w:cs="Times New Roman"/>
          <w:sz w:val="24"/>
          <w:szCs w:val="24"/>
        </w:rPr>
        <w:t xml:space="preserve">are </w:t>
      </w:r>
      <w:r w:rsidR="00C9706F">
        <w:rPr>
          <w:rFonts w:ascii="Times New Roman" w:hAnsi="Times New Roman" w:cs="Times New Roman"/>
          <w:sz w:val="24"/>
          <w:szCs w:val="24"/>
        </w:rPr>
        <w:br/>
      </w:r>
      <w:r w:rsidR="008B2DE3">
        <w:rPr>
          <w:rFonts w:ascii="Times New Roman" w:hAnsi="Times New Roman" w:cs="Times New Roman"/>
          <w:sz w:val="24"/>
          <w:szCs w:val="24"/>
        </w:rPr>
        <w:t>-0.69, -0.6</w:t>
      </w:r>
      <w:r w:rsidR="001229EB">
        <w:rPr>
          <w:rFonts w:ascii="Times New Roman" w:hAnsi="Times New Roman" w:cs="Times New Roman"/>
          <w:sz w:val="24"/>
          <w:szCs w:val="24"/>
        </w:rPr>
        <w:t>9</w:t>
      </w:r>
      <w:r w:rsidR="008B2DE3">
        <w:rPr>
          <w:rFonts w:ascii="Times New Roman" w:hAnsi="Times New Roman" w:cs="Times New Roman"/>
          <w:sz w:val="24"/>
          <w:szCs w:val="24"/>
        </w:rPr>
        <w:t>, -0.7</w:t>
      </w:r>
      <w:r w:rsidR="001229EB">
        <w:rPr>
          <w:rFonts w:ascii="Times New Roman" w:hAnsi="Times New Roman" w:cs="Times New Roman"/>
          <w:sz w:val="24"/>
          <w:szCs w:val="24"/>
        </w:rPr>
        <w:t>4</w:t>
      </w:r>
      <w:r w:rsidR="008B2DE3">
        <w:rPr>
          <w:rFonts w:ascii="Times New Roman" w:hAnsi="Times New Roman" w:cs="Times New Roman"/>
          <w:sz w:val="24"/>
          <w:szCs w:val="24"/>
        </w:rPr>
        <w:t xml:space="preserve"> and -0.7</w:t>
      </w:r>
      <w:r w:rsidR="001229EB">
        <w:rPr>
          <w:rFonts w:ascii="Times New Roman" w:hAnsi="Times New Roman" w:cs="Times New Roman"/>
          <w:sz w:val="24"/>
          <w:szCs w:val="24"/>
        </w:rPr>
        <w:t>6</w:t>
      </w:r>
      <w:r w:rsidR="008B2DE3">
        <w:rPr>
          <w:rFonts w:ascii="Times New Roman" w:hAnsi="Times New Roman" w:cs="Times New Roman"/>
          <w:sz w:val="24"/>
          <w:szCs w:val="24"/>
        </w:rPr>
        <w:t>.  The average is -0.7</w:t>
      </w:r>
      <w:r w:rsidR="001229EB">
        <w:rPr>
          <w:rFonts w:ascii="Times New Roman" w:hAnsi="Times New Roman" w:cs="Times New Roman"/>
          <w:sz w:val="24"/>
          <w:szCs w:val="24"/>
        </w:rPr>
        <w:t>2</w:t>
      </w:r>
      <w:r w:rsidR="00FD3AEB">
        <w:rPr>
          <w:rFonts w:ascii="Times New Roman" w:hAnsi="Times New Roman" w:cs="Times New Roman"/>
          <w:sz w:val="24"/>
          <w:szCs w:val="24"/>
        </w:rPr>
        <w:t>.  E</w:t>
      </w:r>
      <w:r w:rsidR="008B2DE3">
        <w:rPr>
          <w:rFonts w:ascii="Times New Roman" w:hAnsi="Times New Roman" w:cs="Times New Roman"/>
          <w:sz w:val="24"/>
          <w:szCs w:val="24"/>
        </w:rPr>
        <w:t xml:space="preserve">ach coefficient </w:t>
      </w:r>
      <w:r w:rsidR="009305DF">
        <w:rPr>
          <w:rFonts w:ascii="Times New Roman" w:hAnsi="Times New Roman" w:cs="Times New Roman"/>
          <w:sz w:val="24"/>
          <w:szCs w:val="24"/>
        </w:rPr>
        <w:t xml:space="preserve">is within 6 per cent of the average.  </w:t>
      </w:r>
      <w:r w:rsidR="003B68D0">
        <w:rPr>
          <w:rFonts w:ascii="Times New Roman" w:hAnsi="Times New Roman" w:cs="Times New Roman"/>
          <w:sz w:val="24"/>
          <w:szCs w:val="24"/>
        </w:rPr>
        <w:t xml:space="preserve">The impression that the four coefficients are satisfactorily consistent </w:t>
      </w:r>
      <w:r w:rsidR="00C9706F">
        <w:rPr>
          <w:rFonts w:ascii="Times New Roman" w:hAnsi="Times New Roman" w:cs="Times New Roman"/>
          <w:sz w:val="24"/>
          <w:szCs w:val="24"/>
        </w:rPr>
        <w:t xml:space="preserve">if v is a </w:t>
      </w:r>
      <w:r w:rsidR="003B68D0">
        <w:rPr>
          <w:rFonts w:ascii="Times New Roman" w:hAnsi="Times New Roman" w:cs="Times New Roman"/>
          <w:sz w:val="24"/>
          <w:szCs w:val="24"/>
        </w:rPr>
        <w:t xml:space="preserve">year-1 national variable </w:t>
      </w:r>
      <w:r w:rsidR="00C9706F">
        <w:rPr>
          <w:rFonts w:ascii="Times New Roman" w:hAnsi="Times New Roman" w:cs="Times New Roman"/>
          <w:sz w:val="24"/>
          <w:szCs w:val="24"/>
        </w:rPr>
        <w:t>or</w:t>
      </w:r>
      <w:r w:rsidR="003B68D0">
        <w:rPr>
          <w:rFonts w:ascii="Times New Roman" w:hAnsi="Times New Roman" w:cs="Times New Roman"/>
          <w:sz w:val="24"/>
          <w:szCs w:val="24"/>
        </w:rPr>
        <w:t xml:space="preserve"> accumulated welfare variable </w:t>
      </w:r>
      <w:r w:rsidR="00C9706F">
        <w:rPr>
          <w:rFonts w:ascii="Times New Roman" w:hAnsi="Times New Roman" w:cs="Times New Roman"/>
          <w:sz w:val="24"/>
          <w:szCs w:val="24"/>
        </w:rPr>
        <w:t xml:space="preserve">and s is any shock variable </w:t>
      </w:r>
      <w:r w:rsidR="003B68D0">
        <w:rPr>
          <w:rFonts w:ascii="Times New Roman" w:hAnsi="Times New Roman" w:cs="Times New Roman"/>
          <w:sz w:val="24"/>
          <w:szCs w:val="24"/>
        </w:rPr>
        <w:t>is reinforced in Figures 1 to 4 and 9 to 12</w:t>
      </w:r>
      <w:r w:rsidR="00C9706F">
        <w:rPr>
          <w:rFonts w:ascii="Times New Roman" w:hAnsi="Times New Roman" w:cs="Times New Roman"/>
          <w:sz w:val="24"/>
          <w:szCs w:val="24"/>
        </w:rPr>
        <w:t xml:space="preserve">.  These figures are graphical presentations of coefficients from Tables A1 to A14 for year-1 national variables and accumulated welfare variables, and all shocks.  For example, the </w:t>
      </w:r>
      <w:r w:rsidR="002C020D">
        <w:rPr>
          <w:rFonts w:ascii="Times New Roman" w:hAnsi="Times New Roman" w:cs="Times New Roman"/>
          <w:sz w:val="24"/>
          <w:szCs w:val="24"/>
        </w:rPr>
        <w:t xml:space="preserve">first four bars in Figure 1 represent the </w:t>
      </w:r>
      <w:r w:rsidR="00C9706F">
        <w:rPr>
          <w:rFonts w:ascii="Times New Roman" w:hAnsi="Times New Roman" w:cs="Times New Roman"/>
          <w:sz w:val="24"/>
          <w:szCs w:val="24"/>
        </w:rPr>
        <w:t>year-1 GDP coefficients under Keynesian assumptions for the capital destruction shock (</w:t>
      </w:r>
      <w:r w:rsidR="002C020D">
        <w:rPr>
          <w:rFonts w:ascii="Times New Roman" w:hAnsi="Times New Roman" w:cs="Times New Roman"/>
          <w:sz w:val="24"/>
          <w:szCs w:val="24"/>
        </w:rPr>
        <w:t xml:space="preserve">that is, </w:t>
      </w:r>
      <w:r w:rsidR="002C020D">
        <w:rPr>
          <w:rFonts w:ascii="Times New Roman" w:hAnsi="Times New Roman" w:cs="Times New Roman"/>
          <w:sz w:val="24"/>
          <w:szCs w:val="24"/>
        </w:rPr>
        <w:br/>
      </w:r>
      <w:r w:rsidR="00C9706F">
        <w:rPr>
          <w:rFonts w:ascii="Times New Roman" w:hAnsi="Times New Roman" w:cs="Times New Roman"/>
          <w:sz w:val="24"/>
          <w:szCs w:val="24"/>
        </w:rPr>
        <w:t>-0.69, -0.69, -0.74, -0.76)</w:t>
      </w:r>
      <w:r w:rsidR="005378A4">
        <w:rPr>
          <w:rFonts w:ascii="Times New Roman" w:hAnsi="Times New Roman" w:cs="Times New Roman"/>
          <w:sz w:val="24"/>
          <w:szCs w:val="24"/>
        </w:rPr>
        <w:t xml:space="preserve">.  The only somewhat </w:t>
      </w:r>
      <w:r w:rsidR="001E1233">
        <w:rPr>
          <w:rFonts w:ascii="Times New Roman" w:hAnsi="Times New Roman" w:cs="Times New Roman"/>
          <w:sz w:val="24"/>
          <w:szCs w:val="24"/>
        </w:rPr>
        <w:t xml:space="preserve">ragged </w:t>
      </w:r>
      <w:r w:rsidR="005378A4">
        <w:rPr>
          <w:rFonts w:ascii="Times New Roman" w:hAnsi="Times New Roman" w:cs="Times New Roman"/>
          <w:sz w:val="24"/>
          <w:szCs w:val="24"/>
        </w:rPr>
        <w:t xml:space="preserve">outcomes in Figures 1 to 4 and 9 to 12 are for the </w:t>
      </w:r>
      <w:r w:rsidR="001E1233">
        <w:rPr>
          <w:rFonts w:ascii="Times New Roman" w:hAnsi="Times New Roman" w:cs="Times New Roman"/>
          <w:sz w:val="24"/>
          <w:szCs w:val="24"/>
        </w:rPr>
        <w:t xml:space="preserve">target-region </w:t>
      </w:r>
      <w:r w:rsidR="005378A4">
        <w:rPr>
          <w:rFonts w:ascii="Times New Roman" w:hAnsi="Times New Roman" w:cs="Times New Roman"/>
          <w:sz w:val="24"/>
          <w:szCs w:val="24"/>
        </w:rPr>
        <w:t xml:space="preserve">food shock (indicated in the figures by T11, derived from Table A11).  </w:t>
      </w:r>
      <w:r w:rsidR="002D2481">
        <w:rPr>
          <w:rFonts w:ascii="Times New Roman" w:hAnsi="Times New Roman" w:cs="Times New Roman"/>
          <w:sz w:val="24"/>
          <w:szCs w:val="24"/>
        </w:rPr>
        <w:t>Th</w:t>
      </w:r>
      <w:r w:rsidR="005378A4">
        <w:rPr>
          <w:rFonts w:ascii="Times New Roman" w:hAnsi="Times New Roman" w:cs="Times New Roman"/>
          <w:sz w:val="24"/>
          <w:szCs w:val="24"/>
        </w:rPr>
        <w:t xml:space="preserve">is implies that we can be less confident about </w:t>
      </w:r>
      <w:r w:rsidR="002D2481">
        <w:rPr>
          <w:rFonts w:ascii="Times New Roman" w:hAnsi="Times New Roman" w:cs="Times New Roman"/>
          <w:sz w:val="24"/>
          <w:szCs w:val="24"/>
        </w:rPr>
        <w:t xml:space="preserve">elasticities for year-1 national </w:t>
      </w:r>
      <w:r w:rsidR="00FD3AEB">
        <w:rPr>
          <w:rFonts w:ascii="Times New Roman" w:hAnsi="Times New Roman" w:cs="Times New Roman"/>
          <w:sz w:val="24"/>
          <w:szCs w:val="24"/>
        </w:rPr>
        <w:t xml:space="preserve">variables </w:t>
      </w:r>
      <w:r w:rsidR="002D2481">
        <w:rPr>
          <w:rFonts w:ascii="Times New Roman" w:hAnsi="Times New Roman" w:cs="Times New Roman"/>
          <w:sz w:val="24"/>
          <w:szCs w:val="24"/>
        </w:rPr>
        <w:t>and accumulated welfare variables with respect to food destruction shocks</w:t>
      </w:r>
      <w:r w:rsidR="00C9706F">
        <w:rPr>
          <w:rFonts w:ascii="Times New Roman" w:hAnsi="Times New Roman" w:cs="Times New Roman"/>
          <w:sz w:val="24"/>
          <w:szCs w:val="24"/>
        </w:rPr>
        <w:t xml:space="preserve"> </w:t>
      </w:r>
      <w:r w:rsidR="002D2481">
        <w:rPr>
          <w:rFonts w:ascii="Times New Roman" w:hAnsi="Times New Roman" w:cs="Times New Roman"/>
          <w:sz w:val="24"/>
          <w:szCs w:val="24"/>
        </w:rPr>
        <w:t>than</w:t>
      </w:r>
      <w:r w:rsidR="00FD3AEB">
        <w:rPr>
          <w:rFonts w:ascii="Times New Roman" w:hAnsi="Times New Roman" w:cs="Times New Roman"/>
          <w:sz w:val="24"/>
          <w:szCs w:val="24"/>
        </w:rPr>
        <w:t xml:space="preserve"> about </w:t>
      </w:r>
      <w:r w:rsidR="002D2481">
        <w:rPr>
          <w:rFonts w:ascii="Times New Roman" w:hAnsi="Times New Roman" w:cs="Times New Roman"/>
          <w:sz w:val="24"/>
          <w:szCs w:val="24"/>
        </w:rPr>
        <w:t xml:space="preserve">elasticities </w:t>
      </w:r>
      <w:r w:rsidR="00FD3AEB">
        <w:rPr>
          <w:rFonts w:ascii="Times New Roman" w:hAnsi="Times New Roman" w:cs="Times New Roman"/>
          <w:sz w:val="24"/>
          <w:szCs w:val="24"/>
        </w:rPr>
        <w:t xml:space="preserve">for these variables with respect to </w:t>
      </w:r>
      <w:r w:rsidR="002D2481">
        <w:rPr>
          <w:rFonts w:ascii="Times New Roman" w:hAnsi="Times New Roman" w:cs="Times New Roman"/>
          <w:sz w:val="24"/>
          <w:szCs w:val="24"/>
        </w:rPr>
        <w:t xml:space="preserve">other shocks. </w:t>
      </w:r>
      <w:r w:rsidR="00C9706F">
        <w:rPr>
          <w:rFonts w:ascii="Times New Roman" w:hAnsi="Times New Roman" w:cs="Times New Roman"/>
          <w:sz w:val="24"/>
          <w:szCs w:val="24"/>
        </w:rPr>
        <w:t xml:space="preserve"> </w:t>
      </w:r>
    </w:p>
    <w:p w:rsidR="00992C39" w:rsidRDefault="002D2481" w:rsidP="00C9706F">
      <w:pPr>
        <w:rPr>
          <w:rFonts w:ascii="Times New Roman" w:hAnsi="Times New Roman" w:cs="Times New Roman"/>
          <w:sz w:val="24"/>
          <w:szCs w:val="24"/>
        </w:rPr>
      </w:pPr>
      <w:r>
        <w:rPr>
          <w:rFonts w:ascii="Times New Roman" w:hAnsi="Times New Roman" w:cs="Times New Roman"/>
          <w:sz w:val="24"/>
          <w:szCs w:val="24"/>
        </w:rPr>
        <w:t xml:space="preserve">The results for year-1 regional variables shown in Figures 5 to 8 are less satisfactory than those for year-1 national variables </w:t>
      </w:r>
      <w:r w:rsidR="00992C39">
        <w:rPr>
          <w:rFonts w:ascii="Times New Roman" w:hAnsi="Times New Roman" w:cs="Times New Roman"/>
          <w:sz w:val="24"/>
          <w:szCs w:val="24"/>
        </w:rPr>
        <w:t xml:space="preserve">(Figures 1 to 4).  What this means is that we have been less successful in finding relevant variables when v is a regional variable than when v is a national variable.  Put another way, we understand better how USAGE-TERM generates national results than regional results.  An implication is that while we might be quite confident about our calculations of the national year-1 effects and accumulated welfare effects of a shock of type s occurring in region d, we can be less confident about the effects in region d itself.  </w:t>
      </w:r>
    </w:p>
    <w:p w:rsidR="00A520FE" w:rsidRDefault="0079355B" w:rsidP="00A520FE">
      <w:pPr>
        <w:rPr>
          <w:rFonts w:ascii="Times New Roman" w:hAnsi="Times New Roman" w:cs="Times New Roman"/>
          <w:sz w:val="24"/>
          <w:szCs w:val="24"/>
        </w:rPr>
      </w:pPr>
      <w:r>
        <w:rPr>
          <w:rFonts w:ascii="Times New Roman" w:hAnsi="Times New Roman" w:cs="Times New Roman"/>
          <w:sz w:val="24"/>
          <w:szCs w:val="24"/>
        </w:rPr>
        <w:t>What about the year-20</w:t>
      </w:r>
      <w:r w:rsidR="00B210E3">
        <w:rPr>
          <w:rFonts w:ascii="Times New Roman" w:hAnsi="Times New Roman" w:cs="Times New Roman"/>
          <w:sz w:val="24"/>
          <w:szCs w:val="24"/>
        </w:rPr>
        <w:t xml:space="preserve"> coefficients</w:t>
      </w:r>
      <w:r>
        <w:rPr>
          <w:rFonts w:ascii="Times New Roman" w:hAnsi="Times New Roman" w:cs="Times New Roman"/>
          <w:sz w:val="24"/>
          <w:szCs w:val="24"/>
        </w:rPr>
        <w:t xml:space="preserve"> for output and employment at the national and regional levels?</w:t>
      </w:r>
      <w:r w:rsidR="00992C39">
        <w:rPr>
          <w:rFonts w:ascii="Times New Roman" w:hAnsi="Times New Roman" w:cs="Times New Roman"/>
          <w:sz w:val="24"/>
          <w:szCs w:val="24"/>
        </w:rPr>
        <w:t xml:space="preserve"> </w:t>
      </w:r>
      <w:r>
        <w:rPr>
          <w:rFonts w:ascii="Times New Roman" w:hAnsi="Times New Roman" w:cs="Times New Roman"/>
          <w:sz w:val="24"/>
          <w:szCs w:val="24"/>
        </w:rPr>
        <w:t xml:space="preserve"> For</w:t>
      </w:r>
      <w:r w:rsidR="00890A88">
        <w:rPr>
          <w:rFonts w:ascii="Times New Roman" w:hAnsi="Times New Roman" w:cs="Times New Roman"/>
          <w:sz w:val="24"/>
          <w:szCs w:val="24"/>
        </w:rPr>
        <w:t xml:space="preserve"> all of the shocks except deaths and aversion (shocks 13 and 14) </w:t>
      </w:r>
      <w:r>
        <w:rPr>
          <w:rFonts w:ascii="Times New Roman" w:hAnsi="Times New Roman" w:cs="Times New Roman"/>
          <w:sz w:val="24"/>
          <w:szCs w:val="24"/>
        </w:rPr>
        <w:t xml:space="preserve">we would expect long-run output and employment effects to be approximately zero.  </w:t>
      </w:r>
      <w:r w:rsidR="00890A88">
        <w:rPr>
          <w:rFonts w:ascii="Times New Roman" w:hAnsi="Times New Roman" w:cs="Times New Roman"/>
          <w:sz w:val="24"/>
          <w:szCs w:val="24"/>
        </w:rPr>
        <w:t xml:space="preserve">This is borne out in Tables A1 to A12 which show very small </w:t>
      </w:r>
      <w:r w:rsidR="00B210E3">
        <w:rPr>
          <w:rFonts w:ascii="Times New Roman" w:hAnsi="Times New Roman" w:cs="Times New Roman"/>
          <w:sz w:val="24"/>
          <w:szCs w:val="24"/>
        </w:rPr>
        <w:t xml:space="preserve">year-20 </w:t>
      </w:r>
      <w:r w:rsidR="00890A88">
        <w:rPr>
          <w:rFonts w:ascii="Times New Roman" w:hAnsi="Times New Roman" w:cs="Times New Roman"/>
          <w:sz w:val="24"/>
          <w:szCs w:val="24"/>
        </w:rPr>
        <w:t>coefficient values</w:t>
      </w:r>
      <w:r w:rsidR="00B210E3">
        <w:rPr>
          <w:rFonts w:ascii="Times New Roman" w:hAnsi="Times New Roman" w:cs="Times New Roman"/>
          <w:sz w:val="24"/>
          <w:szCs w:val="24"/>
        </w:rPr>
        <w:t xml:space="preserve"> for </w:t>
      </w:r>
      <w:r w:rsidR="00890A88">
        <w:rPr>
          <w:rFonts w:ascii="Times New Roman" w:hAnsi="Times New Roman" w:cs="Times New Roman"/>
          <w:sz w:val="24"/>
          <w:szCs w:val="24"/>
        </w:rPr>
        <w:t>national and regional output and employment</w:t>
      </w:r>
      <w:r w:rsidR="00B210E3">
        <w:rPr>
          <w:rFonts w:ascii="Times New Roman" w:hAnsi="Times New Roman" w:cs="Times New Roman"/>
          <w:sz w:val="24"/>
          <w:szCs w:val="24"/>
        </w:rPr>
        <w:t>.</w:t>
      </w:r>
      <w:r w:rsidR="00FD2D80">
        <w:rPr>
          <w:rStyle w:val="FootnoteReference"/>
          <w:rFonts w:ascii="Times New Roman" w:hAnsi="Times New Roman" w:cs="Times New Roman"/>
          <w:sz w:val="24"/>
          <w:szCs w:val="24"/>
        </w:rPr>
        <w:footnoteReference w:id="26"/>
      </w:r>
      <w:r w:rsidR="00B210E3">
        <w:rPr>
          <w:rFonts w:ascii="Times New Roman" w:hAnsi="Times New Roman" w:cs="Times New Roman"/>
          <w:sz w:val="24"/>
          <w:szCs w:val="24"/>
        </w:rPr>
        <w:t xml:space="preserve">  These small coefficients lead to small elasticities</w:t>
      </w:r>
      <w:r w:rsidR="00873916">
        <w:rPr>
          <w:rFonts w:ascii="Times New Roman" w:hAnsi="Times New Roman" w:cs="Times New Roman"/>
          <w:sz w:val="24"/>
          <w:szCs w:val="24"/>
        </w:rPr>
        <w:t xml:space="preserve"> implying, realistically, that the national and regional economies will return to normal over the long run </w:t>
      </w:r>
      <w:r w:rsidR="001A0072">
        <w:rPr>
          <w:rFonts w:ascii="Times New Roman" w:hAnsi="Times New Roman" w:cs="Times New Roman"/>
          <w:sz w:val="24"/>
          <w:szCs w:val="24"/>
        </w:rPr>
        <w:t>following</w:t>
      </w:r>
      <w:r w:rsidR="00873916">
        <w:rPr>
          <w:rFonts w:ascii="Times New Roman" w:hAnsi="Times New Roman" w:cs="Times New Roman"/>
          <w:sz w:val="24"/>
          <w:szCs w:val="24"/>
        </w:rPr>
        <w:t xml:space="preserve"> shocks such as capital destruction, clean-up expenditures, loss of </w:t>
      </w:r>
      <w:r w:rsidR="00FD3AEB">
        <w:rPr>
          <w:rFonts w:ascii="Times New Roman" w:hAnsi="Times New Roman" w:cs="Times New Roman"/>
          <w:sz w:val="24"/>
          <w:szCs w:val="24"/>
        </w:rPr>
        <w:t>visitors</w:t>
      </w:r>
      <w:r w:rsidR="00873916">
        <w:rPr>
          <w:rFonts w:ascii="Times New Roman" w:hAnsi="Times New Roman" w:cs="Times New Roman"/>
          <w:sz w:val="24"/>
          <w:szCs w:val="24"/>
        </w:rPr>
        <w:t xml:space="preserve"> etc.  </w:t>
      </w:r>
      <w:r w:rsidR="00B210E3">
        <w:rPr>
          <w:rFonts w:ascii="Times New Roman" w:hAnsi="Times New Roman" w:cs="Times New Roman"/>
          <w:sz w:val="24"/>
          <w:szCs w:val="24"/>
        </w:rPr>
        <w:t>Consequently, it is not important that the year-20 coefficient</w:t>
      </w:r>
      <w:r w:rsidR="001A0072">
        <w:rPr>
          <w:rFonts w:ascii="Times New Roman" w:hAnsi="Times New Roman" w:cs="Times New Roman"/>
          <w:sz w:val="24"/>
          <w:szCs w:val="24"/>
        </w:rPr>
        <w:t>s</w:t>
      </w:r>
      <w:r w:rsidR="00B210E3">
        <w:rPr>
          <w:rFonts w:ascii="Times New Roman" w:hAnsi="Times New Roman" w:cs="Times New Roman"/>
          <w:sz w:val="24"/>
          <w:szCs w:val="24"/>
        </w:rPr>
        <w:t xml:space="preserve"> </w:t>
      </w:r>
      <w:r w:rsidR="001A0072">
        <w:rPr>
          <w:rFonts w:ascii="Times New Roman" w:hAnsi="Times New Roman" w:cs="Times New Roman"/>
          <w:sz w:val="24"/>
          <w:szCs w:val="24"/>
        </w:rPr>
        <w:t>for a given shock variable are not even consistent in sign across our four models</w:t>
      </w:r>
      <w:r w:rsidR="00B210E3">
        <w:rPr>
          <w:rFonts w:ascii="Times New Roman" w:hAnsi="Times New Roman" w:cs="Times New Roman"/>
          <w:sz w:val="24"/>
          <w:szCs w:val="24"/>
        </w:rPr>
        <w:t xml:space="preserve">.  For example, Table A1 shows </w:t>
      </w:r>
      <w:r w:rsidR="00873916">
        <w:rPr>
          <w:rFonts w:ascii="Times New Roman" w:hAnsi="Times New Roman" w:cs="Times New Roman"/>
          <w:sz w:val="24"/>
          <w:szCs w:val="24"/>
        </w:rPr>
        <w:t xml:space="preserve">the four Keynesian coefficients for v equals year-20 national GDP and s equals capital destruction as </w:t>
      </w:r>
      <w:r w:rsidR="00A520FE">
        <w:rPr>
          <w:rFonts w:ascii="Times New Roman" w:hAnsi="Times New Roman" w:cs="Times New Roman"/>
          <w:sz w:val="24"/>
          <w:szCs w:val="24"/>
        </w:rPr>
        <w:t xml:space="preserve">0.015, 0.011, -0.008 and -0.002.  While these may seem quite different, the right interpretation is that they are consistent in the sense of being close to zero.   </w:t>
      </w:r>
    </w:p>
    <w:p w:rsidR="00A520FE" w:rsidRDefault="00A520FE" w:rsidP="00873916">
      <w:pPr>
        <w:rPr>
          <w:rFonts w:ascii="Times New Roman" w:hAnsi="Times New Roman" w:cs="Times New Roman"/>
          <w:sz w:val="24"/>
          <w:szCs w:val="24"/>
        </w:rPr>
      </w:pPr>
      <w:r>
        <w:rPr>
          <w:rFonts w:ascii="Times New Roman" w:hAnsi="Times New Roman" w:cs="Times New Roman"/>
          <w:sz w:val="24"/>
          <w:szCs w:val="24"/>
        </w:rPr>
        <w:t xml:space="preserve">Deaths (shock 13) reduce long-run labor supply.  Consequently, the year-20 coefficients for national and regional output and employment in Table A13 are quite large relative to the corresponding year-1 coefficients.  In fact for national output and employment the year-20 coefficients are larger in absolute size than the year-1 coefficients.  For example, the average </w:t>
      </w:r>
      <w:r>
        <w:rPr>
          <w:rFonts w:ascii="Times New Roman" w:hAnsi="Times New Roman" w:cs="Times New Roman"/>
          <w:sz w:val="24"/>
          <w:szCs w:val="24"/>
        </w:rPr>
        <w:br/>
      </w:r>
    </w:p>
    <w:p w:rsidR="002D1458" w:rsidRPr="00F74C66" w:rsidRDefault="002D1458" w:rsidP="002D1458">
      <w:pPr>
        <w:pStyle w:val="ListParagraph"/>
        <w:ind w:left="900" w:hanging="900"/>
        <w:contextualSpacing w:val="0"/>
        <w:jc w:val="center"/>
        <w:rPr>
          <w:rFonts w:ascii="Times New Roman" w:hAnsi="Times New Roman" w:cs="Times New Roman"/>
          <w:b/>
          <w:i/>
          <w:sz w:val="24"/>
          <w:szCs w:val="24"/>
        </w:rPr>
      </w:pPr>
      <w:r w:rsidRPr="00F74C66">
        <w:rPr>
          <w:rFonts w:ascii="Times New Roman" w:hAnsi="Times New Roman" w:cs="Times New Roman"/>
          <w:b/>
          <w:i/>
          <w:sz w:val="24"/>
          <w:szCs w:val="24"/>
        </w:rPr>
        <w:lastRenderedPageBreak/>
        <w:t xml:space="preserve">Figure 1.  </w:t>
      </w:r>
      <w:r w:rsidR="00FD3AEB">
        <w:rPr>
          <w:rFonts w:ascii="Times New Roman" w:hAnsi="Times New Roman" w:cs="Times New Roman"/>
          <w:b/>
          <w:i/>
          <w:sz w:val="24"/>
          <w:szCs w:val="24"/>
        </w:rPr>
        <w:t xml:space="preserve">Year-1 </w:t>
      </w:r>
      <w:r w:rsidRPr="00581744">
        <w:rPr>
          <w:rFonts w:ascii="Times New Roman" w:hAnsi="Times New Roman" w:cs="Times New Roman"/>
          <w:b/>
          <w:i/>
          <w:color w:val="FF0000"/>
          <w:sz w:val="24"/>
          <w:szCs w:val="24"/>
        </w:rPr>
        <w:t xml:space="preserve">GDP </w:t>
      </w:r>
      <w:r>
        <w:rPr>
          <w:rFonts w:ascii="Times New Roman" w:hAnsi="Times New Roman" w:cs="Times New Roman"/>
          <w:b/>
          <w:i/>
          <w:sz w:val="24"/>
          <w:szCs w:val="24"/>
        </w:rPr>
        <w:t>coeff</w:t>
      </w:r>
      <w:r w:rsidR="00B825CB">
        <w:rPr>
          <w:rFonts w:ascii="Times New Roman" w:hAnsi="Times New Roman" w:cs="Times New Roman"/>
          <w:b/>
          <w:i/>
          <w:sz w:val="24"/>
          <w:szCs w:val="24"/>
        </w:rPr>
        <w:t>i</w:t>
      </w:r>
      <w:r>
        <w:rPr>
          <w:rFonts w:ascii="Times New Roman" w:hAnsi="Times New Roman" w:cs="Times New Roman"/>
          <w:b/>
          <w:i/>
          <w:sz w:val="24"/>
          <w:szCs w:val="24"/>
        </w:rPr>
        <w:t>cients</w:t>
      </w:r>
      <w:r w:rsidRPr="00F74C66">
        <w:rPr>
          <w:rFonts w:ascii="Times New Roman" w:hAnsi="Times New Roman" w:cs="Times New Roman"/>
          <w:b/>
          <w:i/>
          <w:sz w:val="24"/>
          <w:szCs w:val="24"/>
        </w:rPr>
        <w:t xml:space="preserve"> for the 14 driving factors under Keynesian assumptions </w:t>
      </w:r>
    </w:p>
    <w:p w:rsidR="002D1458" w:rsidRDefault="002D1458" w:rsidP="002D1458">
      <w:pPr>
        <w:pStyle w:val="ListParagraph"/>
        <w:ind w:left="0"/>
        <w:contextualSpacing w:val="0"/>
        <w:rPr>
          <w:rFonts w:ascii="Times New Roman" w:hAnsi="Times New Roman" w:cs="Times New Roman"/>
          <w:b/>
          <w:sz w:val="24"/>
          <w:szCs w:val="24"/>
        </w:rPr>
      </w:pPr>
      <w:r w:rsidRPr="005D590F">
        <w:rPr>
          <w:noProof/>
          <w:lang w:val="en-AU" w:eastAsia="en-AU"/>
        </w:rPr>
        <w:drawing>
          <wp:inline distT="0" distB="0" distL="0" distR="0" wp14:anchorId="50D0F544" wp14:editId="7B5E186D">
            <wp:extent cx="5731510" cy="3744821"/>
            <wp:effectExtent l="0" t="0" r="2540" b="825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731510" cy="3744821"/>
                    </a:xfrm>
                    <a:prstGeom prst="rect">
                      <a:avLst/>
                    </a:prstGeom>
                    <a:noFill/>
                    <a:ln>
                      <a:noFill/>
                    </a:ln>
                  </pic:spPr>
                </pic:pic>
              </a:graphicData>
            </a:graphic>
          </wp:inline>
        </w:drawing>
      </w:r>
    </w:p>
    <w:p w:rsidR="00A520FE" w:rsidRDefault="00A520FE" w:rsidP="002D1458">
      <w:pPr>
        <w:pStyle w:val="ListParagraph"/>
        <w:ind w:left="0"/>
        <w:contextualSpacing w:val="0"/>
        <w:rPr>
          <w:rFonts w:ascii="Times New Roman" w:hAnsi="Times New Roman" w:cs="Times New Roman"/>
          <w:b/>
          <w:sz w:val="24"/>
          <w:szCs w:val="24"/>
        </w:rPr>
      </w:pPr>
    </w:p>
    <w:p w:rsidR="002D1458" w:rsidRPr="00F74C66" w:rsidRDefault="002D1458" w:rsidP="002D1458">
      <w:pPr>
        <w:pStyle w:val="ListParagraph"/>
        <w:ind w:left="900" w:hanging="900"/>
        <w:contextualSpacing w:val="0"/>
        <w:jc w:val="center"/>
        <w:rPr>
          <w:rFonts w:ascii="Times New Roman" w:hAnsi="Times New Roman" w:cs="Times New Roman"/>
          <w:b/>
          <w:i/>
          <w:sz w:val="24"/>
          <w:szCs w:val="24"/>
        </w:rPr>
      </w:pPr>
      <w:r w:rsidRPr="00F74C66">
        <w:rPr>
          <w:rFonts w:ascii="Times New Roman" w:hAnsi="Times New Roman" w:cs="Times New Roman"/>
          <w:b/>
          <w:i/>
          <w:sz w:val="24"/>
          <w:szCs w:val="24"/>
        </w:rPr>
        <w:t xml:space="preserve">Figure </w:t>
      </w:r>
      <w:r>
        <w:rPr>
          <w:rFonts w:ascii="Times New Roman" w:hAnsi="Times New Roman" w:cs="Times New Roman"/>
          <w:b/>
          <w:i/>
          <w:sz w:val="24"/>
          <w:szCs w:val="24"/>
        </w:rPr>
        <w:t>2</w:t>
      </w:r>
      <w:r w:rsidRPr="00F74C66">
        <w:rPr>
          <w:rFonts w:ascii="Times New Roman" w:hAnsi="Times New Roman" w:cs="Times New Roman"/>
          <w:b/>
          <w:i/>
          <w:sz w:val="24"/>
          <w:szCs w:val="24"/>
        </w:rPr>
        <w:t xml:space="preserve">.  </w:t>
      </w:r>
      <w:r w:rsidR="00FD3AEB">
        <w:rPr>
          <w:rFonts w:ascii="Times New Roman" w:hAnsi="Times New Roman" w:cs="Times New Roman"/>
          <w:b/>
          <w:i/>
          <w:sz w:val="24"/>
          <w:szCs w:val="24"/>
        </w:rPr>
        <w:t>Year-1</w:t>
      </w:r>
      <w:r w:rsidRPr="00581744">
        <w:rPr>
          <w:rFonts w:ascii="Times New Roman" w:hAnsi="Times New Roman" w:cs="Times New Roman"/>
          <w:b/>
          <w:i/>
          <w:color w:val="FF0000"/>
          <w:sz w:val="24"/>
          <w:szCs w:val="24"/>
        </w:rPr>
        <w:t>GDP</w:t>
      </w:r>
      <w:r>
        <w:rPr>
          <w:rFonts w:ascii="Times New Roman" w:hAnsi="Times New Roman" w:cs="Times New Roman"/>
          <w:b/>
          <w:i/>
          <w:sz w:val="24"/>
          <w:szCs w:val="24"/>
        </w:rPr>
        <w:t xml:space="preserve"> coeff</w:t>
      </w:r>
      <w:r w:rsidR="00B825CB">
        <w:rPr>
          <w:rFonts w:ascii="Times New Roman" w:hAnsi="Times New Roman" w:cs="Times New Roman"/>
          <w:b/>
          <w:i/>
          <w:sz w:val="24"/>
          <w:szCs w:val="24"/>
        </w:rPr>
        <w:t>i</w:t>
      </w:r>
      <w:r>
        <w:rPr>
          <w:rFonts w:ascii="Times New Roman" w:hAnsi="Times New Roman" w:cs="Times New Roman"/>
          <w:b/>
          <w:i/>
          <w:sz w:val="24"/>
          <w:szCs w:val="24"/>
        </w:rPr>
        <w:t>cients</w:t>
      </w:r>
      <w:r w:rsidRPr="00F74C66">
        <w:rPr>
          <w:rFonts w:ascii="Times New Roman" w:hAnsi="Times New Roman" w:cs="Times New Roman"/>
          <w:b/>
          <w:i/>
          <w:sz w:val="24"/>
          <w:szCs w:val="24"/>
        </w:rPr>
        <w:t xml:space="preserve"> for the 14 driving factors under </w:t>
      </w:r>
      <w:r>
        <w:rPr>
          <w:rFonts w:ascii="Times New Roman" w:hAnsi="Times New Roman" w:cs="Times New Roman"/>
          <w:b/>
          <w:i/>
          <w:sz w:val="24"/>
          <w:szCs w:val="24"/>
        </w:rPr>
        <w:t>Neoclassical</w:t>
      </w:r>
      <w:r w:rsidRPr="00F74C66">
        <w:rPr>
          <w:rFonts w:ascii="Times New Roman" w:hAnsi="Times New Roman" w:cs="Times New Roman"/>
          <w:b/>
          <w:i/>
          <w:sz w:val="24"/>
          <w:szCs w:val="24"/>
        </w:rPr>
        <w:t xml:space="preserve"> assumptions </w:t>
      </w:r>
    </w:p>
    <w:p w:rsidR="002D1458" w:rsidRDefault="002D1458" w:rsidP="002D1458">
      <w:pPr>
        <w:pStyle w:val="ListParagraph"/>
        <w:ind w:left="0"/>
        <w:contextualSpacing w:val="0"/>
        <w:rPr>
          <w:rFonts w:ascii="Times New Roman" w:hAnsi="Times New Roman" w:cs="Times New Roman"/>
          <w:b/>
          <w:sz w:val="24"/>
          <w:szCs w:val="24"/>
        </w:rPr>
      </w:pPr>
      <w:r w:rsidRPr="005D590F">
        <w:rPr>
          <w:noProof/>
          <w:lang w:val="en-AU" w:eastAsia="en-AU"/>
        </w:rPr>
        <w:drawing>
          <wp:inline distT="0" distB="0" distL="0" distR="0" wp14:anchorId="63DC0EEC" wp14:editId="0C356135">
            <wp:extent cx="5731510" cy="3744821"/>
            <wp:effectExtent l="0" t="0" r="2540" b="825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731510" cy="3744821"/>
                    </a:xfrm>
                    <a:prstGeom prst="rect">
                      <a:avLst/>
                    </a:prstGeom>
                    <a:noFill/>
                    <a:ln>
                      <a:noFill/>
                    </a:ln>
                  </pic:spPr>
                </pic:pic>
              </a:graphicData>
            </a:graphic>
          </wp:inline>
        </w:drawing>
      </w:r>
    </w:p>
    <w:p w:rsidR="002D1458" w:rsidRPr="00F74C66" w:rsidRDefault="002D1458" w:rsidP="002D1458">
      <w:pPr>
        <w:pStyle w:val="ListParagraph"/>
        <w:ind w:left="900" w:hanging="900"/>
        <w:contextualSpacing w:val="0"/>
        <w:jc w:val="center"/>
        <w:rPr>
          <w:rFonts w:ascii="Times New Roman" w:hAnsi="Times New Roman" w:cs="Times New Roman"/>
          <w:b/>
          <w:i/>
          <w:sz w:val="24"/>
          <w:szCs w:val="24"/>
        </w:rPr>
      </w:pPr>
      <w:r w:rsidRPr="00F74C66">
        <w:rPr>
          <w:rFonts w:ascii="Times New Roman" w:hAnsi="Times New Roman" w:cs="Times New Roman"/>
          <w:b/>
          <w:i/>
          <w:sz w:val="24"/>
          <w:szCs w:val="24"/>
        </w:rPr>
        <w:lastRenderedPageBreak/>
        <w:t xml:space="preserve">Figure </w:t>
      </w:r>
      <w:r>
        <w:rPr>
          <w:rFonts w:ascii="Times New Roman" w:hAnsi="Times New Roman" w:cs="Times New Roman"/>
          <w:b/>
          <w:i/>
          <w:sz w:val="24"/>
          <w:szCs w:val="24"/>
        </w:rPr>
        <w:t>3</w:t>
      </w:r>
      <w:r w:rsidRPr="00F74C66">
        <w:rPr>
          <w:rFonts w:ascii="Times New Roman" w:hAnsi="Times New Roman" w:cs="Times New Roman"/>
          <w:b/>
          <w:i/>
          <w:sz w:val="24"/>
          <w:szCs w:val="24"/>
        </w:rPr>
        <w:t xml:space="preserve">.  </w:t>
      </w:r>
      <w:r w:rsidR="00FD3AEB">
        <w:rPr>
          <w:rFonts w:ascii="Times New Roman" w:hAnsi="Times New Roman" w:cs="Times New Roman"/>
          <w:b/>
          <w:i/>
          <w:sz w:val="24"/>
          <w:szCs w:val="24"/>
        </w:rPr>
        <w:t xml:space="preserve">Year-1 </w:t>
      </w:r>
      <w:r>
        <w:rPr>
          <w:rFonts w:ascii="Times New Roman" w:hAnsi="Times New Roman" w:cs="Times New Roman"/>
          <w:b/>
          <w:i/>
          <w:color w:val="FF0000"/>
          <w:sz w:val="24"/>
          <w:szCs w:val="24"/>
        </w:rPr>
        <w:t>National employment</w:t>
      </w:r>
      <w:r w:rsidRPr="00581744">
        <w:rPr>
          <w:rFonts w:ascii="Times New Roman" w:hAnsi="Times New Roman" w:cs="Times New Roman"/>
          <w:b/>
          <w:i/>
          <w:color w:val="FF0000"/>
          <w:sz w:val="24"/>
          <w:szCs w:val="24"/>
        </w:rPr>
        <w:t xml:space="preserve"> </w:t>
      </w:r>
      <w:r>
        <w:rPr>
          <w:rFonts w:ascii="Times New Roman" w:hAnsi="Times New Roman" w:cs="Times New Roman"/>
          <w:b/>
          <w:i/>
          <w:sz w:val="24"/>
          <w:szCs w:val="24"/>
        </w:rPr>
        <w:t>coeff</w:t>
      </w:r>
      <w:r w:rsidR="00B825CB">
        <w:rPr>
          <w:rFonts w:ascii="Times New Roman" w:hAnsi="Times New Roman" w:cs="Times New Roman"/>
          <w:b/>
          <w:i/>
          <w:sz w:val="24"/>
          <w:szCs w:val="24"/>
        </w:rPr>
        <w:t>i</w:t>
      </w:r>
      <w:r>
        <w:rPr>
          <w:rFonts w:ascii="Times New Roman" w:hAnsi="Times New Roman" w:cs="Times New Roman"/>
          <w:b/>
          <w:i/>
          <w:sz w:val="24"/>
          <w:szCs w:val="24"/>
        </w:rPr>
        <w:t>cients</w:t>
      </w:r>
      <w:r w:rsidRPr="00F74C66">
        <w:rPr>
          <w:rFonts w:ascii="Times New Roman" w:hAnsi="Times New Roman" w:cs="Times New Roman"/>
          <w:b/>
          <w:i/>
          <w:sz w:val="24"/>
          <w:szCs w:val="24"/>
        </w:rPr>
        <w:t xml:space="preserve"> for the 14 driving factors under Keynesian assumptions </w:t>
      </w:r>
    </w:p>
    <w:p w:rsidR="002D1458" w:rsidRDefault="002D1458" w:rsidP="002D1458">
      <w:pPr>
        <w:pStyle w:val="ListParagraph"/>
        <w:ind w:left="0"/>
        <w:contextualSpacing w:val="0"/>
        <w:rPr>
          <w:rFonts w:ascii="Times New Roman" w:hAnsi="Times New Roman" w:cs="Times New Roman"/>
          <w:b/>
          <w:sz w:val="24"/>
          <w:szCs w:val="24"/>
        </w:rPr>
      </w:pPr>
      <w:r w:rsidRPr="00581744">
        <w:rPr>
          <w:noProof/>
          <w:lang w:val="en-AU" w:eastAsia="en-AU"/>
        </w:rPr>
        <w:drawing>
          <wp:inline distT="0" distB="0" distL="0" distR="0" wp14:anchorId="76DEF030" wp14:editId="61B15BA5">
            <wp:extent cx="5731510" cy="3744821"/>
            <wp:effectExtent l="0" t="0" r="254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731510" cy="3744821"/>
                    </a:xfrm>
                    <a:prstGeom prst="rect">
                      <a:avLst/>
                    </a:prstGeom>
                    <a:noFill/>
                    <a:ln>
                      <a:noFill/>
                    </a:ln>
                  </pic:spPr>
                </pic:pic>
              </a:graphicData>
            </a:graphic>
          </wp:inline>
        </w:drawing>
      </w:r>
    </w:p>
    <w:p w:rsidR="00A520FE" w:rsidRDefault="00A520FE" w:rsidP="002D1458">
      <w:pPr>
        <w:pStyle w:val="ListParagraph"/>
        <w:ind w:left="0"/>
        <w:contextualSpacing w:val="0"/>
        <w:rPr>
          <w:rFonts w:ascii="Times New Roman" w:hAnsi="Times New Roman" w:cs="Times New Roman"/>
          <w:b/>
          <w:sz w:val="24"/>
          <w:szCs w:val="24"/>
        </w:rPr>
      </w:pPr>
    </w:p>
    <w:p w:rsidR="002D1458" w:rsidRPr="00F74C66" w:rsidRDefault="002D1458" w:rsidP="002D1458">
      <w:pPr>
        <w:pStyle w:val="ListParagraph"/>
        <w:ind w:left="900" w:hanging="900"/>
        <w:contextualSpacing w:val="0"/>
        <w:jc w:val="center"/>
        <w:rPr>
          <w:rFonts w:ascii="Times New Roman" w:hAnsi="Times New Roman" w:cs="Times New Roman"/>
          <w:b/>
          <w:i/>
          <w:sz w:val="24"/>
          <w:szCs w:val="24"/>
        </w:rPr>
      </w:pPr>
      <w:r w:rsidRPr="00F74C66">
        <w:rPr>
          <w:rFonts w:ascii="Times New Roman" w:hAnsi="Times New Roman" w:cs="Times New Roman"/>
          <w:b/>
          <w:i/>
          <w:sz w:val="24"/>
          <w:szCs w:val="24"/>
        </w:rPr>
        <w:t xml:space="preserve">Figure </w:t>
      </w:r>
      <w:r>
        <w:rPr>
          <w:rFonts w:ascii="Times New Roman" w:hAnsi="Times New Roman" w:cs="Times New Roman"/>
          <w:b/>
          <w:i/>
          <w:sz w:val="24"/>
          <w:szCs w:val="24"/>
        </w:rPr>
        <w:t>4</w:t>
      </w:r>
      <w:r w:rsidRPr="00F74C66">
        <w:rPr>
          <w:rFonts w:ascii="Times New Roman" w:hAnsi="Times New Roman" w:cs="Times New Roman"/>
          <w:b/>
          <w:i/>
          <w:sz w:val="24"/>
          <w:szCs w:val="24"/>
        </w:rPr>
        <w:t xml:space="preserve">.  </w:t>
      </w:r>
      <w:r w:rsidR="00FD3AEB">
        <w:rPr>
          <w:rFonts w:ascii="Times New Roman" w:hAnsi="Times New Roman" w:cs="Times New Roman"/>
          <w:b/>
          <w:i/>
          <w:sz w:val="24"/>
          <w:szCs w:val="24"/>
        </w:rPr>
        <w:t xml:space="preserve">Year-1 </w:t>
      </w:r>
      <w:r>
        <w:rPr>
          <w:rFonts w:ascii="Times New Roman" w:hAnsi="Times New Roman" w:cs="Times New Roman"/>
          <w:b/>
          <w:i/>
          <w:color w:val="FF0000"/>
          <w:sz w:val="24"/>
          <w:szCs w:val="24"/>
        </w:rPr>
        <w:t>National employment</w:t>
      </w:r>
      <w:r w:rsidRPr="00581744">
        <w:rPr>
          <w:rFonts w:ascii="Times New Roman" w:hAnsi="Times New Roman" w:cs="Times New Roman"/>
          <w:b/>
          <w:i/>
          <w:color w:val="FF0000"/>
          <w:sz w:val="24"/>
          <w:szCs w:val="24"/>
        </w:rPr>
        <w:t xml:space="preserve"> </w:t>
      </w:r>
      <w:r>
        <w:rPr>
          <w:rFonts w:ascii="Times New Roman" w:hAnsi="Times New Roman" w:cs="Times New Roman"/>
          <w:b/>
          <w:i/>
          <w:sz w:val="24"/>
          <w:szCs w:val="24"/>
        </w:rPr>
        <w:t>coeff</w:t>
      </w:r>
      <w:r w:rsidR="00B825CB">
        <w:rPr>
          <w:rFonts w:ascii="Times New Roman" w:hAnsi="Times New Roman" w:cs="Times New Roman"/>
          <w:b/>
          <w:i/>
          <w:sz w:val="24"/>
          <w:szCs w:val="24"/>
        </w:rPr>
        <w:t>i</w:t>
      </w:r>
      <w:r>
        <w:rPr>
          <w:rFonts w:ascii="Times New Roman" w:hAnsi="Times New Roman" w:cs="Times New Roman"/>
          <w:b/>
          <w:i/>
          <w:sz w:val="24"/>
          <w:szCs w:val="24"/>
        </w:rPr>
        <w:t>cients</w:t>
      </w:r>
      <w:r w:rsidRPr="00F74C66">
        <w:rPr>
          <w:rFonts w:ascii="Times New Roman" w:hAnsi="Times New Roman" w:cs="Times New Roman"/>
          <w:b/>
          <w:i/>
          <w:sz w:val="24"/>
          <w:szCs w:val="24"/>
        </w:rPr>
        <w:t xml:space="preserve"> for the 14 driving factors under </w:t>
      </w:r>
      <w:r>
        <w:rPr>
          <w:rFonts w:ascii="Times New Roman" w:hAnsi="Times New Roman" w:cs="Times New Roman"/>
          <w:b/>
          <w:i/>
          <w:sz w:val="24"/>
          <w:szCs w:val="24"/>
        </w:rPr>
        <w:t>Neoclassical</w:t>
      </w:r>
      <w:r w:rsidRPr="00F74C66">
        <w:rPr>
          <w:rFonts w:ascii="Times New Roman" w:hAnsi="Times New Roman" w:cs="Times New Roman"/>
          <w:b/>
          <w:i/>
          <w:sz w:val="24"/>
          <w:szCs w:val="24"/>
        </w:rPr>
        <w:t xml:space="preserve"> assumptions </w:t>
      </w:r>
    </w:p>
    <w:p w:rsidR="002D1458" w:rsidRDefault="002D1458" w:rsidP="002D1458">
      <w:pPr>
        <w:pStyle w:val="ListParagraph"/>
        <w:ind w:left="0"/>
        <w:contextualSpacing w:val="0"/>
        <w:rPr>
          <w:rFonts w:ascii="Times New Roman" w:hAnsi="Times New Roman" w:cs="Times New Roman"/>
          <w:b/>
          <w:sz w:val="24"/>
          <w:szCs w:val="24"/>
        </w:rPr>
      </w:pPr>
      <w:r w:rsidRPr="00581744">
        <w:rPr>
          <w:noProof/>
          <w:lang w:val="en-AU" w:eastAsia="en-AU"/>
        </w:rPr>
        <w:drawing>
          <wp:inline distT="0" distB="0" distL="0" distR="0" wp14:anchorId="6C15ACAB" wp14:editId="168E1343">
            <wp:extent cx="5731510" cy="3744821"/>
            <wp:effectExtent l="0" t="0" r="254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731510" cy="3744821"/>
                    </a:xfrm>
                    <a:prstGeom prst="rect">
                      <a:avLst/>
                    </a:prstGeom>
                    <a:noFill/>
                    <a:ln>
                      <a:noFill/>
                    </a:ln>
                  </pic:spPr>
                </pic:pic>
              </a:graphicData>
            </a:graphic>
          </wp:inline>
        </w:drawing>
      </w:r>
    </w:p>
    <w:p w:rsidR="002D1458" w:rsidRDefault="002D1458" w:rsidP="002D1458">
      <w:pPr>
        <w:pStyle w:val="ListParagraph"/>
        <w:ind w:left="0"/>
        <w:contextualSpacing w:val="0"/>
        <w:rPr>
          <w:rFonts w:ascii="Times New Roman" w:hAnsi="Times New Roman" w:cs="Times New Roman"/>
          <w:b/>
          <w:sz w:val="24"/>
          <w:szCs w:val="24"/>
        </w:rPr>
      </w:pPr>
    </w:p>
    <w:p w:rsidR="002D1458" w:rsidRPr="00F74C66" w:rsidRDefault="002D1458" w:rsidP="002D1458">
      <w:pPr>
        <w:pStyle w:val="ListParagraph"/>
        <w:ind w:left="900" w:hanging="900"/>
        <w:contextualSpacing w:val="0"/>
        <w:jc w:val="center"/>
        <w:rPr>
          <w:rFonts w:ascii="Times New Roman" w:hAnsi="Times New Roman" w:cs="Times New Roman"/>
          <w:b/>
          <w:i/>
          <w:sz w:val="24"/>
          <w:szCs w:val="24"/>
        </w:rPr>
      </w:pPr>
      <w:r w:rsidRPr="00F74C66">
        <w:rPr>
          <w:rFonts w:ascii="Times New Roman" w:hAnsi="Times New Roman" w:cs="Times New Roman"/>
          <w:b/>
          <w:i/>
          <w:sz w:val="24"/>
          <w:szCs w:val="24"/>
        </w:rPr>
        <w:t xml:space="preserve">Figure </w:t>
      </w:r>
      <w:r>
        <w:rPr>
          <w:rFonts w:ascii="Times New Roman" w:hAnsi="Times New Roman" w:cs="Times New Roman"/>
          <w:b/>
          <w:i/>
          <w:sz w:val="24"/>
          <w:szCs w:val="24"/>
        </w:rPr>
        <w:t>5</w:t>
      </w:r>
      <w:r w:rsidRPr="00F74C66">
        <w:rPr>
          <w:rFonts w:ascii="Times New Roman" w:hAnsi="Times New Roman" w:cs="Times New Roman"/>
          <w:b/>
          <w:i/>
          <w:sz w:val="24"/>
          <w:szCs w:val="24"/>
        </w:rPr>
        <w:t xml:space="preserve">.  </w:t>
      </w:r>
      <w:r w:rsidR="00FD3AEB">
        <w:rPr>
          <w:rFonts w:ascii="Times New Roman" w:hAnsi="Times New Roman" w:cs="Times New Roman"/>
          <w:b/>
          <w:i/>
          <w:sz w:val="24"/>
          <w:szCs w:val="24"/>
        </w:rPr>
        <w:t xml:space="preserve">Year-1 </w:t>
      </w:r>
      <w:r>
        <w:rPr>
          <w:rFonts w:ascii="Times New Roman" w:hAnsi="Times New Roman" w:cs="Times New Roman"/>
          <w:b/>
          <w:i/>
          <w:color w:val="FF0000"/>
          <w:sz w:val="24"/>
          <w:szCs w:val="24"/>
        </w:rPr>
        <w:t>GRP</w:t>
      </w:r>
      <w:r w:rsidRPr="00581744">
        <w:rPr>
          <w:rFonts w:ascii="Times New Roman" w:hAnsi="Times New Roman" w:cs="Times New Roman"/>
          <w:b/>
          <w:i/>
          <w:color w:val="FF0000"/>
          <w:sz w:val="24"/>
          <w:szCs w:val="24"/>
        </w:rPr>
        <w:t xml:space="preserve"> </w:t>
      </w:r>
      <w:r>
        <w:rPr>
          <w:rFonts w:ascii="Times New Roman" w:hAnsi="Times New Roman" w:cs="Times New Roman"/>
          <w:b/>
          <w:i/>
          <w:sz w:val="24"/>
          <w:szCs w:val="24"/>
        </w:rPr>
        <w:t>coeff</w:t>
      </w:r>
      <w:r w:rsidR="00B825CB">
        <w:rPr>
          <w:rFonts w:ascii="Times New Roman" w:hAnsi="Times New Roman" w:cs="Times New Roman"/>
          <w:b/>
          <w:i/>
          <w:sz w:val="24"/>
          <w:szCs w:val="24"/>
        </w:rPr>
        <w:t>i</w:t>
      </w:r>
      <w:r>
        <w:rPr>
          <w:rFonts w:ascii="Times New Roman" w:hAnsi="Times New Roman" w:cs="Times New Roman"/>
          <w:b/>
          <w:i/>
          <w:sz w:val="24"/>
          <w:szCs w:val="24"/>
        </w:rPr>
        <w:t>cients</w:t>
      </w:r>
      <w:r w:rsidRPr="00F74C66">
        <w:rPr>
          <w:rFonts w:ascii="Times New Roman" w:hAnsi="Times New Roman" w:cs="Times New Roman"/>
          <w:b/>
          <w:i/>
          <w:sz w:val="24"/>
          <w:szCs w:val="24"/>
        </w:rPr>
        <w:t xml:space="preserve"> for the 14 driving factors under Keynesian assumptions </w:t>
      </w:r>
    </w:p>
    <w:p w:rsidR="002D1458" w:rsidRDefault="002D1458" w:rsidP="002D1458">
      <w:pPr>
        <w:pStyle w:val="ListParagraph"/>
        <w:ind w:left="0"/>
        <w:contextualSpacing w:val="0"/>
        <w:rPr>
          <w:rFonts w:ascii="Times New Roman" w:hAnsi="Times New Roman" w:cs="Times New Roman"/>
          <w:b/>
          <w:sz w:val="24"/>
          <w:szCs w:val="24"/>
        </w:rPr>
      </w:pPr>
      <w:r w:rsidRPr="00237E6E">
        <w:rPr>
          <w:noProof/>
          <w:lang w:val="en-AU" w:eastAsia="en-AU"/>
        </w:rPr>
        <w:drawing>
          <wp:inline distT="0" distB="0" distL="0" distR="0" wp14:anchorId="63859D79" wp14:editId="17F70446">
            <wp:extent cx="5731510" cy="3744821"/>
            <wp:effectExtent l="0" t="0" r="2540"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731510" cy="3744821"/>
                    </a:xfrm>
                    <a:prstGeom prst="rect">
                      <a:avLst/>
                    </a:prstGeom>
                    <a:noFill/>
                    <a:ln>
                      <a:noFill/>
                    </a:ln>
                  </pic:spPr>
                </pic:pic>
              </a:graphicData>
            </a:graphic>
          </wp:inline>
        </w:drawing>
      </w:r>
    </w:p>
    <w:p w:rsidR="00A520FE" w:rsidRDefault="00A520FE" w:rsidP="002D1458">
      <w:pPr>
        <w:pStyle w:val="ListParagraph"/>
        <w:ind w:left="0"/>
        <w:contextualSpacing w:val="0"/>
        <w:rPr>
          <w:rFonts w:ascii="Times New Roman" w:hAnsi="Times New Roman" w:cs="Times New Roman"/>
          <w:b/>
          <w:sz w:val="24"/>
          <w:szCs w:val="24"/>
        </w:rPr>
      </w:pPr>
    </w:p>
    <w:p w:rsidR="002D1458" w:rsidRDefault="002D1458" w:rsidP="002D1458">
      <w:pPr>
        <w:pStyle w:val="ListParagraph"/>
        <w:ind w:left="900" w:hanging="900"/>
        <w:contextualSpacing w:val="0"/>
        <w:jc w:val="center"/>
        <w:rPr>
          <w:rFonts w:ascii="Times New Roman" w:hAnsi="Times New Roman" w:cs="Times New Roman"/>
          <w:b/>
          <w:i/>
          <w:sz w:val="24"/>
          <w:szCs w:val="24"/>
        </w:rPr>
      </w:pPr>
      <w:r w:rsidRPr="00F74C66">
        <w:rPr>
          <w:rFonts w:ascii="Times New Roman" w:hAnsi="Times New Roman" w:cs="Times New Roman"/>
          <w:b/>
          <w:i/>
          <w:sz w:val="24"/>
          <w:szCs w:val="24"/>
        </w:rPr>
        <w:t xml:space="preserve">Figure </w:t>
      </w:r>
      <w:r>
        <w:rPr>
          <w:rFonts w:ascii="Times New Roman" w:hAnsi="Times New Roman" w:cs="Times New Roman"/>
          <w:b/>
          <w:i/>
          <w:sz w:val="24"/>
          <w:szCs w:val="24"/>
        </w:rPr>
        <w:t>6</w:t>
      </w:r>
      <w:r w:rsidRPr="00F74C66">
        <w:rPr>
          <w:rFonts w:ascii="Times New Roman" w:hAnsi="Times New Roman" w:cs="Times New Roman"/>
          <w:b/>
          <w:i/>
          <w:sz w:val="24"/>
          <w:szCs w:val="24"/>
        </w:rPr>
        <w:t xml:space="preserve">.  </w:t>
      </w:r>
      <w:r w:rsidR="00FD3AEB">
        <w:rPr>
          <w:rFonts w:ascii="Times New Roman" w:hAnsi="Times New Roman" w:cs="Times New Roman"/>
          <w:b/>
          <w:i/>
          <w:sz w:val="24"/>
          <w:szCs w:val="24"/>
        </w:rPr>
        <w:t xml:space="preserve">Year-1 </w:t>
      </w:r>
      <w:r>
        <w:rPr>
          <w:rFonts w:ascii="Times New Roman" w:hAnsi="Times New Roman" w:cs="Times New Roman"/>
          <w:b/>
          <w:i/>
          <w:color w:val="FF0000"/>
          <w:sz w:val="24"/>
          <w:szCs w:val="24"/>
        </w:rPr>
        <w:t>GRP</w:t>
      </w:r>
      <w:r w:rsidRPr="00581744">
        <w:rPr>
          <w:rFonts w:ascii="Times New Roman" w:hAnsi="Times New Roman" w:cs="Times New Roman"/>
          <w:b/>
          <w:i/>
          <w:color w:val="FF0000"/>
          <w:sz w:val="24"/>
          <w:szCs w:val="24"/>
        </w:rPr>
        <w:t xml:space="preserve"> </w:t>
      </w:r>
      <w:r>
        <w:rPr>
          <w:rFonts w:ascii="Times New Roman" w:hAnsi="Times New Roman" w:cs="Times New Roman"/>
          <w:b/>
          <w:i/>
          <w:sz w:val="24"/>
          <w:szCs w:val="24"/>
        </w:rPr>
        <w:t>coeff</w:t>
      </w:r>
      <w:r w:rsidR="00B825CB">
        <w:rPr>
          <w:rFonts w:ascii="Times New Roman" w:hAnsi="Times New Roman" w:cs="Times New Roman"/>
          <w:b/>
          <w:i/>
          <w:sz w:val="24"/>
          <w:szCs w:val="24"/>
        </w:rPr>
        <w:t>i</w:t>
      </w:r>
      <w:r>
        <w:rPr>
          <w:rFonts w:ascii="Times New Roman" w:hAnsi="Times New Roman" w:cs="Times New Roman"/>
          <w:b/>
          <w:i/>
          <w:sz w:val="24"/>
          <w:szCs w:val="24"/>
        </w:rPr>
        <w:t>cients</w:t>
      </w:r>
      <w:r w:rsidRPr="00F74C66">
        <w:rPr>
          <w:rFonts w:ascii="Times New Roman" w:hAnsi="Times New Roman" w:cs="Times New Roman"/>
          <w:b/>
          <w:i/>
          <w:sz w:val="24"/>
          <w:szCs w:val="24"/>
        </w:rPr>
        <w:t xml:space="preserve"> for the 14 driving factors under </w:t>
      </w:r>
      <w:r>
        <w:rPr>
          <w:rFonts w:ascii="Times New Roman" w:hAnsi="Times New Roman" w:cs="Times New Roman"/>
          <w:b/>
          <w:i/>
          <w:sz w:val="24"/>
          <w:szCs w:val="24"/>
        </w:rPr>
        <w:t>Neoclassical</w:t>
      </w:r>
      <w:r w:rsidRPr="00F74C66">
        <w:rPr>
          <w:rFonts w:ascii="Times New Roman" w:hAnsi="Times New Roman" w:cs="Times New Roman"/>
          <w:b/>
          <w:i/>
          <w:sz w:val="24"/>
          <w:szCs w:val="24"/>
        </w:rPr>
        <w:t xml:space="preserve"> assumptions </w:t>
      </w:r>
    </w:p>
    <w:p w:rsidR="002D1458" w:rsidRPr="00F74C66" w:rsidRDefault="002D1458" w:rsidP="002D1458">
      <w:pPr>
        <w:pStyle w:val="ListParagraph"/>
        <w:ind w:left="900" w:hanging="900"/>
        <w:contextualSpacing w:val="0"/>
        <w:jc w:val="center"/>
        <w:rPr>
          <w:rFonts w:ascii="Times New Roman" w:hAnsi="Times New Roman" w:cs="Times New Roman"/>
          <w:b/>
          <w:i/>
          <w:sz w:val="24"/>
          <w:szCs w:val="24"/>
        </w:rPr>
      </w:pPr>
      <w:r w:rsidRPr="00237E6E">
        <w:rPr>
          <w:noProof/>
          <w:lang w:val="en-AU" w:eastAsia="en-AU"/>
        </w:rPr>
        <w:drawing>
          <wp:inline distT="0" distB="0" distL="0" distR="0" wp14:anchorId="7A6BB8AF" wp14:editId="119907D0">
            <wp:extent cx="5731510" cy="3744821"/>
            <wp:effectExtent l="0" t="0" r="254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731510" cy="3744821"/>
                    </a:xfrm>
                    <a:prstGeom prst="rect">
                      <a:avLst/>
                    </a:prstGeom>
                    <a:noFill/>
                    <a:ln>
                      <a:noFill/>
                    </a:ln>
                  </pic:spPr>
                </pic:pic>
              </a:graphicData>
            </a:graphic>
          </wp:inline>
        </w:drawing>
      </w:r>
    </w:p>
    <w:p w:rsidR="002D1458" w:rsidRDefault="002D1458" w:rsidP="002D1458">
      <w:pPr>
        <w:pStyle w:val="ListParagraph"/>
        <w:ind w:left="0"/>
        <w:contextualSpacing w:val="0"/>
        <w:rPr>
          <w:rFonts w:ascii="Times New Roman" w:hAnsi="Times New Roman" w:cs="Times New Roman"/>
          <w:b/>
          <w:sz w:val="24"/>
          <w:szCs w:val="24"/>
        </w:rPr>
      </w:pPr>
    </w:p>
    <w:p w:rsidR="002D1458" w:rsidRPr="00F74C66" w:rsidRDefault="002D1458" w:rsidP="002D1458">
      <w:pPr>
        <w:pStyle w:val="ListParagraph"/>
        <w:ind w:left="900" w:hanging="900"/>
        <w:contextualSpacing w:val="0"/>
        <w:jc w:val="center"/>
        <w:rPr>
          <w:rFonts w:ascii="Times New Roman" w:hAnsi="Times New Roman" w:cs="Times New Roman"/>
          <w:b/>
          <w:i/>
          <w:sz w:val="24"/>
          <w:szCs w:val="24"/>
        </w:rPr>
      </w:pPr>
      <w:r w:rsidRPr="00F74C66">
        <w:rPr>
          <w:rFonts w:ascii="Times New Roman" w:hAnsi="Times New Roman" w:cs="Times New Roman"/>
          <w:b/>
          <w:i/>
          <w:sz w:val="24"/>
          <w:szCs w:val="24"/>
        </w:rPr>
        <w:t xml:space="preserve">Figure </w:t>
      </w:r>
      <w:r>
        <w:rPr>
          <w:rFonts w:ascii="Times New Roman" w:hAnsi="Times New Roman" w:cs="Times New Roman"/>
          <w:b/>
          <w:i/>
          <w:sz w:val="24"/>
          <w:szCs w:val="24"/>
        </w:rPr>
        <w:t>7</w:t>
      </w:r>
      <w:r w:rsidRPr="00F74C66">
        <w:rPr>
          <w:rFonts w:ascii="Times New Roman" w:hAnsi="Times New Roman" w:cs="Times New Roman"/>
          <w:b/>
          <w:i/>
          <w:sz w:val="24"/>
          <w:szCs w:val="24"/>
        </w:rPr>
        <w:t xml:space="preserve">.  </w:t>
      </w:r>
      <w:r w:rsidR="00FD3AEB">
        <w:rPr>
          <w:rFonts w:ascii="Times New Roman" w:hAnsi="Times New Roman" w:cs="Times New Roman"/>
          <w:b/>
          <w:i/>
          <w:sz w:val="24"/>
          <w:szCs w:val="24"/>
        </w:rPr>
        <w:t xml:space="preserve">Year-1 </w:t>
      </w:r>
      <w:r w:rsidR="004E1400">
        <w:rPr>
          <w:rFonts w:ascii="Times New Roman" w:hAnsi="Times New Roman" w:cs="Times New Roman"/>
          <w:b/>
          <w:i/>
          <w:color w:val="FF0000"/>
          <w:sz w:val="24"/>
          <w:szCs w:val="24"/>
        </w:rPr>
        <w:t>t</w:t>
      </w:r>
      <w:r>
        <w:rPr>
          <w:rFonts w:ascii="Times New Roman" w:hAnsi="Times New Roman" w:cs="Times New Roman"/>
          <w:b/>
          <w:i/>
          <w:color w:val="FF0000"/>
          <w:sz w:val="24"/>
          <w:szCs w:val="24"/>
        </w:rPr>
        <w:t>arget region employment</w:t>
      </w:r>
      <w:r w:rsidRPr="00581744">
        <w:rPr>
          <w:rFonts w:ascii="Times New Roman" w:hAnsi="Times New Roman" w:cs="Times New Roman"/>
          <w:b/>
          <w:i/>
          <w:color w:val="FF0000"/>
          <w:sz w:val="24"/>
          <w:szCs w:val="24"/>
        </w:rPr>
        <w:t xml:space="preserve"> </w:t>
      </w:r>
      <w:r>
        <w:rPr>
          <w:rFonts w:ascii="Times New Roman" w:hAnsi="Times New Roman" w:cs="Times New Roman"/>
          <w:b/>
          <w:i/>
          <w:sz w:val="24"/>
          <w:szCs w:val="24"/>
        </w:rPr>
        <w:t>coeff</w:t>
      </w:r>
      <w:r w:rsidR="00B825CB">
        <w:rPr>
          <w:rFonts w:ascii="Times New Roman" w:hAnsi="Times New Roman" w:cs="Times New Roman"/>
          <w:b/>
          <w:i/>
          <w:sz w:val="24"/>
          <w:szCs w:val="24"/>
        </w:rPr>
        <w:t>i</w:t>
      </w:r>
      <w:r>
        <w:rPr>
          <w:rFonts w:ascii="Times New Roman" w:hAnsi="Times New Roman" w:cs="Times New Roman"/>
          <w:b/>
          <w:i/>
          <w:sz w:val="24"/>
          <w:szCs w:val="24"/>
        </w:rPr>
        <w:t>cients</w:t>
      </w:r>
      <w:r w:rsidRPr="00F74C66">
        <w:rPr>
          <w:rFonts w:ascii="Times New Roman" w:hAnsi="Times New Roman" w:cs="Times New Roman"/>
          <w:b/>
          <w:i/>
          <w:sz w:val="24"/>
          <w:szCs w:val="24"/>
        </w:rPr>
        <w:t xml:space="preserve"> for the 14 driving factors under Keynesian assumptions</w:t>
      </w:r>
    </w:p>
    <w:p w:rsidR="002D1458" w:rsidRDefault="002D1458" w:rsidP="002D1458">
      <w:pPr>
        <w:pStyle w:val="ListParagraph"/>
        <w:ind w:left="0"/>
        <w:contextualSpacing w:val="0"/>
        <w:rPr>
          <w:rFonts w:ascii="Times New Roman" w:hAnsi="Times New Roman" w:cs="Times New Roman"/>
          <w:b/>
          <w:sz w:val="24"/>
          <w:szCs w:val="24"/>
        </w:rPr>
      </w:pPr>
      <w:r w:rsidRPr="00237E6E">
        <w:rPr>
          <w:noProof/>
          <w:lang w:val="en-AU" w:eastAsia="en-AU"/>
        </w:rPr>
        <w:drawing>
          <wp:inline distT="0" distB="0" distL="0" distR="0" wp14:anchorId="36CD822B" wp14:editId="050769AA">
            <wp:extent cx="5731510" cy="3744821"/>
            <wp:effectExtent l="0" t="0" r="254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731510" cy="3744821"/>
                    </a:xfrm>
                    <a:prstGeom prst="rect">
                      <a:avLst/>
                    </a:prstGeom>
                    <a:noFill/>
                    <a:ln>
                      <a:noFill/>
                    </a:ln>
                  </pic:spPr>
                </pic:pic>
              </a:graphicData>
            </a:graphic>
          </wp:inline>
        </w:drawing>
      </w:r>
    </w:p>
    <w:p w:rsidR="00A520FE" w:rsidRDefault="00A520FE" w:rsidP="00A520FE">
      <w:pPr>
        <w:pStyle w:val="ListParagraph"/>
        <w:spacing w:before="0"/>
        <w:ind w:left="0"/>
        <w:contextualSpacing w:val="0"/>
        <w:rPr>
          <w:rFonts w:ascii="Times New Roman" w:hAnsi="Times New Roman" w:cs="Times New Roman"/>
          <w:b/>
          <w:sz w:val="24"/>
          <w:szCs w:val="24"/>
        </w:rPr>
      </w:pPr>
    </w:p>
    <w:p w:rsidR="002D1458" w:rsidRPr="00F74C66" w:rsidRDefault="002D1458" w:rsidP="002D1458">
      <w:pPr>
        <w:pStyle w:val="ListParagraph"/>
        <w:ind w:left="900" w:hanging="900"/>
        <w:contextualSpacing w:val="0"/>
        <w:jc w:val="center"/>
        <w:rPr>
          <w:rFonts w:ascii="Times New Roman" w:hAnsi="Times New Roman" w:cs="Times New Roman"/>
          <w:b/>
          <w:i/>
          <w:sz w:val="24"/>
          <w:szCs w:val="24"/>
        </w:rPr>
      </w:pPr>
      <w:r w:rsidRPr="00F74C66">
        <w:rPr>
          <w:rFonts w:ascii="Times New Roman" w:hAnsi="Times New Roman" w:cs="Times New Roman"/>
          <w:b/>
          <w:i/>
          <w:sz w:val="24"/>
          <w:szCs w:val="24"/>
        </w:rPr>
        <w:t xml:space="preserve">Figure </w:t>
      </w:r>
      <w:r>
        <w:rPr>
          <w:rFonts w:ascii="Times New Roman" w:hAnsi="Times New Roman" w:cs="Times New Roman"/>
          <w:b/>
          <w:i/>
          <w:sz w:val="24"/>
          <w:szCs w:val="24"/>
        </w:rPr>
        <w:t>8</w:t>
      </w:r>
      <w:r w:rsidRPr="00F74C66">
        <w:rPr>
          <w:rFonts w:ascii="Times New Roman" w:hAnsi="Times New Roman" w:cs="Times New Roman"/>
          <w:b/>
          <w:i/>
          <w:sz w:val="24"/>
          <w:szCs w:val="24"/>
        </w:rPr>
        <w:t xml:space="preserve">.  </w:t>
      </w:r>
      <w:r w:rsidR="00FD3AEB">
        <w:rPr>
          <w:rFonts w:ascii="Times New Roman" w:hAnsi="Times New Roman" w:cs="Times New Roman"/>
          <w:b/>
          <w:i/>
          <w:sz w:val="24"/>
          <w:szCs w:val="24"/>
        </w:rPr>
        <w:t xml:space="preserve">Year-1 </w:t>
      </w:r>
      <w:r w:rsidR="004E1400">
        <w:rPr>
          <w:rFonts w:ascii="Times New Roman" w:hAnsi="Times New Roman" w:cs="Times New Roman"/>
          <w:b/>
          <w:i/>
          <w:color w:val="FF0000"/>
          <w:sz w:val="24"/>
          <w:szCs w:val="24"/>
        </w:rPr>
        <w:t>t</w:t>
      </w:r>
      <w:r>
        <w:rPr>
          <w:rFonts w:ascii="Times New Roman" w:hAnsi="Times New Roman" w:cs="Times New Roman"/>
          <w:b/>
          <w:i/>
          <w:color w:val="FF0000"/>
          <w:sz w:val="24"/>
          <w:szCs w:val="24"/>
        </w:rPr>
        <w:t>arget region employment</w:t>
      </w:r>
      <w:r w:rsidRPr="00581744">
        <w:rPr>
          <w:rFonts w:ascii="Times New Roman" w:hAnsi="Times New Roman" w:cs="Times New Roman"/>
          <w:b/>
          <w:i/>
          <w:color w:val="FF0000"/>
          <w:sz w:val="24"/>
          <w:szCs w:val="24"/>
        </w:rPr>
        <w:t xml:space="preserve"> </w:t>
      </w:r>
      <w:r>
        <w:rPr>
          <w:rFonts w:ascii="Times New Roman" w:hAnsi="Times New Roman" w:cs="Times New Roman"/>
          <w:b/>
          <w:i/>
          <w:sz w:val="24"/>
          <w:szCs w:val="24"/>
        </w:rPr>
        <w:t>coeff</w:t>
      </w:r>
      <w:r w:rsidR="00FD3AEB">
        <w:rPr>
          <w:rFonts w:ascii="Times New Roman" w:hAnsi="Times New Roman" w:cs="Times New Roman"/>
          <w:b/>
          <w:i/>
          <w:sz w:val="24"/>
          <w:szCs w:val="24"/>
        </w:rPr>
        <w:t>i</w:t>
      </w:r>
      <w:r>
        <w:rPr>
          <w:rFonts w:ascii="Times New Roman" w:hAnsi="Times New Roman" w:cs="Times New Roman"/>
          <w:b/>
          <w:i/>
          <w:sz w:val="24"/>
          <w:szCs w:val="24"/>
        </w:rPr>
        <w:t>cients</w:t>
      </w:r>
      <w:r w:rsidRPr="00F74C66">
        <w:rPr>
          <w:rFonts w:ascii="Times New Roman" w:hAnsi="Times New Roman" w:cs="Times New Roman"/>
          <w:b/>
          <w:i/>
          <w:sz w:val="24"/>
          <w:szCs w:val="24"/>
        </w:rPr>
        <w:t xml:space="preserve"> for the 14 driving factors under </w:t>
      </w:r>
      <w:r>
        <w:rPr>
          <w:rFonts w:ascii="Times New Roman" w:hAnsi="Times New Roman" w:cs="Times New Roman"/>
          <w:b/>
          <w:i/>
          <w:sz w:val="24"/>
          <w:szCs w:val="24"/>
        </w:rPr>
        <w:t>Neoclassical</w:t>
      </w:r>
      <w:r w:rsidRPr="00F74C66">
        <w:rPr>
          <w:rFonts w:ascii="Times New Roman" w:hAnsi="Times New Roman" w:cs="Times New Roman"/>
          <w:b/>
          <w:i/>
          <w:sz w:val="24"/>
          <w:szCs w:val="24"/>
        </w:rPr>
        <w:t xml:space="preserve"> assumptions </w:t>
      </w:r>
    </w:p>
    <w:p w:rsidR="002D1458" w:rsidRDefault="002D1458" w:rsidP="002D1458">
      <w:pPr>
        <w:pStyle w:val="ListParagraph"/>
        <w:ind w:left="0"/>
        <w:contextualSpacing w:val="0"/>
        <w:rPr>
          <w:rFonts w:ascii="Times New Roman" w:hAnsi="Times New Roman" w:cs="Times New Roman"/>
          <w:b/>
          <w:sz w:val="24"/>
          <w:szCs w:val="24"/>
        </w:rPr>
      </w:pPr>
      <w:r w:rsidRPr="00237E6E">
        <w:rPr>
          <w:noProof/>
          <w:lang w:val="en-AU" w:eastAsia="en-AU"/>
        </w:rPr>
        <w:drawing>
          <wp:inline distT="0" distB="0" distL="0" distR="0" wp14:anchorId="086D6186" wp14:editId="6742FF16">
            <wp:extent cx="5731510" cy="3744821"/>
            <wp:effectExtent l="0" t="0" r="254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731510" cy="3744821"/>
                    </a:xfrm>
                    <a:prstGeom prst="rect">
                      <a:avLst/>
                    </a:prstGeom>
                    <a:noFill/>
                    <a:ln>
                      <a:noFill/>
                    </a:ln>
                  </pic:spPr>
                </pic:pic>
              </a:graphicData>
            </a:graphic>
          </wp:inline>
        </w:drawing>
      </w:r>
    </w:p>
    <w:p w:rsidR="002D1458" w:rsidRPr="00F74C66" w:rsidRDefault="002D1458" w:rsidP="002D1458">
      <w:pPr>
        <w:pStyle w:val="ListParagraph"/>
        <w:ind w:left="900" w:hanging="900"/>
        <w:contextualSpacing w:val="0"/>
        <w:jc w:val="center"/>
        <w:rPr>
          <w:rFonts w:ascii="Times New Roman" w:hAnsi="Times New Roman" w:cs="Times New Roman"/>
          <w:b/>
          <w:i/>
          <w:sz w:val="24"/>
          <w:szCs w:val="24"/>
        </w:rPr>
      </w:pPr>
      <w:r w:rsidRPr="00F74C66">
        <w:rPr>
          <w:rFonts w:ascii="Times New Roman" w:hAnsi="Times New Roman" w:cs="Times New Roman"/>
          <w:b/>
          <w:i/>
          <w:sz w:val="24"/>
          <w:szCs w:val="24"/>
        </w:rPr>
        <w:lastRenderedPageBreak/>
        <w:t xml:space="preserve">Figure </w:t>
      </w:r>
      <w:r>
        <w:rPr>
          <w:rFonts w:ascii="Times New Roman" w:hAnsi="Times New Roman" w:cs="Times New Roman"/>
          <w:b/>
          <w:i/>
          <w:sz w:val="24"/>
          <w:szCs w:val="24"/>
        </w:rPr>
        <w:t>9</w:t>
      </w:r>
      <w:r w:rsidRPr="00F74C66">
        <w:rPr>
          <w:rFonts w:ascii="Times New Roman" w:hAnsi="Times New Roman" w:cs="Times New Roman"/>
          <w:b/>
          <w:i/>
          <w:sz w:val="24"/>
          <w:szCs w:val="24"/>
        </w:rPr>
        <w:t xml:space="preserve">.  </w:t>
      </w:r>
      <w:r>
        <w:rPr>
          <w:rFonts w:ascii="Times New Roman" w:hAnsi="Times New Roman" w:cs="Times New Roman"/>
          <w:b/>
          <w:i/>
          <w:color w:val="FF0000"/>
          <w:sz w:val="24"/>
          <w:szCs w:val="24"/>
        </w:rPr>
        <w:t>Coefficients for cumulative welfare with discount rate 0.05</w:t>
      </w:r>
      <w:r w:rsidRPr="00F74C66">
        <w:rPr>
          <w:rFonts w:ascii="Times New Roman" w:hAnsi="Times New Roman" w:cs="Times New Roman"/>
          <w:b/>
          <w:i/>
          <w:sz w:val="24"/>
          <w:szCs w:val="24"/>
        </w:rPr>
        <w:t xml:space="preserve"> for the 14 driving factors under Keynesian assumptions </w:t>
      </w:r>
    </w:p>
    <w:p w:rsidR="00A520FE" w:rsidRDefault="002D1458" w:rsidP="00A520FE">
      <w:pPr>
        <w:pStyle w:val="ListParagraph"/>
        <w:ind w:left="0"/>
        <w:contextualSpacing w:val="0"/>
        <w:rPr>
          <w:rFonts w:ascii="Times New Roman" w:hAnsi="Times New Roman" w:cs="Times New Roman"/>
          <w:b/>
          <w:i/>
          <w:sz w:val="24"/>
          <w:szCs w:val="24"/>
        </w:rPr>
      </w:pPr>
      <w:r w:rsidRPr="00DB796C">
        <w:rPr>
          <w:noProof/>
          <w:lang w:val="en-AU" w:eastAsia="en-AU"/>
        </w:rPr>
        <w:drawing>
          <wp:inline distT="0" distB="0" distL="0" distR="0" wp14:anchorId="59630AC8" wp14:editId="47A18355">
            <wp:extent cx="5731510" cy="3744821"/>
            <wp:effectExtent l="0" t="0" r="2540"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731510" cy="3744821"/>
                    </a:xfrm>
                    <a:prstGeom prst="rect">
                      <a:avLst/>
                    </a:prstGeom>
                    <a:noFill/>
                    <a:ln>
                      <a:noFill/>
                    </a:ln>
                  </pic:spPr>
                </pic:pic>
              </a:graphicData>
            </a:graphic>
          </wp:inline>
        </w:drawing>
      </w:r>
    </w:p>
    <w:p w:rsidR="00A520FE" w:rsidRDefault="00A520FE" w:rsidP="00A520FE">
      <w:pPr>
        <w:pStyle w:val="ListParagraph"/>
        <w:ind w:left="0"/>
        <w:contextualSpacing w:val="0"/>
        <w:rPr>
          <w:rFonts w:ascii="Times New Roman" w:hAnsi="Times New Roman" w:cs="Times New Roman"/>
          <w:b/>
          <w:i/>
          <w:sz w:val="24"/>
          <w:szCs w:val="24"/>
        </w:rPr>
      </w:pPr>
    </w:p>
    <w:p w:rsidR="002D1458" w:rsidRPr="00F74C66" w:rsidRDefault="002D1458" w:rsidP="00A520FE">
      <w:pPr>
        <w:pStyle w:val="ListParagraph"/>
        <w:ind w:left="0"/>
        <w:contextualSpacing w:val="0"/>
        <w:rPr>
          <w:rFonts w:ascii="Times New Roman" w:hAnsi="Times New Roman" w:cs="Times New Roman"/>
          <w:b/>
          <w:i/>
          <w:sz w:val="24"/>
          <w:szCs w:val="24"/>
        </w:rPr>
      </w:pPr>
      <w:r w:rsidRPr="00F74C66">
        <w:rPr>
          <w:rFonts w:ascii="Times New Roman" w:hAnsi="Times New Roman" w:cs="Times New Roman"/>
          <w:b/>
          <w:i/>
          <w:sz w:val="24"/>
          <w:szCs w:val="24"/>
        </w:rPr>
        <w:t xml:space="preserve">Figure </w:t>
      </w:r>
      <w:r>
        <w:rPr>
          <w:rFonts w:ascii="Times New Roman" w:hAnsi="Times New Roman" w:cs="Times New Roman"/>
          <w:b/>
          <w:i/>
          <w:sz w:val="24"/>
          <w:szCs w:val="24"/>
        </w:rPr>
        <w:t>10</w:t>
      </w:r>
      <w:r w:rsidRPr="00F74C66">
        <w:rPr>
          <w:rFonts w:ascii="Times New Roman" w:hAnsi="Times New Roman" w:cs="Times New Roman"/>
          <w:b/>
          <w:i/>
          <w:sz w:val="24"/>
          <w:szCs w:val="24"/>
        </w:rPr>
        <w:t xml:space="preserve">.  </w:t>
      </w:r>
      <w:r>
        <w:rPr>
          <w:rFonts w:ascii="Times New Roman" w:hAnsi="Times New Roman" w:cs="Times New Roman"/>
          <w:b/>
          <w:i/>
          <w:color w:val="FF0000"/>
          <w:sz w:val="24"/>
          <w:szCs w:val="24"/>
        </w:rPr>
        <w:t>Coefficients for cumulative welfare with discount rate 0.05</w:t>
      </w:r>
      <w:r w:rsidRPr="00F74C66">
        <w:rPr>
          <w:rFonts w:ascii="Times New Roman" w:hAnsi="Times New Roman" w:cs="Times New Roman"/>
          <w:b/>
          <w:i/>
          <w:sz w:val="24"/>
          <w:szCs w:val="24"/>
        </w:rPr>
        <w:t xml:space="preserve"> for the 14 driving factors under </w:t>
      </w:r>
      <w:r>
        <w:rPr>
          <w:rFonts w:ascii="Times New Roman" w:hAnsi="Times New Roman" w:cs="Times New Roman"/>
          <w:b/>
          <w:i/>
          <w:sz w:val="24"/>
          <w:szCs w:val="24"/>
        </w:rPr>
        <w:t>Neoclassical</w:t>
      </w:r>
      <w:r w:rsidRPr="00F74C66">
        <w:rPr>
          <w:rFonts w:ascii="Times New Roman" w:hAnsi="Times New Roman" w:cs="Times New Roman"/>
          <w:b/>
          <w:i/>
          <w:sz w:val="24"/>
          <w:szCs w:val="24"/>
        </w:rPr>
        <w:t xml:space="preserve"> assumptions </w:t>
      </w:r>
    </w:p>
    <w:p w:rsidR="002D1458" w:rsidRPr="00F74C66" w:rsidRDefault="002D1458" w:rsidP="002D1458">
      <w:pPr>
        <w:pStyle w:val="ListParagraph"/>
        <w:ind w:left="900" w:hanging="900"/>
        <w:contextualSpacing w:val="0"/>
        <w:jc w:val="center"/>
        <w:rPr>
          <w:rFonts w:ascii="Times New Roman" w:hAnsi="Times New Roman" w:cs="Times New Roman"/>
          <w:b/>
          <w:i/>
          <w:sz w:val="24"/>
          <w:szCs w:val="24"/>
        </w:rPr>
      </w:pPr>
      <w:r w:rsidRPr="00DB796C">
        <w:rPr>
          <w:noProof/>
          <w:lang w:val="en-AU" w:eastAsia="en-AU"/>
        </w:rPr>
        <w:drawing>
          <wp:inline distT="0" distB="0" distL="0" distR="0" wp14:anchorId="4B5634F5" wp14:editId="453A7777">
            <wp:extent cx="5731510" cy="3744821"/>
            <wp:effectExtent l="0" t="0" r="2540" b="82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731510" cy="3744821"/>
                    </a:xfrm>
                    <a:prstGeom prst="rect">
                      <a:avLst/>
                    </a:prstGeom>
                    <a:noFill/>
                    <a:ln>
                      <a:noFill/>
                    </a:ln>
                  </pic:spPr>
                </pic:pic>
              </a:graphicData>
            </a:graphic>
          </wp:inline>
        </w:drawing>
      </w:r>
    </w:p>
    <w:p w:rsidR="002D1458" w:rsidRPr="00F74C66" w:rsidRDefault="002D1458" w:rsidP="002D1458">
      <w:pPr>
        <w:pStyle w:val="ListParagraph"/>
        <w:ind w:left="900" w:hanging="900"/>
        <w:contextualSpacing w:val="0"/>
        <w:jc w:val="center"/>
        <w:rPr>
          <w:rFonts w:ascii="Times New Roman" w:hAnsi="Times New Roman" w:cs="Times New Roman"/>
          <w:b/>
          <w:i/>
          <w:sz w:val="24"/>
          <w:szCs w:val="24"/>
        </w:rPr>
      </w:pPr>
      <w:r w:rsidRPr="00F74C66">
        <w:rPr>
          <w:rFonts w:ascii="Times New Roman" w:hAnsi="Times New Roman" w:cs="Times New Roman"/>
          <w:b/>
          <w:i/>
          <w:sz w:val="24"/>
          <w:szCs w:val="24"/>
        </w:rPr>
        <w:lastRenderedPageBreak/>
        <w:t xml:space="preserve">Figure </w:t>
      </w:r>
      <w:r>
        <w:rPr>
          <w:rFonts w:ascii="Times New Roman" w:hAnsi="Times New Roman" w:cs="Times New Roman"/>
          <w:b/>
          <w:i/>
          <w:sz w:val="24"/>
          <w:szCs w:val="24"/>
        </w:rPr>
        <w:t>11</w:t>
      </w:r>
      <w:r w:rsidRPr="00F74C66">
        <w:rPr>
          <w:rFonts w:ascii="Times New Roman" w:hAnsi="Times New Roman" w:cs="Times New Roman"/>
          <w:b/>
          <w:i/>
          <w:sz w:val="24"/>
          <w:szCs w:val="24"/>
        </w:rPr>
        <w:t xml:space="preserve">.  </w:t>
      </w:r>
      <w:r>
        <w:rPr>
          <w:rFonts w:ascii="Times New Roman" w:hAnsi="Times New Roman" w:cs="Times New Roman"/>
          <w:b/>
          <w:i/>
          <w:color w:val="FF0000"/>
          <w:sz w:val="24"/>
          <w:szCs w:val="24"/>
        </w:rPr>
        <w:t xml:space="preserve">Coefficients for cumulative welfare with discount rate 0.02 </w:t>
      </w:r>
      <w:r w:rsidRPr="00F74C66">
        <w:rPr>
          <w:rFonts w:ascii="Times New Roman" w:hAnsi="Times New Roman" w:cs="Times New Roman"/>
          <w:b/>
          <w:i/>
          <w:sz w:val="24"/>
          <w:szCs w:val="24"/>
        </w:rPr>
        <w:t xml:space="preserve">for the 14 driving factors under Keynesian assumptions </w:t>
      </w:r>
    </w:p>
    <w:p w:rsidR="002D1458" w:rsidRDefault="002D1458" w:rsidP="002D1458">
      <w:pPr>
        <w:pStyle w:val="ListParagraph"/>
        <w:ind w:left="0"/>
        <w:contextualSpacing w:val="0"/>
        <w:rPr>
          <w:rFonts w:ascii="Times New Roman" w:hAnsi="Times New Roman" w:cs="Times New Roman"/>
          <w:b/>
          <w:sz w:val="24"/>
          <w:szCs w:val="24"/>
        </w:rPr>
      </w:pPr>
      <w:r w:rsidRPr="00DB796C">
        <w:rPr>
          <w:noProof/>
          <w:lang w:val="en-AU" w:eastAsia="en-AU"/>
        </w:rPr>
        <w:drawing>
          <wp:inline distT="0" distB="0" distL="0" distR="0" wp14:anchorId="6F05EF9D" wp14:editId="51C63CA4">
            <wp:extent cx="5731510" cy="3744821"/>
            <wp:effectExtent l="0" t="0" r="2540" b="825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731510" cy="3744821"/>
                    </a:xfrm>
                    <a:prstGeom prst="rect">
                      <a:avLst/>
                    </a:prstGeom>
                    <a:noFill/>
                    <a:ln>
                      <a:noFill/>
                    </a:ln>
                  </pic:spPr>
                </pic:pic>
              </a:graphicData>
            </a:graphic>
          </wp:inline>
        </w:drawing>
      </w:r>
    </w:p>
    <w:p w:rsidR="00A520FE" w:rsidRDefault="00A520FE" w:rsidP="002D1458">
      <w:pPr>
        <w:pStyle w:val="ListParagraph"/>
        <w:ind w:left="0"/>
        <w:contextualSpacing w:val="0"/>
        <w:rPr>
          <w:rFonts w:ascii="Times New Roman" w:hAnsi="Times New Roman" w:cs="Times New Roman"/>
          <w:b/>
          <w:sz w:val="24"/>
          <w:szCs w:val="24"/>
        </w:rPr>
      </w:pPr>
    </w:p>
    <w:p w:rsidR="002D1458" w:rsidRPr="00F74C66" w:rsidRDefault="002D1458" w:rsidP="002D1458">
      <w:pPr>
        <w:pStyle w:val="ListParagraph"/>
        <w:ind w:left="900" w:hanging="900"/>
        <w:contextualSpacing w:val="0"/>
        <w:jc w:val="center"/>
        <w:rPr>
          <w:rFonts w:ascii="Times New Roman" w:hAnsi="Times New Roman" w:cs="Times New Roman"/>
          <w:b/>
          <w:i/>
          <w:sz w:val="24"/>
          <w:szCs w:val="24"/>
        </w:rPr>
      </w:pPr>
      <w:r w:rsidRPr="00F74C66">
        <w:rPr>
          <w:rFonts w:ascii="Times New Roman" w:hAnsi="Times New Roman" w:cs="Times New Roman"/>
          <w:b/>
          <w:i/>
          <w:sz w:val="24"/>
          <w:szCs w:val="24"/>
        </w:rPr>
        <w:t xml:space="preserve">Figure </w:t>
      </w:r>
      <w:r>
        <w:rPr>
          <w:rFonts w:ascii="Times New Roman" w:hAnsi="Times New Roman" w:cs="Times New Roman"/>
          <w:b/>
          <w:i/>
          <w:sz w:val="24"/>
          <w:szCs w:val="24"/>
        </w:rPr>
        <w:t>12</w:t>
      </w:r>
      <w:r w:rsidRPr="00F74C66">
        <w:rPr>
          <w:rFonts w:ascii="Times New Roman" w:hAnsi="Times New Roman" w:cs="Times New Roman"/>
          <w:b/>
          <w:i/>
          <w:sz w:val="24"/>
          <w:szCs w:val="24"/>
        </w:rPr>
        <w:t xml:space="preserve">.  </w:t>
      </w:r>
      <w:r>
        <w:rPr>
          <w:rFonts w:ascii="Times New Roman" w:hAnsi="Times New Roman" w:cs="Times New Roman"/>
          <w:b/>
          <w:i/>
          <w:color w:val="FF0000"/>
          <w:sz w:val="24"/>
          <w:szCs w:val="24"/>
        </w:rPr>
        <w:t>Coefficients for cumulative welfare with discount rate 0.02</w:t>
      </w:r>
      <w:r w:rsidRPr="00F74C66">
        <w:rPr>
          <w:rFonts w:ascii="Times New Roman" w:hAnsi="Times New Roman" w:cs="Times New Roman"/>
          <w:b/>
          <w:i/>
          <w:sz w:val="24"/>
          <w:szCs w:val="24"/>
        </w:rPr>
        <w:t xml:space="preserve"> for the 14 driving factors under </w:t>
      </w:r>
      <w:r>
        <w:rPr>
          <w:rFonts w:ascii="Times New Roman" w:hAnsi="Times New Roman" w:cs="Times New Roman"/>
          <w:b/>
          <w:i/>
          <w:sz w:val="24"/>
          <w:szCs w:val="24"/>
        </w:rPr>
        <w:t>Neoclassical</w:t>
      </w:r>
      <w:r w:rsidRPr="00F74C66">
        <w:rPr>
          <w:rFonts w:ascii="Times New Roman" w:hAnsi="Times New Roman" w:cs="Times New Roman"/>
          <w:b/>
          <w:i/>
          <w:sz w:val="24"/>
          <w:szCs w:val="24"/>
        </w:rPr>
        <w:t xml:space="preserve"> assumptions </w:t>
      </w:r>
    </w:p>
    <w:p w:rsidR="002D1458" w:rsidRDefault="002D1458" w:rsidP="00A520FE">
      <w:pPr>
        <w:pStyle w:val="ListParagraph"/>
        <w:ind w:left="900" w:hanging="900"/>
        <w:contextualSpacing w:val="0"/>
        <w:jc w:val="center"/>
        <w:rPr>
          <w:rFonts w:ascii="Times New Roman" w:hAnsi="Times New Roman" w:cs="Times New Roman"/>
          <w:b/>
          <w:sz w:val="24"/>
          <w:szCs w:val="24"/>
        </w:rPr>
      </w:pPr>
      <w:r w:rsidRPr="00DB796C">
        <w:rPr>
          <w:noProof/>
          <w:lang w:val="en-AU" w:eastAsia="en-AU"/>
        </w:rPr>
        <w:drawing>
          <wp:inline distT="0" distB="0" distL="0" distR="0" wp14:anchorId="4546373B" wp14:editId="31C1AB99">
            <wp:extent cx="5731510" cy="3744821"/>
            <wp:effectExtent l="0" t="0" r="2540"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731510" cy="3744821"/>
                    </a:xfrm>
                    <a:prstGeom prst="rect">
                      <a:avLst/>
                    </a:prstGeom>
                    <a:noFill/>
                    <a:ln>
                      <a:noFill/>
                    </a:ln>
                  </pic:spPr>
                </pic:pic>
              </a:graphicData>
            </a:graphic>
          </wp:inline>
        </w:drawing>
      </w:r>
    </w:p>
    <w:p w:rsidR="002D1458" w:rsidRDefault="002D1458" w:rsidP="002D1458">
      <w:pPr>
        <w:sectPr w:rsidR="002D1458" w:rsidSect="008746B7">
          <w:pgSz w:w="11906" w:h="16838"/>
          <w:pgMar w:top="1440" w:right="1440" w:bottom="1440" w:left="1440" w:header="708" w:footer="708" w:gutter="0"/>
          <w:cols w:space="708"/>
          <w:docGrid w:linePitch="360"/>
        </w:sectPr>
      </w:pPr>
    </w:p>
    <w:p w:rsidR="001A0072" w:rsidRDefault="00A520FE" w:rsidP="00873916">
      <w:pPr>
        <w:rPr>
          <w:rFonts w:ascii="Times New Roman" w:hAnsi="Times New Roman" w:cs="Times New Roman"/>
          <w:sz w:val="24"/>
          <w:szCs w:val="24"/>
        </w:rPr>
      </w:pPr>
      <w:r>
        <w:rPr>
          <w:rFonts w:ascii="Times New Roman" w:hAnsi="Times New Roman" w:cs="Times New Roman"/>
          <w:sz w:val="24"/>
          <w:szCs w:val="24"/>
        </w:rPr>
        <w:lastRenderedPageBreak/>
        <w:t xml:space="preserve">year-20 Keynesian coefficient for GDP is -0.955 whereas the corresponding year -1 </w:t>
      </w:r>
      <w:r w:rsidR="00AA3B72">
        <w:rPr>
          <w:rFonts w:ascii="Times New Roman" w:hAnsi="Times New Roman" w:cs="Times New Roman"/>
          <w:sz w:val="24"/>
          <w:szCs w:val="24"/>
        </w:rPr>
        <w:t xml:space="preserve">coefficient is -0.55.  In the short run loss of workers is compensated to some extent by a reduction in unemployment. </w:t>
      </w:r>
      <w:r w:rsidR="00DD4496">
        <w:rPr>
          <w:rFonts w:ascii="Times New Roman" w:hAnsi="Times New Roman" w:cs="Times New Roman"/>
          <w:sz w:val="24"/>
          <w:szCs w:val="24"/>
        </w:rPr>
        <w:t xml:space="preserve"> </w:t>
      </w:r>
      <w:r w:rsidR="00AA3B72">
        <w:rPr>
          <w:rFonts w:ascii="Times New Roman" w:hAnsi="Times New Roman" w:cs="Times New Roman"/>
          <w:sz w:val="24"/>
          <w:szCs w:val="24"/>
        </w:rPr>
        <w:t xml:space="preserve">This effect disappears in the long run when the unemployment rate returns to its normal level.  Similar to the situation with the year-1 coefficients, the year-20 coefficients for output and employment </w:t>
      </w:r>
      <w:r w:rsidR="00DD4496">
        <w:rPr>
          <w:rFonts w:ascii="Times New Roman" w:hAnsi="Times New Roman" w:cs="Times New Roman"/>
          <w:sz w:val="24"/>
          <w:szCs w:val="24"/>
        </w:rPr>
        <w:t xml:space="preserve">exhibit a satisfactory level of consistency for all shocks across our four models at the national level but are less satisfactory at the regional level.  </w:t>
      </w:r>
    </w:p>
    <w:p w:rsidR="00DD4496" w:rsidRDefault="00DD4496" w:rsidP="00873916">
      <w:pPr>
        <w:rPr>
          <w:rFonts w:ascii="Times New Roman" w:hAnsi="Times New Roman" w:cs="Times New Roman"/>
          <w:sz w:val="24"/>
          <w:szCs w:val="24"/>
        </w:rPr>
      </w:pPr>
      <w:r>
        <w:rPr>
          <w:rFonts w:ascii="Times New Roman" w:hAnsi="Times New Roman" w:cs="Times New Roman"/>
          <w:sz w:val="24"/>
          <w:szCs w:val="24"/>
        </w:rPr>
        <w:t xml:space="preserve">Aversion (shock 14) has regional effects but negligible national effects.  The regional effects are sustained.  Consequently, Table A14 shows relatively large year-20 coefficients for regional output and employment.  These are consistent across our four models.  Consequently we can be reasonably confident about the long-run elasticities of regional output and employment with respect to aversion.  </w:t>
      </w:r>
    </w:p>
    <w:p w:rsidR="00DD4496" w:rsidRDefault="00673C6A" w:rsidP="00873916">
      <w:pPr>
        <w:rPr>
          <w:rFonts w:ascii="Times New Roman" w:hAnsi="Times New Roman" w:cs="Times New Roman"/>
          <w:b/>
          <w:i/>
          <w:sz w:val="24"/>
          <w:szCs w:val="24"/>
        </w:rPr>
      </w:pPr>
      <w:r>
        <w:rPr>
          <w:rFonts w:ascii="Times New Roman" w:hAnsi="Times New Roman" w:cs="Times New Roman"/>
          <w:b/>
          <w:i/>
          <w:sz w:val="24"/>
          <w:szCs w:val="24"/>
        </w:rPr>
        <w:t xml:space="preserve">A1.2.  </w:t>
      </w:r>
      <w:r w:rsidR="00076152">
        <w:rPr>
          <w:rFonts w:ascii="Times New Roman" w:hAnsi="Times New Roman" w:cs="Times New Roman"/>
          <w:b/>
          <w:i/>
          <w:sz w:val="24"/>
          <w:szCs w:val="24"/>
        </w:rPr>
        <w:t>Notes on the relevant variables</w:t>
      </w:r>
    </w:p>
    <w:p w:rsidR="00D12486" w:rsidRDefault="00076152" w:rsidP="00873916">
      <w:pPr>
        <w:rPr>
          <w:rFonts w:ascii="Times New Roman" w:hAnsi="Times New Roman" w:cs="Times New Roman"/>
          <w:sz w:val="24"/>
          <w:szCs w:val="24"/>
        </w:rPr>
      </w:pPr>
      <w:r>
        <w:rPr>
          <w:rFonts w:ascii="Times New Roman" w:hAnsi="Times New Roman" w:cs="Times New Roman"/>
          <w:sz w:val="24"/>
          <w:szCs w:val="24"/>
        </w:rPr>
        <w:t xml:space="preserve">In most cases the choice of relevant variable was straightforward and is adequately explained </w:t>
      </w:r>
      <w:r w:rsidR="004E1400">
        <w:rPr>
          <w:rFonts w:ascii="Times New Roman" w:hAnsi="Times New Roman" w:cs="Times New Roman"/>
          <w:sz w:val="24"/>
          <w:szCs w:val="24"/>
        </w:rPr>
        <w:t>by</w:t>
      </w:r>
      <w:r>
        <w:rPr>
          <w:rFonts w:ascii="Times New Roman" w:hAnsi="Times New Roman" w:cs="Times New Roman"/>
          <w:sz w:val="24"/>
          <w:szCs w:val="24"/>
        </w:rPr>
        <w:t xml:space="preserve"> the note</w:t>
      </w:r>
      <w:r w:rsidR="004E1400">
        <w:rPr>
          <w:rFonts w:ascii="Times New Roman" w:hAnsi="Times New Roman" w:cs="Times New Roman"/>
          <w:sz w:val="24"/>
          <w:szCs w:val="24"/>
        </w:rPr>
        <w:t>s</w:t>
      </w:r>
      <w:r>
        <w:rPr>
          <w:rFonts w:ascii="Times New Roman" w:hAnsi="Times New Roman" w:cs="Times New Roman"/>
          <w:sz w:val="24"/>
          <w:szCs w:val="24"/>
        </w:rPr>
        <w:t xml:space="preserve"> </w:t>
      </w:r>
      <w:r w:rsidR="004E1400">
        <w:rPr>
          <w:rFonts w:ascii="Times New Roman" w:hAnsi="Times New Roman" w:cs="Times New Roman"/>
          <w:sz w:val="24"/>
          <w:szCs w:val="24"/>
        </w:rPr>
        <w:t>in</w:t>
      </w:r>
      <w:r>
        <w:rPr>
          <w:rFonts w:ascii="Times New Roman" w:hAnsi="Times New Roman" w:cs="Times New Roman"/>
          <w:sz w:val="24"/>
          <w:szCs w:val="24"/>
        </w:rPr>
        <w:t xml:space="preserve"> Tables A1 to A14.  </w:t>
      </w:r>
      <w:r w:rsidR="00D12486">
        <w:rPr>
          <w:rFonts w:ascii="Times New Roman" w:hAnsi="Times New Roman" w:cs="Times New Roman"/>
          <w:sz w:val="24"/>
          <w:szCs w:val="24"/>
        </w:rPr>
        <w:t>Here we provide some additional notes on the more difficult cases.</w:t>
      </w:r>
    </w:p>
    <w:p w:rsidR="00AC2CCE" w:rsidRDefault="00E006AA" w:rsidP="00873916">
      <w:pPr>
        <w:rPr>
          <w:rFonts w:ascii="Times New Roman" w:hAnsi="Times New Roman" w:cs="Times New Roman"/>
          <w:sz w:val="24"/>
          <w:szCs w:val="24"/>
        </w:rPr>
      </w:pPr>
      <w:r>
        <w:rPr>
          <w:rFonts w:ascii="Times New Roman" w:hAnsi="Times New Roman" w:cs="Times New Roman"/>
          <w:sz w:val="24"/>
          <w:szCs w:val="24"/>
        </w:rPr>
        <w:t xml:space="preserve">The first case </w:t>
      </w:r>
      <w:r w:rsidR="00960410">
        <w:rPr>
          <w:rFonts w:ascii="Times New Roman" w:hAnsi="Times New Roman" w:cs="Times New Roman"/>
          <w:sz w:val="24"/>
          <w:szCs w:val="24"/>
        </w:rPr>
        <w:t>for</w:t>
      </w:r>
      <w:r>
        <w:rPr>
          <w:rFonts w:ascii="Times New Roman" w:hAnsi="Times New Roman" w:cs="Times New Roman"/>
          <w:sz w:val="24"/>
          <w:szCs w:val="24"/>
        </w:rPr>
        <w:t xml:space="preserve"> which further explanation is warranted is the relevant variable </w:t>
      </w:r>
      <w:r w:rsidR="00960410">
        <w:rPr>
          <w:rFonts w:ascii="Times New Roman" w:hAnsi="Times New Roman" w:cs="Times New Roman"/>
          <w:sz w:val="24"/>
          <w:szCs w:val="24"/>
        </w:rPr>
        <w:t xml:space="preserve">in Table A4 </w:t>
      </w:r>
      <w:r w:rsidR="004E1400">
        <w:rPr>
          <w:rFonts w:ascii="Times New Roman" w:hAnsi="Times New Roman" w:cs="Times New Roman"/>
          <w:sz w:val="24"/>
          <w:szCs w:val="24"/>
        </w:rPr>
        <w:t>for</w:t>
      </w:r>
      <w:r>
        <w:rPr>
          <w:rFonts w:ascii="Times New Roman" w:hAnsi="Times New Roman" w:cs="Times New Roman"/>
          <w:sz w:val="24"/>
          <w:szCs w:val="24"/>
        </w:rPr>
        <w:t xml:space="preserve"> s </w:t>
      </w:r>
      <w:r w:rsidR="00960410">
        <w:rPr>
          <w:rFonts w:ascii="Times New Roman" w:hAnsi="Times New Roman" w:cs="Times New Roman"/>
          <w:sz w:val="24"/>
          <w:szCs w:val="24"/>
        </w:rPr>
        <w:t xml:space="preserve">equals public health </w:t>
      </w:r>
      <w:r>
        <w:rPr>
          <w:rFonts w:ascii="Times New Roman" w:hAnsi="Times New Roman" w:cs="Times New Roman"/>
          <w:sz w:val="24"/>
          <w:szCs w:val="24"/>
        </w:rPr>
        <w:t xml:space="preserve">and v equals regional output and employment.  In designing this relevant variable we assumed that </w:t>
      </w:r>
      <w:r w:rsidR="00960410">
        <w:rPr>
          <w:rFonts w:ascii="Times New Roman" w:hAnsi="Times New Roman" w:cs="Times New Roman"/>
          <w:sz w:val="24"/>
          <w:szCs w:val="24"/>
        </w:rPr>
        <w:t xml:space="preserve">the target region maintains its share in the production of the </w:t>
      </w:r>
      <w:r w:rsidR="004E1400">
        <w:rPr>
          <w:rFonts w:ascii="Times New Roman" w:hAnsi="Times New Roman" w:cs="Times New Roman"/>
          <w:sz w:val="24"/>
          <w:szCs w:val="24"/>
        </w:rPr>
        <w:t>T</w:t>
      </w:r>
      <w:r w:rsidR="00960410">
        <w:rPr>
          <w:rFonts w:ascii="Times New Roman" w:hAnsi="Times New Roman" w:cs="Times New Roman"/>
          <w:sz w:val="24"/>
          <w:szCs w:val="24"/>
        </w:rPr>
        <w:t>arget city’s public health s</w:t>
      </w:r>
      <w:r w:rsidR="00AC2CCE">
        <w:rPr>
          <w:rFonts w:ascii="Times New Roman" w:hAnsi="Times New Roman" w:cs="Times New Roman"/>
          <w:sz w:val="24"/>
          <w:szCs w:val="24"/>
        </w:rPr>
        <w:t xml:space="preserve">ervices.  This gave us the numerator of the relevant variable.  The denominator is the target region’s GRP.  Thus the relevant variable is an estimate of the percentage impact boost to the </w:t>
      </w:r>
      <w:r w:rsidR="004E1400">
        <w:rPr>
          <w:rFonts w:ascii="Times New Roman" w:hAnsi="Times New Roman" w:cs="Times New Roman"/>
          <w:sz w:val="24"/>
          <w:szCs w:val="24"/>
        </w:rPr>
        <w:t>target region’s economy</w:t>
      </w:r>
      <w:r w:rsidR="00AC2CCE">
        <w:rPr>
          <w:rFonts w:ascii="Times New Roman" w:hAnsi="Times New Roman" w:cs="Times New Roman"/>
          <w:sz w:val="24"/>
          <w:szCs w:val="24"/>
        </w:rPr>
        <w:t xml:space="preserve"> of a 1 per cent increase in public health expenditures in the </w:t>
      </w:r>
      <w:r w:rsidR="004E1400">
        <w:rPr>
          <w:rFonts w:ascii="Times New Roman" w:hAnsi="Times New Roman" w:cs="Times New Roman"/>
          <w:sz w:val="24"/>
          <w:szCs w:val="24"/>
        </w:rPr>
        <w:t>T</w:t>
      </w:r>
      <w:r w:rsidR="00AC2CCE">
        <w:rPr>
          <w:rFonts w:ascii="Times New Roman" w:hAnsi="Times New Roman" w:cs="Times New Roman"/>
          <w:sz w:val="24"/>
          <w:szCs w:val="24"/>
        </w:rPr>
        <w:t xml:space="preserve">arget city.  </w:t>
      </w:r>
    </w:p>
    <w:p w:rsidR="00967939" w:rsidRDefault="004E1400" w:rsidP="00AC2CCE">
      <w:pPr>
        <w:tabs>
          <w:tab w:val="left" w:pos="720"/>
          <w:tab w:val="right" w:pos="8820"/>
        </w:tabs>
        <w:rPr>
          <w:rFonts w:ascii="Times New Roman" w:hAnsi="Times New Roman" w:cs="Times New Roman"/>
          <w:sz w:val="24"/>
          <w:szCs w:val="24"/>
        </w:rPr>
      </w:pPr>
      <w:r>
        <w:rPr>
          <w:rFonts w:ascii="Times New Roman" w:hAnsi="Times New Roman" w:cs="Times New Roman"/>
          <w:sz w:val="24"/>
          <w:szCs w:val="24"/>
        </w:rPr>
        <w:t>In</w:t>
      </w:r>
      <w:r w:rsidR="00AC2CCE">
        <w:rPr>
          <w:rFonts w:ascii="Times New Roman" w:hAnsi="Times New Roman" w:cs="Times New Roman"/>
          <w:sz w:val="24"/>
          <w:szCs w:val="24"/>
        </w:rPr>
        <w:t xml:space="preserve"> Table A5 the relevant variable </w:t>
      </w:r>
      <w:r w:rsidR="00967939">
        <w:rPr>
          <w:rFonts w:ascii="Times New Roman" w:hAnsi="Times New Roman" w:cs="Times New Roman"/>
          <w:sz w:val="24"/>
          <w:szCs w:val="24"/>
        </w:rPr>
        <w:t xml:space="preserve">for s equals accommodation expenditure and v equals regional output and employment reflects a similar approach to that for the regional RV in Table A4.  </w:t>
      </w:r>
      <w:r w:rsidR="00AC2CCE">
        <w:rPr>
          <w:rFonts w:ascii="Times New Roman" w:hAnsi="Times New Roman" w:cs="Times New Roman"/>
          <w:sz w:val="24"/>
          <w:szCs w:val="24"/>
        </w:rPr>
        <w:t xml:space="preserve">In simulating the effects of </w:t>
      </w:r>
      <w:r w:rsidR="00967939">
        <w:rPr>
          <w:rFonts w:ascii="Times New Roman" w:hAnsi="Times New Roman" w:cs="Times New Roman"/>
          <w:sz w:val="24"/>
          <w:szCs w:val="24"/>
        </w:rPr>
        <w:t>accommodation</w:t>
      </w:r>
      <w:r w:rsidR="00AC2CCE">
        <w:rPr>
          <w:rFonts w:ascii="Times New Roman" w:hAnsi="Times New Roman" w:cs="Times New Roman"/>
          <w:sz w:val="24"/>
          <w:szCs w:val="24"/>
        </w:rPr>
        <w:t xml:space="preserve"> expenditures, we assume that only 75 per cent are “additional”.  We assume that the remaining 25 per cent is financed by reductions in household expenditure on other items.  This explains the appearance of “0.75” in the definitions of the relevant variables at the foot of Table</w:t>
      </w:r>
      <w:r w:rsidR="00967939">
        <w:rPr>
          <w:rFonts w:ascii="Times New Roman" w:hAnsi="Times New Roman" w:cs="Times New Roman"/>
          <w:sz w:val="24"/>
          <w:szCs w:val="24"/>
        </w:rPr>
        <w:t xml:space="preserve"> A5.</w:t>
      </w:r>
      <w:r w:rsidR="00485112">
        <w:rPr>
          <w:rFonts w:ascii="Times New Roman" w:hAnsi="Times New Roman" w:cs="Times New Roman"/>
          <w:sz w:val="24"/>
          <w:szCs w:val="24"/>
        </w:rPr>
        <w:t xml:space="preserve">  The same explanation applies to the “0.75” in the RVs in Table A6 for accommodation expenses outside the </w:t>
      </w:r>
      <w:r>
        <w:rPr>
          <w:rFonts w:ascii="Times New Roman" w:hAnsi="Times New Roman" w:cs="Times New Roman"/>
          <w:sz w:val="24"/>
          <w:szCs w:val="24"/>
        </w:rPr>
        <w:t>T</w:t>
      </w:r>
      <w:r w:rsidR="00485112">
        <w:rPr>
          <w:rFonts w:ascii="Times New Roman" w:hAnsi="Times New Roman" w:cs="Times New Roman"/>
          <w:sz w:val="24"/>
          <w:szCs w:val="24"/>
        </w:rPr>
        <w:t xml:space="preserve">arget city.  </w:t>
      </w:r>
    </w:p>
    <w:p w:rsidR="003047D4" w:rsidRDefault="003047D4" w:rsidP="00AC2CCE">
      <w:pPr>
        <w:tabs>
          <w:tab w:val="left" w:pos="720"/>
          <w:tab w:val="right" w:pos="8820"/>
        </w:tabs>
        <w:rPr>
          <w:rFonts w:ascii="Times New Roman" w:hAnsi="Times New Roman" w:cs="Times New Roman"/>
          <w:sz w:val="24"/>
          <w:szCs w:val="24"/>
        </w:rPr>
      </w:pPr>
      <w:r>
        <w:rPr>
          <w:rFonts w:ascii="Times New Roman" w:hAnsi="Times New Roman" w:cs="Times New Roman"/>
          <w:sz w:val="24"/>
          <w:szCs w:val="24"/>
        </w:rPr>
        <w:t xml:space="preserve">For understanding the regional RV variable in Table A6, the easiest place to start is the term in square brackets.  This indicates the importance to the economy outside the </w:t>
      </w:r>
      <w:r w:rsidR="004E1400">
        <w:rPr>
          <w:rFonts w:ascii="Times New Roman" w:hAnsi="Times New Roman" w:cs="Times New Roman"/>
          <w:sz w:val="24"/>
          <w:szCs w:val="24"/>
        </w:rPr>
        <w:t>T</w:t>
      </w:r>
      <w:r>
        <w:rPr>
          <w:rFonts w:ascii="Times New Roman" w:hAnsi="Times New Roman" w:cs="Times New Roman"/>
          <w:sz w:val="24"/>
          <w:szCs w:val="24"/>
        </w:rPr>
        <w:t xml:space="preserve">arget city of a boost in accommodation expenditure.  To translate this into implications for the target region we multiply by the share of the target region’s output that is sold outside the </w:t>
      </w:r>
      <w:r w:rsidR="004E1400">
        <w:rPr>
          <w:rFonts w:ascii="Times New Roman" w:hAnsi="Times New Roman" w:cs="Times New Roman"/>
          <w:sz w:val="24"/>
          <w:szCs w:val="24"/>
        </w:rPr>
        <w:t>T</w:t>
      </w:r>
      <w:r>
        <w:rPr>
          <w:rFonts w:ascii="Times New Roman" w:hAnsi="Times New Roman" w:cs="Times New Roman"/>
          <w:sz w:val="24"/>
          <w:szCs w:val="24"/>
        </w:rPr>
        <w:t xml:space="preserve">arget city.  </w:t>
      </w:r>
      <w:r w:rsidR="0052140A">
        <w:rPr>
          <w:rFonts w:ascii="Times New Roman" w:hAnsi="Times New Roman" w:cs="Times New Roman"/>
          <w:sz w:val="24"/>
          <w:szCs w:val="24"/>
        </w:rPr>
        <w:t xml:space="preserve">A similar approach was used in defining the regional RV in Table A10.  </w:t>
      </w:r>
    </w:p>
    <w:p w:rsidR="000134FF" w:rsidRDefault="0096636A" w:rsidP="000134FF">
      <w:pPr>
        <w:tabs>
          <w:tab w:val="left" w:pos="720"/>
          <w:tab w:val="right" w:pos="8820"/>
        </w:tabs>
        <w:rPr>
          <w:rFonts w:ascii="Times New Roman" w:hAnsi="Times New Roman" w:cs="Times New Roman"/>
          <w:sz w:val="24"/>
          <w:szCs w:val="24"/>
        </w:rPr>
      </w:pPr>
      <w:r>
        <w:rPr>
          <w:rFonts w:ascii="Times New Roman" w:hAnsi="Times New Roman" w:cs="Times New Roman"/>
          <w:sz w:val="24"/>
          <w:szCs w:val="24"/>
        </w:rPr>
        <w:t xml:space="preserve">The shock variable in Table A8 is foreign </w:t>
      </w:r>
      <w:r w:rsidR="004E1400">
        <w:rPr>
          <w:rFonts w:ascii="Times New Roman" w:hAnsi="Times New Roman" w:cs="Times New Roman"/>
          <w:sz w:val="24"/>
          <w:szCs w:val="24"/>
        </w:rPr>
        <w:t>visitor</w:t>
      </w:r>
      <w:r>
        <w:rPr>
          <w:rFonts w:ascii="Times New Roman" w:hAnsi="Times New Roman" w:cs="Times New Roman"/>
          <w:sz w:val="24"/>
          <w:szCs w:val="24"/>
        </w:rPr>
        <w:t xml:space="preserve"> expenditure outside the </w:t>
      </w:r>
      <w:r w:rsidR="004E1400">
        <w:rPr>
          <w:rFonts w:ascii="Times New Roman" w:hAnsi="Times New Roman" w:cs="Times New Roman"/>
          <w:sz w:val="24"/>
          <w:szCs w:val="24"/>
        </w:rPr>
        <w:t>T</w:t>
      </w:r>
      <w:r>
        <w:rPr>
          <w:rFonts w:ascii="Times New Roman" w:hAnsi="Times New Roman" w:cs="Times New Roman"/>
          <w:sz w:val="24"/>
          <w:szCs w:val="24"/>
        </w:rPr>
        <w:t xml:space="preserve">arget city.  The notes at the foot of the table indicate that foreign tourism expenditure outside the </w:t>
      </w:r>
      <w:r w:rsidR="004E1400">
        <w:rPr>
          <w:rFonts w:ascii="Times New Roman" w:hAnsi="Times New Roman" w:cs="Times New Roman"/>
          <w:sz w:val="24"/>
          <w:szCs w:val="24"/>
        </w:rPr>
        <w:t>T</w:t>
      </w:r>
      <w:r>
        <w:rPr>
          <w:rFonts w:ascii="Times New Roman" w:hAnsi="Times New Roman" w:cs="Times New Roman"/>
          <w:sz w:val="24"/>
          <w:szCs w:val="24"/>
        </w:rPr>
        <w:t xml:space="preserve">arget city as a share of GDP was used as the </w:t>
      </w:r>
      <w:r w:rsidR="00D12486">
        <w:rPr>
          <w:rFonts w:ascii="Times New Roman" w:hAnsi="Times New Roman" w:cs="Times New Roman"/>
          <w:sz w:val="24"/>
          <w:szCs w:val="24"/>
        </w:rPr>
        <w:t xml:space="preserve">RV for both national and regional variables.  </w:t>
      </w:r>
      <w:r>
        <w:rPr>
          <w:rFonts w:ascii="Times New Roman" w:hAnsi="Times New Roman" w:cs="Times New Roman"/>
          <w:sz w:val="24"/>
          <w:szCs w:val="24"/>
        </w:rPr>
        <w:t xml:space="preserve">This was satisfactory </w:t>
      </w:r>
      <w:r w:rsidR="001E0C00">
        <w:rPr>
          <w:rFonts w:ascii="Times New Roman" w:hAnsi="Times New Roman" w:cs="Times New Roman"/>
          <w:sz w:val="24"/>
          <w:szCs w:val="24"/>
        </w:rPr>
        <w:t xml:space="preserve">for the national implication variables.  However, at the regional level the coefficients showed considerable instability.  We tried various other specifications for the regional RV including adding a multiplicative term </w:t>
      </w:r>
      <w:r w:rsidR="000134FF">
        <w:rPr>
          <w:rFonts w:ascii="Times New Roman" w:hAnsi="Times New Roman" w:cs="Times New Roman"/>
          <w:sz w:val="24"/>
          <w:szCs w:val="24"/>
        </w:rPr>
        <w:t xml:space="preserve">(as in Table A6) to take account of sales from the target region to outside the </w:t>
      </w:r>
      <w:r w:rsidR="004E1400">
        <w:rPr>
          <w:rFonts w:ascii="Times New Roman" w:hAnsi="Times New Roman" w:cs="Times New Roman"/>
          <w:sz w:val="24"/>
          <w:szCs w:val="24"/>
        </w:rPr>
        <w:t>T</w:t>
      </w:r>
      <w:r w:rsidR="000134FF">
        <w:rPr>
          <w:rFonts w:ascii="Times New Roman" w:hAnsi="Times New Roman" w:cs="Times New Roman"/>
          <w:sz w:val="24"/>
          <w:szCs w:val="24"/>
        </w:rPr>
        <w:t xml:space="preserve">arget city.  </w:t>
      </w:r>
      <w:r w:rsidR="0090230C">
        <w:rPr>
          <w:rFonts w:ascii="Times New Roman" w:hAnsi="Times New Roman" w:cs="Times New Roman"/>
          <w:sz w:val="24"/>
          <w:szCs w:val="24"/>
        </w:rPr>
        <w:t xml:space="preserve">However, the results were not improved.  </w:t>
      </w:r>
    </w:p>
    <w:p w:rsidR="00FC5C91" w:rsidRDefault="00F2503A" w:rsidP="00AC2CCE">
      <w:pPr>
        <w:tabs>
          <w:tab w:val="left" w:pos="720"/>
          <w:tab w:val="right" w:pos="8820"/>
        </w:tabs>
        <w:rPr>
          <w:rFonts w:ascii="Times New Roman" w:hAnsi="Times New Roman" w:cs="Times New Roman"/>
          <w:sz w:val="24"/>
          <w:szCs w:val="24"/>
        </w:rPr>
      </w:pPr>
      <w:r>
        <w:rPr>
          <w:rFonts w:ascii="Times New Roman" w:hAnsi="Times New Roman" w:cs="Times New Roman"/>
          <w:sz w:val="24"/>
          <w:szCs w:val="24"/>
        </w:rPr>
        <w:t>In defining the regional RV variable in Table A11 we take account of the target region’s own production of agriculture and food.  We also recognize that the target region lose</w:t>
      </w:r>
      <w:r w:rsidR="00FC5C91">
        <w:rPr>
          <w:rFonts w:ascii="Times New Roman" w:hAnsi="Times New Roman" w:cs="Times New Roman"/>
          <w:sz w:val="24"/>
          <w:szCs w:val="24"/>
        </w:rPr>
        <w:t>s</w:t>
      </w:r>
      <w:r>
        <w:rPr>
          <w:rFonts w:ascii="Times New Roman" w:hAnsi="Times New Roman" w:cs="Times New Roman"/>
          <w:sz w:val="24"/>
          <w:szCs w:val="24"/>
        </w:rPr>
        <w:t xml:space="preserve"> from its </w:t>
      </w:r>
      <w:r>
        <w:rPr>
          <w:rFonts w:ascii="Times New Roman" w:hAnsi="Times New Roman" w:cs="Times New Roman"/>
          <w:sz w:val="24"/>
          <w:szCs w:val="24"/>
        </w:rPr>
        <w:lastRenderedPageBreak/>
        <w:t xml:space="preserve">connections with the </w:t>
      </w:r>
      <w:r w:rsidR="004E1400">
        <w:rPr>
          <w:rFonts w:ascii="Times New Roman" w:hAnsi="Times New Roman" w:cs="Times New Roman"/>
          <w:sz w:val="24"/>
          <w:szCs w:val="24"/>
        </w:rPr>
        <w:t>R</w:t>
      </w:r>
      <w:r>
        <w:rPr>
          <w:rFonts w:ascii="Times New Roman" w:hAnsi="Times New Roman" w:cs="Times New Roman"/>
          <w:sz w:val="24"/>
          <w:szCs w:val="24"/>
        </w:rPr>
        <w:t xml:space="preserve">est of the target city and </w:t>
      </w:r>
      <w:r w:rsidR="00FC5C91">
        <w:rPr>
          <w:rFonts w:ascii="Times New Roman" w:hAnsi="Times New Roman" w:cs="Times New Roman"/>
          <w:sz w:val="24"/>
          <w:szCs w:val="24"/>
        </w:rPr>
        <w:t xml:space="preserve">the </w:t>
      </w:r>
      <w:r w:rsidR="004E1400">
        <w:rPr>
          <w:rFonts w:ascii="Times New Roman" w:hAnsi="Times New Roman" w:cs="Times New Roman"/>
          <w:sz w:val="24"/>
          <w:szCs w:val="24"/>
        </w:rPr>
        <w:t>R</w:t>
      </w:r>
      <w:r w:rsidR="00FC5C91">
        <w:rPr>
          <w:rFonts w:ascii="Times New Roman" w:hAnsi="Times New Roman" w:cs="Times New Roman"/>
          <w:sz w:val="24"/>
          <w:szCs w:val="24"/>
        </w:rPr>
        <w:t xml:space="preserve">est of the target state.  Both these latter regions are directly affected by loss of food production.  </w:t>
      </w:r>
    </w:p>
    <w:p w:rsidR="00F2503A" w:rsidRDefault="00D17D12" w:rsidP="00AC2CCE">
      <w:pPr>
        <w:tabs>
          <w:tab w:val="left" w:pos="720"/>
          <w:tab w:val="right" w:pos="8820"/>
        </w:tabs>
        <w:rPr>
          <w:rFonts w:ascii="Times New Roman" w:hAnsi="Times New Roman" w:cs="Times New Roman"/>
          <w:sz w:val="24"/>
          <w:szCs w:val="24"/>
        </w:rPr>
      </w:pPr>
      <w:r>
        <w:rPr>
          <w:rFonts w:ascii="Times New Roman" w:hAnsi="Times New Roman" w:cs="Times New Roman"/>
          <w:sz w:val="24"/>
          <w:szCs w:val="24"/>
        </w:rPr>
        <w:t xml:space="preserve">The regional RV in </w:t>
      </w:r>
      <w:r w:rsidR="00FC5C91">
        <w:rPr>
          <w:rFonts w:ascii="Times New Roman" w:hAnsi="Times New Roman" w:cs="Times New Roman"/>
          <w:sz w:val="24"/>
          <w:szCs w:val="24"/>
        </w:rPr>
        <w:t>Table A12</w:t>
      </w:r>
      <w:r w:rsidR="007807B4">
        <w:rPr>
          <w:rFonts w:ascii="Times New Roman" w:hAnsi="Times New Roman" w:cs="Times New Roman"/>
          <w:sz w:val="24"/>
          <w:szCs w:val="24"/>
        </w:rPr>
        <w:t xml:space="preserve"> </w:t>
      </w:r>
      <w:r>
        <w:rPr>
          <w:rFonts w:ascii="Times New Roman" w:hAnsi="Times New Roman" w:cs="Times New Roman"/>
          <w:sz w:val="24"/>
          <w:szCs w:val="24"/>
        </w:rPr>
        <w:t xml:space="preserve">captures second-round effects as well as first-round effects.  The first-round effect comes through the share of the target region’s sales that goes to the Rest of U.S. multiplied by the damage to the Rest of U.S. encapsulated by the share of U.S. output accounted for by agriculture and food.  The second-round effects come through the share of the target region’s sales that go to Rest of city and Rest of state multiplied by the first-round </w:t>
      </w:r>
      <w:r w:rsidR="006B1CD7">
        <w:rPr>
          <w:rFonts w:ascii="Times New Roman" w:hAnsi="Times New Roman" w:cs="Times New Roman"/>
          <w:sz w:val="24"/>
          <w:szCs w:val="24"/>
        </w:rPr>
        <w:t xml:space="preserve">effects on these latter two regions.  We went to this level of complexity in </w:t>
      </w:r>
      <w:r w:rsidR="004E1400">
        <w:rPr>
          <w:rFonts w:ascii="Times New Roman" w:hAnsi="Times New Roman" w:cs="Times New Roman"/>
          <w:sz w:val="24"/>
          <w:szCs w:val="24"/>
        </w:rPr>
        <w:t xml:space="preserve">a long </w:t>
      </w:r>
      <w:r w:rsidR="006B1CD7">
        <w:rPr>
          <w:rFonts w:ascii="Times New Roman" w:hAnsi="Times New Roman" w:cs="Times New Roman"/>
          <w:sz w:val="24"/>
          <w:szCs w:val="24"/>
        </w:rPr>
        <w:t>search for a satisfactory regional RV.  As can be seen from the results in Table A12, we were not successful, at least for year-1 GRP</w:t>
      </w:r>
      <w:r w:rsidR="004E1400">
        <w:rPr>
          <w:rFonts w:ascii="Times New Roman" w:hAnsi="Times New Roman" w:cs="Times New Roman"/>
          <w:sz w:val="24"/>
          <w:szCs w:val="24"/>
        </w:rPr>
        <w:t xml:space="preserve"> under Neoclassical assumptions</w:t>
      </w:r>
      <w:r w:rsidR="006B1CD7">
        <w:rPr>
          <w:rFonts w:ascii="Times New Roman" w:hAnsi="Times New Roman" w:cs="Times New Roman"/>
          <w:sz w:val="24"/>
          <w:szCs w:val="24"/>
        </w:rPr>
        <w:t>.  There</w:t>
      </w:r>
      <w:r w:rsidR="004E1400">
        <w:rPr>
          <w:rFonts w:ascii="Times New Roman" w:hAnsi="Times New Roman" w:cs="Times New Roman"/>
          <w:sz w:val="24"/>
          <w:szCs w:val="24"/>
        </w:rPr>
        <w:t>,</w:t>
      </w:r>
      <w:r w:rsidR="006B1CD7">
        <w:rPr>
          <w:rFonts w:ascii="Times New Roman" w:hAnsi="Times New Roman" w:cs="Times New Roman"/>
          <w:sz w:val="24"/>
          <w:szCs w:val="24"/>
        </w:rPr>
        <w:t xml:space="preserve"> the four coefficients are inconsistent even in sign: 0.18, -2.98, -3.09 and -1.59.  The GRP result (0.18) for FL24 is particularly strange, especially in light of the regional employment coefficient </w:t>
      </w:r>
      <w:r w:rsidR="004E1400">
        <w:rPr>
          <w:rFonts w:ascii="Times New Roman" w:hAnsi="Times New Roman" w:cs="Times New Roman"/>
          <w:sz w:val="24"/>
          <w:szCs w:val="24"/>
        </w:rPr>
        <w:br/>
      </w:r>
      <w:r w:rsidR="006B1CD7">
        <w:rPr>
          <w:rFonts w:ascii="Times New Roman" w:hAnsi="Times New Roman" w:cs="Times New Roman"/>
          <w:sz w:val="24"/>
          <w:szCs w:val="24"/>
        </w:rPr>
        <w:t xml:space="preserve">(-5.35) which is broadly in line with the other regional employment coefficients.   </w:t>
      </w:r>
    </w:p>
    <w:p w:rsidR="003A07EB" w:rsidRDefault="003A07EB" w:rsidP="00AC2CCE">
      <w:pPr>
        <w:tabs>
          <w:tab w:val="left" w:pos="720"/>
          <w:tab w:val="right" w:pos="8820"/>
        </w:tabs>
        <w:rPr>
          <w:rFonts w:ascii="Times New Roman" w:hAnsi="Times New Roman" w:cs="Times New Roman"/>
          <w:sz w:val="24"/>
          <w:szCs w:val="24"/>
        </w:rPr>
      </w:pPr>
      <w:r>
        <w:rPr>
          <w:rFonts w:ascii="Times New Roman" w:hAnsi="Times New Roman" w:cs="Times New Roman"/>
          <w:sz w:val="24"/>
          <w:szCs w:val="24"/>
        </w:rPr>
        <w:t xml:space="preserve">Eventually, we traced the </w:t>
      </w:r>
      <w:r w:rsidR="004E1400">
        <w:rPr>
          <w:rFonts w:ascii="Times New Roman" w:hAnsi="Times New Roman" w:cs="Times New Roman"/>
          <w:sz w:val="24"/>
          <w:szCs w:val="24"/>
        </w:rPr>
        <w:t xml:space="preserve">strange Neoclassical </w:t>
      </w:r>
      <w:r>
        <w:rPr>
          <w:rFonts w:ascii="Times New Roman" w:hAnsi="Times New Roman" w:cs="Times New Roman"/>
          <w:sz w:val="24"/>
          <w:szCs w:val="24"/>
        </w:rPr>
        <w:t xml:space="preserve">FL24 result for the GRP coefficient to the treatment of indirect taxes in USAGE-TERM.  Loss of food production in the U.S. stimulates international trade, both exports and imports.  Imports are stimulated directly by the necessity to supplement </w:t>
      </w:r>
      <w:r w:rsidR="004335DD">
        <w:rPr>
          <w:rFonts w:ascii="Times New Roman" w:hAnsi="Times New Roman" w:cs="Times New Roman"/>
          <w:sz w:val="24"/>
          <w:szCs w:val="24"/>
        </w:rPr>
        <w:t>diminished supplies of agricultural and food products.  This weakens the exchange rate and stimulates exports.  Import and export flows carry taxes that are credited in USAGE-TERM to the GRPs of the regions in which imports en</w:t>
      </w:r>
      <w:r w:rsidR="00DF19E1">
        <w:rPr>
          <w:rFonts w:ascii="Times New Roman" w:hAnsi="Times New Roman" w:cs="Times New Roman"/>
          <w:sz w:val="24"/>
          <w:szCs w:val="24"/>
        </w:rPr>
        <w:t>t</w:t>
      </w:r>
      <w:r w:rsidR="004335DD">
        <w:rPr>
          <w:rFonts w:ascii="Times New Roman" w:hAnsi="Times New Roman" w:cs="Times New Roman"/>
          <w:sz w:val="24"/>
          <w:szCs w:val="24"/>
        </w:rPr>
        <w:t>er the U.S. and exports leave the U.S.  FL24 has a major port</w:t>
      </w:r>
      <w:r w:rsidR="003300E7">
        <w:rPr>
          <w:rFonts w:ascii="Times New Roman" w:hAnsi="Times New Roman" w:cs="Times New Roman"/>
          <w:sz w:val="24"/>
          <w:szCs w:val="24"/>
        </w:rPr>
        <w:t xml:space="preserve"> w</w:t>
      </w:r>
      <w:r w:rsidR="004335DD">
        <w:rPr>
          <w:rFonts w:ascii="Times New Roman" w:hAnsi="Times New Roman" w:cs="Times New Roman"/>
          <w:sz w:val="24"/>
          <w:szCs w:val="24"/>
        </w:rPr>
        <w:t xml:space="preserve">hich is not the case for </w:t>
      </w:r>
      <w:r w:rsidR="003300E7">
        <w:rPr>
          <w:rFonts w:ascii="Times New Roman" w:hAnsi="Times New Roman" w:cs="Times New Roman"/>
          <w:sz w:val="24"/>
          <w:szCs w:val="24"/>
        </w:rPr>
        <w:t xml:space="preserve">AZ07, NY14 and WA09.  Stimulation </w:t>
      </w:r>
      <w:r w:rsidR="008E7E1C">
        <w:rPr>
          <w:rFonts w:ascii="Times New Roman" w:hAnsi="Times New Roman" w:cs="Times New Roman"/>
          <w:sz w:val="24"/>
          <w:szCs w:val="24"/>
        </w:rPr>
        <w:t xml:space="preserve">of tax-carrying flows (in this case trade flows) increases GRP of the region to which the taxes are credited.  This doesn’t necessarily increase the region’s employment.  Thus we get the lopsided result for FL24 in which it looks as though loss of U.S. food production is good for the region’s GRP but bad for employment.  </w:t>
      </w:r>
    </w:p>
    <w:p w:rsidR="008E7E1C" w:rsidRDefault="008E7E1C" w:rsidP="00AC2CCE">
      <w:pPr>
        <w:tabs>
          <w:tab w:val="left" w:pos="720"/>
          <w:tab w:val="right" w:pos="8820"/>
        </w:tabs>
        <w:rPr>
          <w:rFonts w:ascii="Times New Roman" w:hAnsi="Times New Roman" w:cs="Times New Roman"/>
          <w:sz w:val="24"/>
          <w:szCs w:val="24"/>
        </w:rPr>
      </w:pPr>
      <w:r>
        <w:rPr>
          <w:rFonts w:ascii="Times New Roman" w:hAnsi="Times New Roman" w:cs="Times New Roman"/>
          <w:sz w:val="24"/>
          <w:szCs w:val="24"/>
        </w:rPr>
        <w:t xml:space="preserve">This result is not realistic and the treatment of indirect taxes should be revised in future versions of USAGE-TERM.  Without such revision we should have ignored the </w:t>
      </w:r>
      <w:r w:rsidR="004E1400">
        <w:rPr>
          <w:rFonts w:ascii="Times New Roman" w:hAnsi="Times New Roman" w:cs="Times New Roman"/>
          <w:sz w:val="24"/>
          <w:szCs w:val="24"/>
        </w:rPr>
        <w:t xml:space="preserve">Neoclassical </w:t>
      </w:r>
      <w:r>
        <w:rPr>
          <w:rFonts w:ascii="Times New Roman" w:hAnsi="Times New Roman" w:cs="Times New Roman"/>
          <w:sz w:val="24"/>
          <w:szCs w:val="24"/>
        </w:rPr>
        <w:t xml:space="preserve">FL24 </w:t>
      </w:r>
      <w:r w:rsidR="004E1400">
        <w:rPr>
          <w:rFonts w:ascii="Times New Roman" w:hAnsi="Times New Roman" w:cs="Times New Roman"/>
          <w:sz w:val="24"/>
          <w:szCs w:val="24"/>
        </w:rPr>
        <w:t xml:space="preserve">year-1 </w:t>
      </w:r>
      <w:r>
        <w:rPr>
          <w:rFonts w:ascii="Times New Roman" w:hAnsi="Times New Roman" w:cs="Times New Roman"/>
          <w:sz w:val="24"/>
          <w:szCs w:val="24"/>
        </w:rPr>
        <w:t xml:space="preserve">GRP coefficient in Table A12: there is no reason </w:t>
      </w:r>
      <w:r w:rsidR="001E1233">
        <w:rPr>
          <w:rFonts w:ascii="Times New Roman" w:hAnsi="Times New Roman" w:cs="Times New Roman"/>
          <w:sz w:val="24"/>
          <w:szCs w:val="24"/>
        </w:rPr>
        <w:t xml:space="preserve">to suppose that the true GRP coefficient, uncontaminated by faulty treatment of indirect taxes, is out of line with the coefficients for the other three target regions.  </w:t>
      </w:r>
      <w:r>
        <w:rPr>
          <w:rFonts w:ascii="Times New Roman" w:hAnsi="Times New Roman" w:cs="Times New Roman"/>
          <w:sz w:val="24"/>
          <w:szCs w:val="24"/>
        </w:rPr>
        <w:t xml:space="preserve">Fortunately however the damage to the elasticity estimates supplied to the TRA groups is limited, even for the </w:t>
      </w:r>
      <w:r w:rsidR="004E1400">
        <w:rPr>
          <w:rFonts w:ascii="Times New Roman" w:hAnsi="Times New Roman" w:cs="Times New Roman"/>
          <w:sz w:val="24"/>
          <w:szCs w:val="24"/>
        </w:rPr>
        <w:t xml:space="preserve">Neoclassical </w:t>
      </w:r>
      <w:r>
        <w:rPr>
          <w:rFonts w:ascii="Times New Roman" w:hAnsi="Times New Roman" w:cs="Times New Roman"/>
          <w:sz w:val="24"/>
          <w:szCs w:val="24"/>
        </w:rPr>
        <w:t xml:space="preserve">elasticities </w:t>
      </w:r>
      <w:r w:rsidR="00DF19E1">
        <w:rPr>
          <w:rFonts w:ascii="Times New Roman" w:hAnsi="Times New Roman" w:cs="Times New Roman"/>
          <w:sz w:val="24"/>
          <w:szCs w:val="24"/>
        </w:rPr>
        <w:t>of</w:t>
      </w:r>
      <w:r>
        <w:rPr>
          <w:rFonts w:ascii="Times New Roman" w:hAnsi="Times New Roman" w:cs="Times New Roman"/>
          <w:sz w:val="24"/>
          <w:szCs w:val="24"/>
        </w:rPr>
        <w:t xml:space="preserve"> </w:t>
      </w:r>
      <w:r w:rsidR="004E1400">
        <w:rPr>
          <w:rFonts w:ascii="Times New Roman" w:hAnsi="Times New Roman" w:cs="Times New Roman"/>
          <w:sz w:val="24"/>
          <w:szCs w:val="24"/>
        </w:rPr>
        <w:t xml:space="preserve">year-1 </w:t>
      </w:r>
      <w:r>
        <w:rPr>
          <w:rFonts w:ascii="Times New Roman" w:hAnsi="Times New Roman" w:cs="Times New Roman"/>
          <w:sz w:val="24"/>
          <w:szCs w:val="24"/>
        </w:rPr>
        <w:t xml:space="preserve">GRP with respect to loss of U.S. food output. </w:t>
      </w:r>
      <w:r w:rsidR="001E1233">
        <w:rPr>
          <w:rFonts w:ascii="Times New Roman" w:hAnsi="Times New Roman" w:cs="Times New Roman"/>
          <w:sz w:val="24"/>
          <w:szCs w:val="24"/>
        </w:rPr>
        <w:t xml:space="preserve"> This is because it is only the average coefficient (-1.87) that enters the elasticity calculations.  It would have been preferable to set this average at -2.55, the average of -2.98, -3.09 and -1.59.  </w:t>
      </w:r>
    </w:p>
    <w:p w:rsidR="004C385C" w:rsidRDefault="003362A2" w:rsidP="00AC2CCE">
      <w:pPr>
        <w:tabs>
          <w:tab w:val="left" w:pos="720"/>
          <w:tab w:val="right" w:pos="8820"/>
        </w:tabs>
        <w:rPr>
          <w:rFonts w:ascii="Times New Roman" w:hAnsi="Times New Roman" w:cs="Times New Roman"/>
          <w:sz w:val="24"/>
          <w:szCs w:val="24"/>
        </w:rPr>
      </w:pPr>
      <w:r>
        <w:rPr>
          <w:rFonts w:ascii="Times New Roman" w:hAnsi="Times New Roman" w:cs="Times New Roman"/>
          <w:sz w:val="24"/>
          <w:szCs w:val="24"/>
        </w:rPr>
        <w:t>The last relevant variables for which we will provide explanation</w:t>
      </w:r>
      <w:r w:rsidR="00C77B72">
        <w:rPr>
          <w:rFonts w:ascii="Times New Roman" w:hAnsi="Times New Roman" w:cs="Times New Roman"/>
          <w:sz w:val="24"/>
          <w:szCs w:val="24"/>
        </w:rPr>
        <w:t>s</w:t>
      </w:r>
      <w:r>
        <w:rPr>
          <w:rFonts w:ascii="Times New Roman" w:hAnsi="Times New Roman" w:cs="Times New Roman"/>
          <w:sz w:val="24"/>
          <w:szCs w:val="24"/>
        </w:rPr>
        <w:t xml:space="preserve"> are the pair of regional RVs at the foot of Table A13.  This is the only example of separate RVs for year 1 (2015) and year 20 (2034).  The interpretation of the year-1 regional RV is straightforward.  If the target region has </w:t>
      </w:r>
      <w:r w:rsidRPr="003362A2">
        <w:rPr>
          <w:rFonts w:ascii="Times New Roman" w:hAnsi="Times New Roman" w:cs="Times New Roman"/>
          <w:i/>
          <w:sz w:val="24"/>
          <w:szCs w:val="24"/>
        </w:rPr>
        <w:t>x</w:t>
      </w:r>
      <w:r>
        <w:rPr>
          <w:rFonts w:ascii="Times New Roman" w:hAnsi="Times New Roman" w:cs="Times New Roman"/>
          <w:sz w:val="24"/>
          <w:szCs w:val="24"/>
        </w:rPr>
        <w:t xml:space="preserve"> per cent of the nation’s employment and </w:t>
      </w:r>
      <w:r w:rsidRPr="004C385C">
        <w:rPr>
          <w:rFonts w:ascii="Times New Roman" w:hAnsi="Times New Roman" w:cs="Times New Roman"/>
          <w:i/>
          <w:sz w:val="24"/>
          <w:szCs w:val="24"/>
        </w:rPr>
        <w:t>y</w:t>
      </w:r>
      <w:r>
        <w:rPr>
          <w:rFonts w:ascii="Times New Roman" w:hAnsi="Times New Roman" w:cs="Times New Roman"/>
          <w:sz w:val="24"/>
          <w:szCs w:val="24"/>
        </w:rPr>
        <w:t xml:space="preserve"> per cent of the nation</w:t>
      </w:r>
      <w:r w:rsidR="004B07A2">
        <w:rPr>
          <w:rFonts w:ascii="Times New Roman" w:hAnsi="Times New Roman" w:cs="Times New Roman"/>
          <w:sz w:val="24"/>
          <w:szCs w:val="24"/>
        </w:rPr>
        <w:t>’</w:t>
      </w:r>
      <w:r>
        <w:rPr>
          <w:rFonts w:ascii="Times New Roman" w:hAnsi="Times New Roman" w:cs="Times New Roman"/>
          <w:sz w:val="24"/>
          <w:szCs w:val="24"/>
        </w:rPr>
        <w:t xml:space="preserve">s workforce is </w:t>
      </w:r>
      <w:r w:rsidR="004B07A2">
        <w:rPr>
          <w:rFonts w:ascii="Times New Roman" w:hAnsi="Times New Roman" w:cs="Times New Roman"/>
          <w:sz w:val="24"/>
          <w:szCs w:val="24"/>
        </w:rPr>
        <w:t xml:space="preserve">killed or injured </w:t>
      </w:r>
      <w:r>
        <w:rPr>
          <w:rFonts w:ascii="Times New Roman" w:hAnsi="Times New Roman" w:cs="Times New Roman"/>
          <w:sz w:val="24"/>
          <w:szCs w:val="24"/>
        </w:rPr>
        <w:t>in the target region, then 100*</w:t>
      </w:r>
      <w:r w:rsidRPr="003362A2">
        <w:rPr>
          <w:rFonts w:ascii="Times New Roman" w:hAnsi="Times New Roman" w:cs="Times New Roman"/>
          <w:i/>
          <w:sz w:val="24"/>
          <w:szCs w:val="24"/>
        </w:rPr>
        <w:t>y</w:t>
      </w:r>
      <w:r>
        <w:rPr>
          <w:rFonts w:ascii="Times New Roman" w:hAnsi="Times New Roman" w:cs="Times New Roman"/>
          <w:sz w:val="24"/>
          <w:szCs w:val="24"/>
        </w:rPr>
        <w:t>/x per cent of the target region</w:t>
      </w:r>
      <w:r w:rsidR="004B07A2">
        <w:rPr>
          <w:rFonts w:ascii="Times New Roman" w:hAnsi="Times New Roman" w:cs="Times New Roman"/>
          <w:sz w:val="24"/>
          <w:szCs w:val="24"/>
        </w:rPr>
        <w:t>’</w:t>
      </w:r>
      <w:r>
        <w:rPr>
          <w:rFonts w:ascii="Times New Roman" w:hAnsi="Times New Roman" w:cs="Times New Roman"/>
          <w:sz w:val="24"/>
          <w:szCs w:val="24"/>
        </w:rPr>
        <w:t xml:space="preserve">s labor force </w:t>
      </w:r>
      <w:r w:rsidR="004B07A2">
        <w:rPr>
          <w:rFonts w:ascii="Times New Roman" w:hAnsi="Times New Roman" w:cs="Times New Roman"/>
          <w:sz w:val="24"/>
          <w:szCs w:val="24"/>
        </w:rPr>
        <w:t xml:space="preserve">is killed or injured.  </w:t>
      </w:r>
      <w:r w:rsidR="001E3BF2">
        <w:rPr>
          <w:rFonts w:ascii="Times New Roman" w:hAnsi="Times New Roman" w:cs="Times New Roman"/>
          <w:sz w:val="24"/>
          <w:szCs w:val="24"/>
        </w:rPr>
        <w:t>W</w:t>
      </w:r>
      <w:r w:rsidR="004B07A2">
        <w:rPr>
          <w:rFonts w:ascii="Times New Roman" w:hAnsi="Times New Roman" w:cs="Times New Roman"/>
          <w:sz w:val="24"/>
          <w:szCs w:val="24"/>
        </w:rPr>
        <w:t xml:space="preserve">e are assuming that scenarios are feasible in the sense that </w:t>
      </w:r>
      <w:r w:rsidR="004B07A2" w:rsidRPr="004B07A2">
        <w:rPr>
          <w:rFonts w:ascii="Times New Roman" w:hAnsi="Times New Roman" w:cs="Times New Roman"/>
          <w:i/>
          <w:sz w:val="24"/>
          <w:szCs w:val="24"/>
        </w:rPr>
        <w:t>y</w:t>
      </w:r>
      <w:r w:rsidR="004B07A2">
        <w:rPr>
          <w:rFonts w:ascii="Times New Roman" w:hAnsi="Times New Roman" w:cs="Times New Roman"/>
          <w:sz w:val="24"/>
          <w:szCs w:val="24"/>
        </w:rPr>
        <w:t xml:space="preserve"> is less than </w:t>
      </w:r>
      <w:r w:rsidR="004B07A2" w:rsidRPr="004B07A2">
        <w:rPr>
          <w:rFonts w:ascii="Times New Roman" w:hAnsi="Times New Roman" w:cs="Times New Roman"/>
          <w:i/>
          <w:sz w:val="24"/>
          <w:szCs w:val="24"/>
        </w:rPr>
        <w:t>x</w:t>
      </w:r>
      <w:r w:rsidR="004B07A2">
        <w:rPr>
          <w:rFonts w:ascii="Times New Roman" w:hAnsi="Times New Roman" w:cs="Times New Roman"/>
          <w:sz w:val="24"/>
          <w:szCs w:val="24"/>
        </w:rPr>
        <w:t xml:space="preserve">.  Our choice of regional RV for year 1 is </w:t>
      </w:r>
      <w:r w:rsidR="004C385C">
        <w:rPr>
          <w:rFonts w:ascii="Times New Roman" w:hAnsi="Times New Roman" w:cs="Times New Roman"/>
          <w:sz w:val="24"/>
          <w:szCs w:val="24"/>
        </w:rPr>
        <w:t xml:space="preserve">then </w:t>
      </w:r>
      <w:r w:rsidR="004B07A2">
        <w:rPr>
          <w:rFonts w:ascii="Times New Roman" w:hAnsi="Times New Roman" w:cs="Times New Roman"/>
          <w:sz w:val="24"/>
          <w:szCs w:val="24"/>
        </w:rPr>
        <w:t xml:space="preserve">based on the assumption that for a given </w:t>
      </w:r>
      <w:r w:rsidR="004B07A2" w:rsidRPr="004B07A2">
        <w:rPr>
          <w:rFonts w:ascii="Times New Roman" w:hAnsi="Times New Roman" w:cs="Times New Roman"/>
          <w:i/>
          <w:sz w:val="24"/>
          <w:szCs w:val="24"/>
        </w:rPr>
        <w:t>y</w:t>
      </w:r>
      <w:r w:rsidR="004B07A2">
        <w:rPr>
          <w:rFonts w:ascii="Times New Roman" w:hAnsi="Times New Roman" w:cs="Times New Roman"/>
          <w:sz w:val="24"/>
          <w:szCs w:val="24"/>
        </w:rPr>
        <w:t>, damage to the target region is proportional to 1/</w:t>
      </w:r>
      <w:r w:rsidR="004B07A2" w:rsidRPr="004B07A2">
        <w:rPr>
          <w:rFonts w:ascii="Times New Roman" w:hAnsi="Times New Roman" w:cs="Times New Roman"/>
          <w:i/>
          <w:sz w:val="24"/>
          <w:szCs w:val="24"/>
        </w:rPr>
        <w:t>x</w:t>
      </w:r>
      <w:r w:rsidR="004B07A2">
        <w:rPr>
          <w:rFonts w:ascii="Times New Roman" w:hAnsi="Times New Roman" w:cs="Times New Roman"/>
          <w:sz w:val="24"/>
          <w:szCs w:val="24"/>
        </w:rPr>
        <w:t xml:space="preserve">.  </w:t>
      </w:r>
      <w:r w:rsidR="004C385C">
        <w:rPr>
          <w:rFonts w:ascii="Times New Roman" w:hAnsi="Times New Roman" w:cs="Times New Roman"/>
          <w:sz w:val="24"/>
          <w:szCs w:val="24"/>
        </w:rPr>
        <w:t xml:space="preserve">Our first guess for the regional RV for year 20 was one.  We expected the long-run effect on the target region of any given </w:t>
      </w:r>
      <w:r w:rsidR="004C385C" w:rsidRPr="004C385C">
        <w:rPr>
          <w:rFonts w:ascii="Times New Roman" w:hAnsi="Times New Roman" w:cs="Times New Roman"/>
          <w:i/>
          <w:sz w:val="24"/>
          <w:szCs w:val="24"/>
        </w:rPr>
        <w:t>y</w:t>
      </w:r>
      <w:r w:rsidR="004C385C">
        <w:rPr>
          <w:rFonts w:ascii="Times New Roman" w:hAnsi="Times New Roman" w:cs="Times New Roman"/>
          <w:sz w:val="24"/>
          <w:szCs w:val="24"/>
        </w:rPr>
        <w:t xml:space="preserve"> to be independent of the target region.  This would be the case if </w:t>
      </w:r>
      <w:r w:rsidR="00C77B72">
        <w:rPr>
          <w:rFonts w:ascii="Times New Roman" w:hAnsi="Times New Roman" w:cs="Times New Roman"/>
          <w:sz w:val="24"/>
          <w:szCs w:val="24"/>
        </w:rPr>
        <w:t>the recovery of a target region was completed by</w:t>
      </w:r>
      <w:r w:rsidR="004C385C">
        <w:rPr>
          <w:rFonts w:ascii="Times New Roman" w:hAnsi="Times New Roman" w:cs="Times New Roman"/>
          <w:sz w:val="24"/>
          <w:szCs w:val="24"/>
        </w:rPr>
        <w:t xml:space="preserve"> year</w:t>
      </w:r>
      <w:r w:rsidR="00C77B72">
        <w:rPr>
          <w:rFonts w:ascii="Times New Roman" w:hAnsi="Times New Roman" w:cs="Times New Roman"/>
          <w:sz w:val="24"/>
          <w:szCs w:val="24"/>
        </w:rPr>
        <w:t xml:space="preserve"> 20 leaving its percentage </w:t>
      </w:r>
      <w:r w:rsidR="004C385C">
        <w:rPr>
          <w:rFonts w:ascii="Times New Roman" w:hAnsi="Times New Roman" w:cs="Times New Roman"/>
          <w:sz w:val="24"/>
          <w:szCs w:val="24"/>
        </w:rPr>
        <w:t>labor</w:t>
      </w:r>
      <w:r w:rsidR="00C77B72">
        <w:rPr>
          <w:rFonts w:ascii="Times New Roman" w:hAnsi="Times New Roman" w:cs="Times New Roman"/>
          <w:sz w:val="24"/>
          <w:szCs w:val="24"/>
        </w:rPr>
        <w:t>-</w:t>
      </w:r>
      <w:r w:rsidR="004C385C">
        <w:rPr>
          <w:rFonts w:ascii="Times New Roman" w:hAnsi="Times New Roman" w:cs="Times New Roman"/>
          <w:sz w:val="24"/>
          <w:szCs w:val="24"/>
        </w:rPr>
        <w:t xml:space="preserve">force loss </w:t>
      </w:r>
      <w:r w:rsidR="00C77B72">
        <w:rPr>
          <w:rFonts w:ascii="Times New Roman" w:hAnsi="Times New Roman" w:cs="Times New Roman"/>
          <w:sz w:val="24"/>
          <w:szCs w:val="24"/>
        </w:rPr>
        <w:t xml:space="preserve">no greater than that </w:t>
      </w:r>
      <w:r w:rsidR="004C385C">
        <w:rPr>
          <w:rFonts w:ascii="Times New Roman" w:hAnsi="Times New Roman" w:cs="Times New Roman"/>
          <w:sz w:val="24"/>
          <w:szCs w:val="24"/>
        </w:rPr>
        <w:t>of other region</w:t>
      </w:r>
      <w:r w:rsidR="00C77B72">
        <w:rPr>
          <w:rFonts w:ascii="Times New Roman" w:hAnsi="Times New Roman" w:cs="Times New Roman"/>
          <w:sz w:val="24"/>
          <w:szCs w:val="24"/>
        </w:rPr>
        <w:t>s</w:t>
      </w:r>
      <w:r w:rsidR="004C385C">
        <w:rPr>
          <w:rFonts w:ascii="Times New Roman" w:hAnsi="Times New Roman" w:cs="Times New Roman"/>
          <w:sz w:val="24"/>
          <w:szCs w:val="24"/>
        </w:rPr>
        <w:t>.  However, our simulation</w:t>
      </w:r>
      <w:r w:rsidR="00C77B72">
        <w:rPr>
          <w:rFonts w:ascii="Times New Roman" w:hAnsi="Times New Roman" w:cs="Times New Roman"/>
          <w:sz w:val="24"/>
          <w:szCs w:val="24"/>
        </w:rPr>
        <w:t>s</w:t>
      </w:r>
      <w:r w:rsidR="004C385C">
        <w:rPr>
          <w:rFonts w:ascii="Times New Roman" w:hAnsi="Times New Roman" w:cs="Times New Roman"/>
          <w:sz w:val="24"/>
          <w:szCs w:val="24"/>
        </w:rPr>
        <w:t xml:space="preserve"> suggest that target-region recovery take</w:t>
      </w:r>
      <w:r w:rsidR="00C77B72">
        <w:rPr>
          <w:rFonts w:ascii="Times New Roman" w:hAnsi="Times New Roman" w:cs="Times New Roman"/>
          <w:sz w:val="24"/>
          <w:szCs w:val="24"/>
        </w:rPr>
        <w:t>s</w:t>
      </w:r>
      <w:r w:rsidR="004C385C">
        <w:rPr>
          <w:rFonts w:ascii="Times New Roman" w:hAnsi="Times New Roman" w:cs="Times New Roman"/>
          <w:sz w:val="24"/>
          <w:szCs w:val="24"/>
        </w:rPr>
        <w:t xml:space="preserve"> more than 20 years.  We attempted to capture this idea by making the year-20 regional RV one plus 0.01/</w:t>
      </w:r>
      <w:r w:rsidR="004C385C" w:rsidRPr="004C385C">
        <w:rPr>
          <w:rFonts w:ascii="Times New Roman" w:hAnsi="Times New Roman" w:cs="Times New Roman"/>
          <w:i/>
          <w:sz w:val="24"/>
          <w:szCs w:val="24"/>
        </w:rPr>
        <w:t>x</w:t>
      </w:r>
      <w:r w:rsidR="004C385C">
        <w:rPr>
          <w:rFonts w:ascii="Times New Roman" w:hAnsi="Times New Roman" w:cs="Times New Roman"/>
          <w:sz w:val="24"/>
          <w:szCs w:val="24"/>
        </w:rPr>
        <w:t xml:space="preserve">.  The “0.01” was chosen to achieve </w:t>
      </w:r>
      <w:r w:rsidR="00C77B72">
        <w:rPr>
          <w:rFonts w:ascii="Times New Roman" w:hAnsi="Times New Roman" w:cs="Times New Roman"/>
          <w:sz w:val="24"/>
          <w:szCs w:val="24"/>
        </w:rPr>
        <w:t>as much</w:t>
      </w:r>
      <w:r w:rsidR="004C385C">
        <w:rPr>
          <w:rFonts w:ascii="Times New Roman" w:hAnsi="Times New Roman" w:cs="Times New Roman"/>
          <w:sz w:val="24"/>
          <w:szCs w:val="24"/>
        </w:rPr>
        <w:t xml:space="preserve"> consistency </w:t>
      </w:r>
      <w:r w:rsidR="00C77B72">
        <w:rPr>
          <w:rFonts w:ascii="Times New Roman" w:hAnsi="Times New Roman" w:cs="Times New Roman"/>
          <w:sz w:val="24"/>
          <w:szCs w:val="24"/>
        </w:rPr>
        <w:t xml:space="preserve">as possible </w:t>
      </w:r>
      <w:r w:rsidR="004C385C">
        <w:rPr>
          <w:rFonts w:ascii="Times New Roman" w:hAnsi="Times New Roman" w:cs="Times New Roman"/>
          <w:sz w:val="24"/>
          <w:szCs w:val="24"/>
        </w:rPr>
        <w:t xml:space="preserve">across the </w:t>
      </w:r>
      <w:r w:rsidR="00C77B72">
        <w:rPr>
          <w:rFonts w:ascii="Times New Roman" w:hAnsi="Times New Roman" w:cs="Times New Roman"/>
          <w:sz w:val="24"/>
          <w:szCs w:val="24"/>
        </w:rPr>
        <w:t xml:space="preserve">year-20 regional </w:t>
      </w:r>
      <w:r w:rsidR="004C385C">
        <w:rPr>
          <w:rFonts w:ascii="Times New Roman" w:hAnsi="Times New Roman" w:cs="Times New Roman"/>
          <w:sz w:val="24"/>
          <w:szCs w:val="24"/>
        </w:rPr>
        <w:t xml:space="preserve">coefficients while 1/x reflects the initial damage from which the target region is </w:t>
      </w:r>
      <w:r w:rsidR="004C385C">
        <w:rPr>
          <w:rFonts w:ascii="Times New Roman" w:hAnsi="Times New Roman" w:cs="Times New Roman"/>
          <w:sz w:val="24"/>
          <w:szCs w:val="24"/>
        </w:rPr>
        <w:lastRenderedPageBreak/>
        <w:t xml:space="preserve">recovering.  </w:t>
      </w:r>
      <w:r w:rsidR="00591671">
        <w:rPr>
          <w:rFonts w:ascii="Times New Roman" w:hAnsi="Times New Roman" w:cs="Times New Roman"/>
          <w:sz w:val="24"/>
          <w:szCs w:val="24"/>
        </w:rPr>
        <w:t xml:space="preserve">Despite considerable experimentation, it is apparent from Table A13 that our final choice for the year-20 regional RV was not highly successful.  For example, the Keynesian year-20 coefficients for target region GRP vary between -0.073 and -0.018.  </w:t>
      </w:r>
    </w:p>
    <w:p w:rsidR="009E511F" w:rsidRPr="00272128" w:rsidRDefault="009E511F" w:rsidP="009E511F">
      <w:pPr>
        <w:rPr>
          <w:rFonts w:ascii="Times New Roman" w:hAnsi="Times New Roman" w:cs="Times New Roman"/>
          <w:b/>
          <w:sz w:val="24"/>
          <w:szCs w:val="24"/>
        </w:rPr>
      </w:pPr>
      <w:r>
        <w:rPr>
          <w:rFonts w:ascii="Times New Roman" w:hAnsi="Times New Roman" w:cs="Times New Roman"/>
          <w:b/>
          <w:sz w:val="24"/>
          <w:szCs w:val="24"/>
        </w:rPr>
        <w:t>Appendix 2.  Archives: USAGE-TERM simulations, elasticity matrices and contribution calculations</w:t>
      </w:r>
    </w:p>
    <w:p w:rsidR="009E511F" w:rsidRDefault="009E511F" w:rsidP="009E511F">
      <w:pPr>
        <w:rPr>
          <w:rFonts w:ascii="Times New Roman" w:hAnsi="Times New Roman" w:cs="Times New Roman"/>
          <w:sz w:val="24"/>
          <w:szCs w:val="24"/>
        </w:rPr>
      </w:pPr>
      <w:r>
        <w:rPr>
          <w:rFonts w:ascii="Times New Roman" w:hAnsi="Times New Roman" w:cs="Times New Roman"/>
          <w:sz w:val="24"/>
          <w:szCs w:val="24"/>
        </w:rPr>
        <w:t xml:space="preserve">This project has required the construction of 4 USAGE-TERM models each with a different Target region.  Using these models we have conducted 104 simulations: </w:t>
      </w:r>
      <w:r w:rsidRPr="00F835BE">
        <w:rPr>
          <w:rFonts w:ascii="Times New Roman" w:hAnsi="Times New Roman" w:cs="Times New Roman"/>
          <w:sz w:val="24"/>
          <w:szCs w:val="24"/>
        </w:rPr>
        <w:t xml:space="preserve">4 models, each with 14 driving factors and including two assumptions, Keynesian and Neoclassical, for all but </w:t>
      </w:r>
      <w:r>
        <w:rPr>
          <w:rFonts w:ascii="Times New Roman" w:hAnsi="Times New Roman" w:cs="Times New Roman"/>
          <w:sz w:val="24"/>
          <w:szCs w:val="24"/>
        </w:rPr>
        <w:t>two</w:t>
      </w:r>
      <w:r w:rsidRPr="00F835BE">
        <w:rPr>
          <w:rFonts w:ascii="Times New Roman" w:hAnsi="Times New Roman" w:cs="Times New Roman"/>
          <w:sz w:val="24"/>
          <w:szCs w:val="24"/>
        </w:rPr>
        <w:t xml:space="preserve"> of the driving factors (104= 4</w:t>
      </w:r>
      <w:r w:rsidR="000E6F28">
        <w:rPr>
          <w:rFonts w:ascii="Times New Roman" w:hAnsi="Times New Roman" w:cs="Times New Roman"/>
          <w:i/>
          <w:sz w:val="24"/>
          <w:szCs w:val="24"/>
        </w:rPr>
        <w:t>*</w:t>
      </w:r>
      <w:r w:rsidRPr="00F835BE">
        <w:rPr>
          <w:rFonts w:ascii="Times New Roman" w:hAnsi="Times New Roman" w:cs="Times New Roman"/>
          <w:sz w:val="24"/>
          <w:szCs w:val="24"/>
        </w:rPr>
        <w:t>14</w:t>
      </w:r>
      <w:r w:rsidRPr="00F835BE">
        <w:rPr>
          <w:rFonts w:ascii="Times New Roman" w:hAnsi="Times New Roman" w:cs="Times New Roman"/>
          <w:i/>
          <w:sz w:val="24"/>
          <w:szCs w:val="24"/>
        </w:rPr>
        <w:t xml:space="preserve"> </w:t>
      </w:r>
      <w:r w:rsidR="000E6F28">
        <w:rPr>
          <w:rFonts w:ascii="Times New Roman" w:hAnsi="Times New Roman" w:cs="Times New Roman"/>
          <w:i/>
          <w:sz w:val="24"/>
          <w:szCs w:val="24"/>
        </w:rPr>
        <w:t>*</w:t>
      </w:r>
      <w:r w:rsidRPr="00F835BE">
        <w:rPr>
          <w:rFonts w:ascii="Times New Roman" w:hAnsi="Times New Roman" w:cs="Times New Roman"/>
          <w:sz w:val="24"/>
          <w:szCs w:val="24"/>
        </w:rPr>
        <w:t xml:space="preserve"> 2 – 4*2).  </w:t>
      </w:r>
      <w:r>
        <w:rPr>
          <w:rFonts w:ascii="Times New Roman" w:hAnsi="Times New Roman" w:cs="Times New Roman"/>
          <w:sz w:val="24"/>
          <w:szCs w:val="24"/>
        </w:rPr>
        <w:t xml:space="preserve">Recall that we need only one assumption for the two capital driving factors because we assume that the effects of capital destruction and capital idling are the same under Keynesian and Neoclassical assumptions. </w:t>
      </w:r>
    </w:p>
    <w:p w:rsidR="009E511F" w:rsidRDefault="009E511F" w:rsidP="009E511F">
      <w:pPr>
        <w:rPr>
          <w:rFonts w:ascii="Times New Roman" w:hAnsi="Times New Roman" w:cs="Times New Roman"/>
          <w:sz w:val="24"/>
          <w:szCs w:val="24"/>
        </w:rPr>
      </w:pPr>
      <w:r>
        <w:rPr>
          <w:rFonts w:ascii="Times New Roman" w:hAnsi="Times New Roman" w:cs="Times New Roman"/>
          <w:sz w:val="24"/>
          <w:szCs w:val="24"/>
        </w:rPr>
        <w:t>Using results from the 104 simulations together with data items (the RVs), we have computed proportionality coefficients, C</w:t>
      </w:r>
      <w:r>
        <w:rPr>
          <w:rFonts w:ascii="Times New Roman" w:hAnsi="Times New Roman" w:cs="Times New Roman"/>
          <w:sz w:val="24"/>
          <w:szCs w:val="24"/>
          <w:vertAlign w:val="subscript"/>
        </w:rPr>
        <w:t>A</w:t>
      </w:r>
      <w:r>
        <w:rPr>
          <w:rFonts w:ascii="Times New Roman" w:hAnsi="Times New Roman" w:cs="Times New Roman"/>
          <w:sz w:val="24"/>
          <w:szCs w:val="24"/>
        </w:rPr>
        <w:t>(s,v), and estimated elasticities, E</w:t>
      </w:r>
      <w:r>
        <w:rPr>
          <w:rFonts w:ascii="Times New Roman" w:hAnsi="Times New Roman" w:cs="Times New Roman"/>
          <w:sz w:val="24"/>
          <w:szCs w:val="24"/>
          <w:vertAlign w:val="subscript"/>
        </w:rPr>
        <w:t>A</w:t>
      </w:r>
      <w:r>
        <w:rPr>
          <w:rFonts w:ascii="Times New Roman" w:hAnsi="Times New Roman" w:cs="Times New Roman"/>
          <w:sz w:val="24"/>
          <w:szCs w:val="24"/>
        </w:rPr>
        <w:t xml:space="preserve">(s,d,v).  In total we supplied 47,600 elasticities to the TRA groups: 14 shock variables (s); 170 Target regions (d); 10 implication variables (v) and 2 assumptions (A).  We have also computed contribution matrices for sample scenarios.  </w:t>
      </w:r>
    </w:p>
    <w:p w:rsidR="009E511F" w:rsidRDefault="009E511F" w:rsidP="009E511F">
      <w:pPr>
        <w:rPr>
          <w:rFonts w:ascii="Times New Roman" w:hAnsi="Times New Roman" w:cs="Times New Roman"/>
          <w:sz w:val="24"/>
          <w:szCs w:val="24"/>
        </w:rPr>
      </w:pPr>
      <w:r>
        <w:rPr>
          <w:rFonts w:ascii="Times New Roman" w:hAnsi="Times New Roman" w:cs="Times New Roman"/>
          <w:sz w:val="24"/>
          <w:szCs w:val="24"/>
        </w:rPr>
        <w:t>Considerable effort was</w:t>
      </w:r>
      <w:r w:rsidRPr="00CE409B">
        <w:rPr>
          <w:rFonts w:ascii="Times New Roman" w:hAnsi="Times New Roman" w:cs="Times New Roman"/>
          <w:sz w:val="24"/>
          <w:szCs w:val="24"/>
        </w:rPr>
        <w:t xml:space="preserve"> needed to store </w:t>
      </w:r>
      <w:r>
        <w:rPr>
          <w:rFonts w:ascii="Times New Roman" w:hAnsi="Times New Roman" w:cs="Times New Roman"/>
          <w:sz w:val="24"/>
          <w:szCs w:val="24"/>
        </w:rPr>
        <w:t xml:space="preserve">all of the information generated in this project.  We have stored the 4 models and the ingredients for the 104 simulations so that they can be rerun.  We have also stored the elasticity calculations, made according to equation (6.9) with the proportionality coefficients from equations (6.5) to (6.8) and relevant variables defined at the foot of Tables A1 to A14.  Finally, we have stored the contribution calculations described in section 7.   </w:t>
      </w:r>
    </w:p>
    <w:p w:rsidR="009E511F" w:rsidRDefault="009E511F" w:rsidP="009E511F">
      <w:pPr>
        <w:rPr>
          <w:rFonts w:ascii="Times New Roman" w:hAnsi="Times New Roman" w:cs="Times New Roman"/>
          <w:sz w:val="24"/>
          <w:szCs w:val="24"/>
        </w:rPr>
      </w:pPr>
      <w:r w:rsidRPr="00CE409B">
        <w:rPr>
          <w:rFonts w:ascii="Times New Roman" w:hAnsi="Times New Roman" w:cs="Times New Roman"/>
          <w:sz w:val="24"/>
          <w:szCs w:val="24"/>
        </w:rPr>
        <w:t xml:space="preserve">Making this </w:t>
      </w:r>
      <w:r>
        <w:rPr>
          <w:rFonts w:ascii="Times New Roman" w:hAnsi="Times New Roman" w:cs="Times New Roman"/>
          <w:sz w:val="24"/>
          <w:szCs w:val="24"/>
        </w:rPr>
        <w:t xml:space="preserve">storage </w:t>
      </w:r>
      <w:r w:rsidRPr="00CE409B">
        <w:rPr>
          <w:rFonts w:ascii="Times New Roman" w:hAnsi="Times New Roman" w:cs="Times New Roman"/>
          <w:sz w:val="24"/>
          <w:szCs w:val="24"/>
        </w:rPr>
        <w:t xml:space="preserve">effort is required so that the elasticities </w:t>
      </w:r>
      <w:r>
        <w:rPr>
          <w:rFonts w:ascii="Times New Roman" w:hAnsi="Times New Roman" w:cs="Times New Roman"/>
          <w:sz w:val="24"/>
          <w:szCs w:val="24"/>
        </w:rPr>
        <w:t xml:space="preserve">supplied to the TRA groups </w:t>
      </w:r>
      <w:r w:rsidRPr="00CE409B">
        <w:rPr>
          <w:rFonts w:ascii="Times New Roman" w:hAnsi="Times New Roman" w:cs="Times New Roman"/>
          <w:sz w:val="24"/>
          <w:szCs w:val="24"/>
        </w:rPr>
        <w:t>can be reproduced and audited</w:t>
      </w:r>
      <w:r>
        <w:rPr>
          <w:rFonts w:ascii="Times New Roman" w:hAnsi="Times New Roman" w:cs="Times New Roman"/>
          <w:sz w:val="24"/>
          <w:szCs w:val="24"/>
        </w:rPr>
        <w:t>.</w:t>
      </w:r>
      <w:r w:rsidRPr="00CE409B">
        <w:rPr>
          <w:rFonts w:ascii="Times New Roman" w:hAnsi="Times New Roman" w:cs="Times New Roman"/>
          <w:sz w:val="24"/>
          <w:szCs w:val="24"/>
        </w:rPr>
        <w:t xml:space="preserve"> </w:t>
      </w:r>
      <w:r>
        <w:rPr>
          <w:rFonts w:ascii="Times New Roman" w:hAnsi="Times New Roman" w:cs="Times New Roman"/>
          <w:sz w:val="24"/>
          <w:szCs w:val="24"/>
        </w:rPr>
        <w:t xml:space="preserve"> Equally important, careful archiving means that the large volume of work that has been undertaken for this project can be an immediate </w:t>
      </w:r>
      <w:r w:rsidRPr="00CE409B">
        <w:rPr>
          <w:rFonts w:ascii="Times New Roman" w:hAnsi="Times New Roman" w:cs="Times New Roman"/>
          <w:sz w:val="24"/>
          <w:szCs w:val="24"/>
        </w:rPr>
        <w:t xml:space="preserve">springboard for further development of GRAD-ECAT as a tool for analysis of terrorism events.  </w:t>
      </w:r>
    </w:p>
    <w:p w:rsidR="000E6F28" w:rsidRDefault="009E511F" w:rsidP="009E511F">
      <w:pPr>
        <w:rPr>
          <w:rFonts w:ascii="Times New Roman" w:hAnsi="Times New Roman" w:cs="Times New Roman"/>
          <w:sz w:val="24"/>
          <w:szCs w:val="24"/>
        </w:rPr>
      </w:pPr>
      <w:r>
        <w:rPr>
          <w:rFonts w:ascii="Times New Roman" w:hAnsi="Times New Roman" w:cs="Times New Roman"/>
          <w:sz w:val="24"/>
          <w:szCs w:val="24"/>
        </w:rPr>
        <w:t xml:space="preserve">The method we have used to solve </w:t>
      </w:r>
      <w:r w:rsidRPr="00CE409B">
        <w:rPr>
          <w:rFonts w:ascii="Times New Roman" w:hAnsi="Times New Roman" w:cs="Times New Roman"/>
          <w:sz w:val="24"/>
          <w:szCs w:val="24"/>
        </w:rPr>
        <w:t xml:space="preserve">the problem of archiving and replication </w:t>
      </w:r>
      <w:r>
        <w:rPr>
          <w:rFonts w:ascii="Times New Roman" w:hAnsi="Times New Roman" w:cs="Times New Roman"/>
          <w:sz w:val="24"/>
          <w:szCs w:val="24"/>
        </w:rPr>
        <w:t>is to create</w:t>
      </w:r>
      <w:r w:rsidRPr="00CE409B">
        <w:rPr>
          <w:rFonts w:ascii="Times New Roman" w:hAnsi="Times New Roman" w:cs="Times New Roman"/>
          <w:sz w:val="24"/>
          <w:szCs w:val="24"/>
        </w:rPr>
        <w:t xml:space="preserve"> a single zip file, allzip.zip</w:t>
      </w:r>
      <w:r>
        <w:rPr>
          <w:rFonts w:ascii="Times New Roman" w:hAnsi="Times New Roman" w:cs="Times New Roman"/>
          <w:sz w:val="24"/>
          <w:szCs w:val="24"/>
        </w:rPr>
        <w:t>.</w:t>
      </w:r>
      <w:r w:rsidRPr="00CE409B">
        <w:rPr>
          <w:rFonts w:ascii="Times New Roman" w:hAnsi="Times New Roman" w:cs="Times New Roman"/>
          <w:sz w:val="24"/>
          <w:szCs w:val="24"/>
        </w:rPr>
        <w:t xml:space="preserve"> </w:t>
      </w:r>
      <w:r w:rsidR="000E6F28">
        <w:rPr>
          <w:rFonts w:ascii="Times New Roman" w:hAnsi="Times New Roman" w:cs="Times New Roman"/>
          <w:sz w:val="24"/>
          <w:szCs w:val="24"/>
        </w:rPr>
        <w:t xml:space="preserve"> Using this zip requires GEMPACK software.  </w:t>
      </w:r>
      <w:r>
        <w:rPr>
          <w:rFonts w:ascii="Times New Roman" w:hAnsi="Times New Roman" w:cs="Times New Roman"/>
          <w:sz w:val="24"/>
          <w:szCs w:val="24"/>
        </w:rPr>
        <w:t xml:space="preserve">The </w:t>
      </w:r>
      <w:r w:rsidR="000E6F28">
        <w:rPr>
          <w:rFonts w:ascii="Times New Roman" w:hAnsi="Times New Roman" w:cs="Times New Roman"/>
          <w:sz w:val="24"/>
          <w:szCs w:val="24"/>
        </w:rPr>
        <w:t xml:space="preserve">zip </w:t>
      </w:r>
      <w:r>
        <w:rPr>
          <w:rFonts w:ascii="Times New Roman" w:hAnsi="Times New Roman" w:cs="Times New Roman"/>
          <w:sz w:val="24"/>
          <w:szCs w:val="24"/>
        </w:rPr>
        <w:t>and the associated GEMPACK software are available from the Centre of Policy Studies</w:t>
      </w:r>
      <w:r w:rsidR="000E6F28">
        <w:rPr>
          <w:rFonts w:ascii="Times New Roman" w:hAnsi="Times New Roman" w:cs="Times New Roman"/>
          <w:sz w:val="24"/>
          <w:szCs w:val="24"/>
        </w:rPr>
        <w:t xml:space="preserve">.  For the zip contact </w:t>
      </w:r>
      <w:hyperlink r:id="rId87" w:history="1">
        <w:r w:rsidR="000E6F28" w:rsidRPr="0097000E">
          <w:rPr>
            <w:rStyle w:val="Hyperlink"/>
            <w:rFonts w:ascii="Times New Roman" w:hAnsi="Times New Roman" w:cs="Times New Roman"/>
            <w:sz w:val="24"/>
            <w:szCs w:val="24"/>
          </w:rPr>
          <w:t>Glyn.Wittwer@vu.edu.au</w:t>
        </w:r>
      </w:hyperlink>
      <w:r w:rsidR="000E6F28">
        <w:rPr>
          <w:rFonts w:ascii="Times New Roman" w:hAnsi="Times New Roman" w:cs="Times New Roman"/>
          <w:sz w:val="24"/>
          <w:szCs w:val="24"/>
        </w:rPr>
        <w:t xml:space="preserve"> and for the software </w:t>
      </w:r>
      <w:r>
        <w:rPr>
          <w:rFonts w:ascii="Times New Roman" w:hAnsi="Times New Roman" w:cs="Times New Roman"/>
          <w:sz w:val="24"/>
          <w:szCs w:val="24"/>
        </w:rPr>
        <w:t xml:space="preserve">contact </w:t>
      </w:r>
      <w:hyperlink r:id="rId88" w:history="1">
        <w:r w:rsidRPr="006A0530">
          <w:rPr>
            <w:rStyle w:val="Hyperlink"/>
            <w:rFonts w:ascii="Times New Roman" w:hAnsi="Times New Roman" w:cs="Times New Roman"/>
            <w:sz w:val="24"/>
            <w:szCs w:val="24"/>
          </w:rPr>
          <w:t>Michael.Jerie@vu.edu.au</w:t>
        </w:r>
      </w:hyperlink>
      <w:r>
        <w:rPr>
          <w:rFonts w:ascii="Times New Roman" w:hAnsi="Times New Roman" w:cs="Times New Roman"/>
          <w:sz w:val="24"/>
          <w:szCs w:val="24"/>
        </w:rPr>
        <w:t xml:space="preserve">.  </w:t>
      </w:r>
    </w:p>
    <w:p w:rsidR="009E511F" w:rsidRDefault="009E511F" w:rsidP="009E511F">
      <w:pPr>
        <w:rPr>
          <w:rFonts w:ascii="Times New Roman" w:hAnsi="Times New Roman" w:cs="Times New Roman"/>
          <w:sz w:val="24"/>
          <w:szCs w:val="24"/>
        </w:rPr>
      </w:pPr>
      <w:r>
        <w:rPr>
          <w:rFonts w:ascii="Times New Roman" w:hAnsi="Times New Roman" w:cs="Times New Roman"/>
          <w:sz w:val="24"/>
          <w:szCs w:val="24"/>
        </w:rPr>
        <w:t xml:space="preserve">Apart from GEMPACK related programs the zip contains this paper together with an extended version of the instructions given here.  </w:t>
      </w:r>
      <w:r w:rsidRPr="00CE409B">
        <w:rPr>
          <w:rFonts w:ascii="Times New Roman" w:hAnsi="Times New Roman" w:cs="Times New Roman"/>
          <w:sz w:val="24"/>
          <w:szCs w:val="24"/>
        </w:rPr>
        <w:t xml:space="preserve"> </w:t>
      </w:r>
    </w:p>
    <w:p w:rsidR="009E511F" w:rsidRPr="00A520FE" w:rsidRDefault="009E511F" w:rsidP="009E511F">
      <w:pPr>
        <w:rPr>
          <w:rFonts w:ascii="Times New Roman" w:hAnsi="Times New Roman" w:cs="Times New Roman"/>
          <w:b/>
          <w:i/>
          <w:sz w:val="24"/>
          <w:szCs w:val="24"/>
        </w:rPr>
      </w:pPr>
      <w:r w:rsidRPr="00A520FE">
        <w:rPr>
          <w:rFonts w:ascii="Times New Roman" w:hAnsi="Times New Roman" w:cs="Times New Roman"/>
          <w:b/>
          <w:i/>
          <w:sz w:val="24"/>
          <w:szCs w:val="24"/>
        </w:rPr>
        <w:t xml:space="preserve">A2.1.  Restoring simulations from archive </w:t>
      </w:r>
    </w:p>
    <w:p w:rsidR="009E511F" w:rsidRPr="00F64555" w:rsidRDefault="009E511F" w:rsidP="009E511F">
      <w:pPr>
        <w:rPr>
          <w:rFonts w:ascii="Times New Roman" w:hAnsi="Times New Roman" w:cs="Times New Roman"/>
          <w:sz w:val="24"/>
          <w:szCs w:val="24"/>
        </w:rPr>
      </w:pPr>
      <w:r>
        <w:rPr>
          <w:rFonts w:ascii="Times New Roman" w:hAnsi="Times New Roman" w:cs="Times New Roman"/>
          <w:sz w:val="24"/>
          <w:szCs w:val="24"/>
        </w:rPr>
        <w:t xml:space="preserve">The zip file Allzip.zip contains all the files necessary to replicate the simulations, elasticity estimates and contribution calculations described in this report. </w:t>
      </w:r>
    </w:p>
    <w:p w:rsidR="009E511F" w:rsidRDefault="009E511F" w:rsidP="009E511F">
      <w:pPr>
        <w:rPr>
          <w:rFonts w:ascii="Times New Roman" w:hAnsi="Times New Roman" w:cs="Times New Roman"/>
          <w:sz w:val="24"/>
          <w:szCs w:val="24"/>
        </w:rPr>
      </w:pPr>
      <w:r>
        <w:rPr>
          <w:rFonts w:ascii="Times New Roman" w:hAnsi="Times New Roman" w:cs="Times New Roman"/>
          <w:sz w:val="24"/>
          <w:szCs w:val="24"/>
        </w:rPr>
        <w:t xml:space="preserve">It is important to use exactly the folder names as </w:t>
      </w:r>
      <w:r w:rsidR="000E6F28">
        <w:rPr>
          <w:rFonts w:ascii="Times New Roman" w:hAnsi="Times New Roman" w:cs="Times New Roman"/>
          <w:sz w:val="24"/>
          <w:szCs w:val="24"/>
        </w:rPr>
        <w:t>described in the archive</w:t>
      </w:r>
      <w:r>
        <w:rPr>
          <w:rFonts w:ascii="Times New Roman" w:hAnsi="Times New Roman" w:cs="Times New Roman"/>
          <w:sz w:val="24"/>
          <w:szCs w:val="24"/>
        </w:rPr>
        <w:t>. Any variation from this will create problems with using the *.ds1 files which contain RunDynam simulation details.</w:t>
      </w:r>
    </w:p>
    <w:p w:rsidR="002B618D" w:rsidRPr="002B618D" w:rsidRDefault="009E511F" w:rsidP="002B618D">
      <w:pPr>
        <w:pStyle w:val="ListParagraph"/>
        <w:numPr>
          <w:ilvl w:val="0"/>
          <w:numId w:val="17"/>
        </w:numPr>
        <w:spacing w:before="0" w:after="200" w:line="276" w:lineRule="auto"/>
        <w:rPr>
          <w:rFonts w:ascii="Times New Roman" w:hAnsi="Times New Roman" w:cs="Times New Roman"/>
          <w:sz w:val="24"/>
          <w:szCs w:val="24"/>
        </w:rPr>
      </w:pPr>
      <w:r>
        <w:rPr>
          <w:rFonts w:ascii="Times New Roman" w:hAnsi="Times New Roman" w:cs="Times New Roman"/>
          <w:sz w:val="24"/>
          <w:szCs w:val="24"/>
        </w:rPr>
        <w:t>Create new directory c:\DHSarchive. Save the archive All</w:t>
      </w:r>
      <w:r w:rsidRPr="00756043">
        <w:rPr>
          <w:rFonts w:ascii="Times New Roman" w:hAnsi="Times New Roman" w:cs="Times New Roman"/>
          <w:sz w:val="24"/>
          <w:szCs w:val="24"/>
        </w:rPr>
        <w:t>zip</w:t>
      </w:r>
      <w:r>
        <w:rPr>
          <w:rFonts w:ascii="Times New Roman" w:hAnsi="Times New Roman" w:cs="Times New Roman"/>
          <w:sz w:val="24"/>
          <w:szCs w:val="24"/>
        </w:rPr>
        <w:t>.zip</w:t>
      </w:r>
      <w:r w:rsidRPr="00756043">
        <w:rPr>
          <w:rFonts w:ascii="Times New Roman" w:hAnsi="Times New Roman" w:cs="Times New Roman"/>
          <w:sz w:val="24"/>
          <w:szCs w:val="24"/>
        </w:rPr>
        <w:t xml:space="preserve"> to </w:t>
      </w:r>
      <w:r>
        <w:rPr>
          <w:rFonts w:ascii="Times New Roman" w:hAnsi="Times New Roman" w:cs="Times New Roman"/>
          <w:sz w:val="24"/>
          <w:szCs w:val="24"/>
        </w:rPr>
        <w:t>this</w:t>
      </w:r>
      <w:r w:rsidRPr="00756043">
        <w:rPr>
          <w:rFonts w:ascii="Times New Roman" w:hAnsi="Times New Roman" w:cs="Times New Roman"/>
          <w:sz w:val="24"/>
          <w:szCs w:val="24"/>
        </w:rPr>
        <w:t xml:space="preserve"> directory. </w:t>
      </w:r>
    </w:p>
    <w:p w:rsidR="009E511F" w:rsidRPr="00756043" w:rsidRDefault="009E511F" w:rsidP="009E511F">
      <w:pPr>
        <w:pStyle w:val="ListParagraph"/>
        <w:numPr>
          <w:ilvl w:val="0"/>
          <w:numId w:val="17"/>
        </w:numPr>
        <w:spacing w:before="0" w:after="200" w:line="276" w:lineRule="auto"/>
        <w:rPr>
          <w:rFonts w:ascii="Times New Roman" w:hAnsi="Times New Roman" w:cs="Times New Roman"/>
          <w:sz w:val="24"/>
          <w:szCs w:val="24"/>
        </w:rPr>
      </w:pPr>
      <w:r w:rsidRPr="00756043">
        <w:rPr>
          <w:rFonts w:ascii="Times New Roman" w:hAnsi="Times New Roman" w:cs="Times New Roman"/>
          <w:sz w:val="24"/>
          <w:szCs w:val="24"/>
        </w:rPr>
        <w:t>In a DOS box in th</w:t>
      </w:r>
      <w:r>
        <w:rPr>
          <w:rFonts w:ascii="Times New Roman" w:hAnsi="Times New Roman" w:cs="Times New Roman"/>
          <w:sz w:val="24"/>
          <w:szCs w:val="24"/>
        </w:rPr>
        <w:t>is</w:t>
      </w:r>
      <w:r w:rsidRPr="00756043">
        <w:rPr>
          <w:rFonts w:ascii="Times New Roman" w:hAnsi="Times New Roman" w:cs="Times New Roman"/>
          <w:sz w:val="24"/>
          <w:szCs w:val="24"/>
        </w:rPr>
        <w:t xml:space="preserve"> directory type</w:t>
      </w:r>
    </w:p>
    <w:p w:rsidR="009E511F" w:rsidRPr="00F64555" w:rsidRDefault="009E511F" w:rsidP="009E511F">
      <w:pPr>
        <w:rPr>
          <w:rFonts w:ascii="Times New Roman" w:hAnsi="Times New Roman" w:cs="Times New Roman"/>
          <w:i/>
          <w:sz w:val="24"/>
          <w:szCs w:val="24"/>
        </w:rPr>
      </w:pPr>
      <w:r>
        <w:rPr>
          <w:rFonts w:ascii="Times New Roman" w:hAnsi="Times New Roman" w:cs="Times New Roman"/>
          <w:i/>
          <w:sz w:val="24"/>
          <w:szCs w:val="24"/>
        </w:rPr>
        <w:t>u</w:t>
      </w:r>
      <w:r w:rsidRPr="00F64555">
        <w:rPr>
          <w:rFonts w:ascii="Times New Roman" w:hAnsi="Times New Roman" w:cs="Times New Roman"/>
          <w:i/>
          <w:sz w:val="24"/>
          <w:szCs w:val="24"/>
        </w:rPr>
        <w:t>nzip</w:t>
      </w:r>
      <w:r>
        <w:rPr>
          <w:rFonts w:ascii="Times New Roman" w:hAnsi="Times New Roman" w:cs="Times New Roman"/>
          <w:i/>
          <w:sz w:val="24"/>
          <w:szCs w:val="24"/>
        </w:rPr>
        <w:t xml:space="preserve"> All</w:t>
      </w:r>
      <w:r w:rsidRPr="00F64555">
        <w:rPr>
          <w:rFonts w:ascii="Times New Roman" w:hAnsi="Times New Roman" w:cs="Times New Roman"/>
          <w:i/>
          <w:sz w:val="24"/>
          <w:szCs w:val="24"/>
        </w:rPr>
        <w:t>zip</w:t>
      </w:r>
      <w:r>
        <w:rPr>
          <w:rFonts w:ascii="Times New Roman" w:hAnsi="Times New Roman" w:cs="Times New Roman"/>
          <w:i/>
          <w:sz w:val="24"/>
          <w:szCs w:val="24"/>
        </w:rPr>
        <w:t>.zip</w:t>
      </w:r>
    </w:p>
    <w:p w:rsidR="009E511F" w:rsidRDefault="009E511F" w:rsidP="009E511F">
      <w:pPr>
        <w:rPr>
          <w:rFonts w:ascii="Times New Roman" w:hAnsi="Times New Roman" w:cs="Times New Roman"/>
          <w:sz w:val="24"/>
          <w:szCs w:val="24"/>
        </w:rPr>
      </w:pPr>
      <w:r>
        <w:rPr>
          <w:rFonts w:ascii="Times New Roman" w:hAnsi="Times New Roman" w:cs="Times New Roman"/>
          <w:sz w:val="24"/>
          <w:szCs w:val="24"/>
        </w:rPr>
        <w:t>Before the next step, ensure that you do not have directory c:\rundynam\seattle, c:\rundynam\phoenix, c:\rundynam\NewYork and c:\rundynam\miami on your PC.</w:t>
      </w:r>
    </w:p>
    <w:p w:rsidR="009E511F" w:rsidRDefault="009E511F" w:rsidP="009E511F">
      <w:pPr>
        <w:pStyle w:val="ListParagraph"/>
        <w:numPr>
          <w:ilvl w:val="0"/>
          <w:numId w:val="17"/>
        </w:numPr>
        <w:spacing w:before="0" w:after="200" w:line="276" w:lineRule="auto"/>
        <w:rPr>
          <w:rFonts w:ascii="Times New Roman" w:hAnsi="Times New Roman" w:cs="Times New Roman"/>
          <w:sz w:val="24"/>
          <w:szCs w:val="24"/>
        </w:rPr>
      </w:pPr>
      <w:r w:rsidRPr="005E5E79">
        <w:rPr>
          <w:rFonts w:ascii="Times New Roman" w:hAnsi="Times New Roman" w:cs="Times New Roman"/>
          <w:sz w:val="24"/>
          <w:szCs w:val="24"/>
        </w:rPr>
        <w:t xml:space="preserve">Then run the batch file </w:t>
      </w:r>
      <w:r w:rsidRPr="005E5E79">
        <w:rPr>
          <w:rFonts w:ascii="Times New Roman" w:hAnsi="Times New Roman" w:cs="Times New Roman"/>
          <w:i/>
          <w:sz w:val="24"/>
          <w:szCs w:val="24"/>
        </w:rPr>
        <w:t>restore</w:t>
      </w:r>
      <w:r w:rsidRPr="005E5E79">
        <w:rPr>
          <w:rFonts w:ascii="Times New Roman" w:hAnsi="Times New Roman" w:cs="Times New Roman"/>
          <w:sz w:val="24"/>
          <w:szCs w:val="24"/>
        </w:rPr>
        <w:t xml:space="preserve"> </w:t>
      </w:r>
      <w:r>
        <w:rPr>
          <w:rFonts w:ascii="Times New Roman" w:hAnsi="Times New Roman" w:cs="Times New Roman"/>
          <w:sz w:val="24"/>
          <w:szCs w:val="24"/>
        </w:rPr>
        <w:t>[this assumes that the zips are in c:\DHSarchive]</w:t>
      </w:r>
    </w:p>
    <w:p w:rsidR="002B618D" w:rsidRPr="00E42AF6" w:rsidRDefault="002B618D" w:rsidP="002B618D">
      <w:pPr>
        <w:pStyle w:val="ListParagraph"/>
        <w:spacing w:before="0" w:after="200" w:line="276" w:lineRule="auto"/>
        <w:rPr>
          <w:rFonts w:ascii="Times New Roman" w:hAnsi="Times New Roman" w:cs="Times New Roman"/>
          <w:i/>
          <w:sz w:val="24"/>
          <w:szCs w:val="24"/>
        </w:rPr>
      </w:pPr>
      <w:r w:rsidRPr="00E42AF6">
        <w:rPr>
          <w:rFonts w:ascii="Times New Roman" w:hAnsi="Times New Roman" w:cs="Times New Roman"/>
          <w:i/>
          <w:sz w:val="24"/>
          <w:szCs w:val="24"/>
        </w:rPr>
        <w:lastRenderedPageBreak/>
        <w:t xml:space="preserve">[Note that this paper will be restored </w:t>
      </w:r>
      <w:r w:rsidR="005F669A">
        <w:rPr>
          <w:rFonts w:ascii="Times New Roman" w:hAnsi="Times New Roman" w:cs="Times New Roman"/>
          <w:i/>
          <w:sz w:val="24"/>
          <w:szCs w:val="24"/>
        </w:rPr>
        <w:t xml:space="preserve">as </w:t>
      </w:r>
      <w:r w:rsidR="003B5D8C">
        <w:rPr>
          <w:rFonts w:ascii="Times New Roman" w:hAnsi="Times New Roman" w:cs="Times New Roman"/>
          <w:i/>
          <w:sz w:val="24"/>
          <w:szCs w:val="24"/>
        </w:rPr>
        <w:t>TRA_</w:t>
      </w:r>
      <w:r w:rsidR="004F0504">
        <w:rPr>
          <w:rFonts w:ascii="Times New Roman" w:hAnsi="Times New Roman" w:cs="Times New Roman"/>
          <w:i/>
          <w:sz w:val="24"/>
          <w:szCs w:val="24"/>
        </w:rPr>
        <w:t xml:space="preserve">CoPSreport_070317.docx </w:t>
      </w:r>
      <w:r w:rsidRPr="00E42AF6">
        <w:rPr>
          <w:rFonts w:ascii="Times New Roman" w:hAnsi="Times New Roman" w:cs="Times New Roman"/>
          <w:i/>
          <w:sz w:val="24"/>
          <w:szCs w:val="24"/>
        </w:rPr>
        <w:t>to the c:</w:t>
      </w:r>
      <w:r w:rsidR="00E42AF6">
        <w:rPr>
          <w:rFonts w:ascii="Times New Roman" w:hAnsi="Times New Roman" w:cs="Times New Roman"/>
          <w:i/>
          <w:sz w:val="24"/>
          <w:szCs w:val="24"/>
        </w:rPr>
        <w:t>\</w:t>
      </w:r>
      <w:r w:rsidRPr="00E42AF6">
        <w:rPr>
          <w:rFonts w:ascii="Times New Roman" w:hAnsi="Times New Roman" w:cs="Times New Roman"/>
          <w:i/>
          <w:sz w:val="24"/>
          <w:szCs w:val="24"/>
        </w:rPr>
        <w:t>DHSarchive directory]</w:t>
      </w:r>
    </w:p>
    <w:p w:rsidR="009E511F" w:rsidRPr="00756043" w:rsidRDefault="009E511F" w:rsidP="009E511F">
      <w:pPr>
        <w:pStyle w:val="ListParagraph"/>
        <w:numPr>
          <w:ilvl w:val="0"/>
          <w:numId w:val="17"/>
        </w:numPr>
        <w:spacing w:before="0" w:after="200" w:line="276" w:lineRule="auto"/>
        <w:rPr>
          <w:rFonts w:ascii="Times New Roman" w:hAnsi="Times New Roman" w:cs="Times New Roman"/>
          <w:sz w:val="24"/>
          <w:szCs w:val="24"/>
        </w:rPr>
      </w:pPr>
      <w:r w:rsidRPr="00756043">
        <w:rPr>
          <w:rFonts w:ascii="Times New Roman" w:hAnsi="Times New Roman" w:cs="Times New Roman"/>
          <w:sz w:val="24"/>
          <w:szCs w:val="24"/>
        </w:rPr>
        <w:t>Next go to the directory c:\rundynam and in DOS type</w:t>
      </w:r>
    </w:p>
    <w:p w:rsidR="009E511F" w:rsidRPr="00F64555" w:rsidRDefault="009E511F" w:rsidP="009E511F">
      <w:pPr>
        <w:rPr>
          <w:rFonts w:ascii="Times New Roman" w:hAnsi="Times New Roman" w:cs="Times New Roman"/>
          <w:i/>
          <w:sz w:val="24"/>
          <w:szCs w:val="24"/>
        </w:rPr>
      </w:pPr>
      <w:r w:rsidRPr="00F64555">
        <w:rPr>
          <w:rFonts w:ascii="Times New Roman" w:hAnsi="Times New Roman" w:cs="Times New Roman"/>
          <w:i/>
          <w:sz w:val="24"/>
          <w:szCs w:val="24"/>
        </w:rPr>
        <w:t>dir rundynam*.exe</w:t>
      </w:r>
    </w:p>
    <w:p w:rsidR="009E511F" w:rsidRPr="00756043" w:rsidRDefault="009E511F" w:rsidP="009E511F">
      <w:pPr>
        <w:pStyle w:val="ListParagraph"/>
        <w:numPr>
          <w:ilvl w:val="0"/>
          <w:numId w:val="17"/>
        </w:numPr>
        <w:spacing w:before="0" w:after="200" w:line="276" w:lineRule="auto"/>
        <w:rPr>
          <w:rFonts w:ascii="Times New Roman" w:hAnsi="Times New Roman" w:cs="Times New Roman"/>
          <w:sz w:val="24"/>
          <w:szCs w:val="24"/>
        </w:rPr>
      </w:pPr>
      <w:r w:rsidRPr="00756043">
        <w:rPr>
          <w:rFonts w:ascii="Times New Roman" w:hAnsi="Times New Roman" w:cs="Times New Roman"/>
          <w:sz w:val="24"/>
          <w:szCs w:val="24"/>
        </w:rPr>
        <w:t>If you have only one rundynam.exe, type the following in DOS:</w:t>
      </w:r>
    </w:p>
    <w:p w:rsidR="009E511F" w:rsidRPr="00756043" w:rsidRDefault="009E511F" w:rsidP="009E511F">
      <w:pPr>
        <w:rPr>
          <w:rFonts w:ascii="Times New Roman" w:hAnsi="Times New Roman" w:cs="Times New Roman"/>
          <w:i/>
          <w:sz w:val="24"/>
          <w:szCs w:val="24"/>
        </w:rPr>
      </w:pPr>
      <w:r w:rsidRPr="00756043">
        <w:rPr>
          <w:rFonts w:ascii="Times New Roman" w:hAnsi="Times New Roman" w:cs="Times New Roman"/>
          <w:i/>
          <w:sz w:val="24"/>
          <w:szCs w:val="24"/>
        </w:rPr>
        <w:t>Copy rundynam.exe rundynam2.exe</w:t>
      </w:r>
    </w:p>
    <w:p w:rsidR="009E511F" w:rsidRPr="00756043" w:rsidRDefault="009E511F" w:rsidP="009E511F">
      <w:pPr>
        <w:rPr>
          <w:rFonts w:ascii="Times New Roman" w:hAnsi="Times New Roman" w:cs="Times New Roman"/>
          <w:i/>
          <w:sz w:val="24"/>
          <w:szCs w:val="24"/>
        </w:rPr>
      </w:pPr>
      <w:r w:rsidRPr="00756043">
        <w:rPr>
          <w:rFonts w:ascii="Times New Roman" w:hAnsi="Times New Roman" w:cs="Times New Roman"/>
          <w:i/>
          <w:sz w:val="24"/>
          <w:szCs w:val="24"/>
        </w:rPr>
        <w:t>Copy rundynam.exe rundynam3.exe</w:t>
      </w:r>
    </w:p>
    <w:p w:rsidR="009E511F" w:rsidRPr="00756043" w:rsidRDefault="009E511F" w:rsidP="009E511F">
      <w:pPr>
        <w:rPr>
          <w:rFonts w:ascii="Times New Roman" w:hAnsi="Times New Roman" w:cs="Times New Roman"/>
          <w:i/>
          <w:sz w:val="24"/>
          <w:szCs w:val="24"/>
        </w:rPr>
      </w:pPr>
      <w:r w:rsidRPr="00756043">
        <w:rPr>
          <w:rFonts w:ascii="Times New Roman" w:hAnsi="Times New Roman" w:cs="Times New Roman"/>
          <w:i/>
          <w:sz w:val="24"/>
          <w:szCs w:val="24"/>
        </w:rPr>
        <w:t>Copy rundynam.exe rundynam4.exe</w:t>
      </w:r>
    </w:p>
    <w:p w:rsidR="009E511F" w:rsidRDefault="009E511F" w:rsidP="009E511F">
      <w:pPr>
        <w:rPr>
          <w:rFonts w:ascii="Times New Roman" w:hAnsi="Times New Roman" w:cs="Times New Roman"/>
          <w:sz w:val="24"/>
          <w:szCs w:val="24"/>
        </w:rPr>
      </w:pPr>
      <w:r>
        <w:rPr>
          <w:rFonts w:ascii="Times New Roman" w:hAnsi="Times New Roman" w:cs="Times New Roman"/>
          <w:sz w:val="24"/>
          <w:szCs w:val="24"/>
        </w:rPr>
        <w:t>Without the above step, the various batch files which run the simulations will only work for Phoenix.</w:t>
      </w:r>
    </w:p>
    <w:p w:rsidR="009E511F" w:rsidRPr="00A520FE" w:rsidRDefault="009E511F" w:rsidP="009E511F">
      <w:pPr>
        <w:rPr>
          <w:rFonts w:ascii="Times New Roman" w:hAnsi="Times New Roman" w:cs="Times New Roman"/>
          <w:b/>
          <w:i/>
          <w:sz w:val="24"/>
          <w:szCs w:val="24"/>
        </w:rPr>
      </w:pPr>
      <w:r w:rsidRPr="00A520FE">
        <w:rPr>
          <w:rFonts w:ascii="Times New Roman" w:hAnsi="Times New Roman" w:cs="Times New Roman"/>
          <w:b/>
          <w:i/>
          <w:sz w:val="24"/>
          <w:szCs w:val="24"/>
        </w:rPr>
        <w:t>A2.2.  Running the simulations</w:t>
      </w:r>
    </w:p>
    <w:p w:rsidR="009E511F" w:rsidRDefault="009E511F" w:rsidP="00A520FE">
      <w:pPr>
        <w:pStyle w:val="ListParagraph"/>
        <w:numPr>
          <w:ilvl w:val="0"/>
          <w:numId w:val="17"/>
        </w:numPr>
        <w:spacing w:after="200" w:line="276" w:lineRule="auto"/>
        <w:ind w:left="714" w:hanging="357"/>
        <w:rPr>
          <w:rFonts w:ascii="Times New Roman" w:hAnsi="Times New Roman" w:cs="Times New Roman"/>
          <w:sz w:val="24"/>
          <w:szCs w:val="24"/>
        </w:rPr>
      </w:pPr>
      <w:r w:rsidRPr="00756043">
        <w:rPr>
          <w:rFonts w:ascii="Times New Roman" w:hAnsi="Times New Roman" w:cs="Times New Roman"/>
          <w:sz w:val="24"/>
          <w:szCs w:val="24"/>
        </w:rPr>
        <w:t xml:space="preserve">The next step is to check that the ingredients are present for a single simulation. </w:t>
      </w:r>
      <w:r>
        <w:rPr>
          <w:rFonts w:ascii="Times New Roman" w:hAnsi="Times New Roman" w:cs="Times New Roman"/>
          <w:sz w:val="24"/>
          <w:szCs w:val="24"/>
        </w:rPr>
        <w:t xml:space="preserve">On page 5 of this document, the RunDynam closure/shock page is shown for Phoenix1n. Open RunDynam, and under </w:t>
      </w:r>
      <w:r w:rsidRPr="00756043">
        <w:rPr>
          <w:rFonts w:ascii="Times New Roman" w:hAnsi="Times New Roman" w:cs="Times New Roman"/>
          <w:i/>
          <w:sz w:val="24"/>
          <w:szCs w:val="24"/>
        </w:rPr>
        <w:t>File – Load Simulation Details</w:t>
      </w:r>
      <w:r>
        <w:rPr>
          <w:rFonts w:ascii="Times New Roman" w:hAnsi="Times New Roman" w:cs="Times New Roman"/>
          <w:sz w:val="24"/>
          <w:szCs w:val="24"/>
        </w:rPr>
        <w:t xml:space="preserve"> … go to the c:\rundynam\Phoenix directory and restore ingredients Phoenix1n.ds1. This should look like the first RunDynam view shown on page 5. You may wish to check the ingredients for a single run for all four cities before attempting to run the simulations.</w:t>
      </w:r>
    </w:p>
    <w:p w:rsidR="009E511F" w:rsidRDefault="009E511F" w:rsidP="009E511F">
      <w:pPr>
        <w:pStyle w:val="ListParagraph"/>
        <w:numPr>
          <w:ilvl w:val="0"/>
          <w:numId w:val="17"/>
        </w:numPr>
        <w:spacing w:before="0" w:after="200" w:line="276" w:lineRule="auto"/>
        <w:rPr>
          <w:rFonts w:ascii="Times New Roman" w:hAnsi="Times New Roman" w:cs="Times New Roman"/>
          <w:sz w:val="24"/>
          <w:szCs w:val="24"/>
        </w:rPr>
      </w:pPr>
      <w:r>
        <w:rPr>
          <w:rFonts w:ascii="Times New Roman" w:hAnsi="Times New Roman" w:cs="Times New Roman"/>
          <w:sz w:val="24"/>
          <w:szCs w:val="24"/>
        </w:rPr>
        <w:t xml:space="preserve">Close Rundynam. In a DOS box in c:\rundynam\Phoenix, type </w:t>
      </w:r>
      <w:r w:rsidRPr="00756043">
        <w:rPr>
          <w:rFonts w:ascii="Times New Roman" w:hAnsi="Times New Roman" w:cs="Times New Roman"/>
          <w:i/>
          <w:sz w:val="24"/>
          <w:szCs w:val="24"/>
        </w:rPr>
        <w:t>PhoenixRuns</w:t>
      </w:r>
      <w:r>
        <w:rPr>
          <w:rFonts w:ascii="Times New Roman" w:hAnsi="Times New Roman" w:cs="Times New Roman"/>
          <w:sz w:val="24"/>
          <w:szCs w:val="24"/>
        </w:rPr>
        <w:t xml:space="preserve">. This batch if run successfully will do 26 simulations for Phoenix. </w:t>
      </w:r>
    </w:p>
    <w:p w:rsidR="009E511F" w:rsidRDefault="009E511F" w:rsidP="009E511F">
      <w:pPr>
        <w:pStyle w:val="ListParagraph"/>
        <w:numPr>
          <w:ilvl w:val="0"/>
          <w:numId w:val="17"/>
        </w:numPr>
        <w:spacing w:before="0" w:after="200" w:line="276" w:lineRule="auto"/>
        <w:rPr>
          <w:rFonts w:ascii="Times New Roman" w:hAnsi="Times New Roman" w:cs="Times New Roman"/>
          <w:sz w:val="24"/>
          <w:szCs w:val="24"/>
        </w:rPr>
      </w:pPr>
      <w:r>
        <w:rPr>
          <w:rFonts w:ascii="Times New Roman" w:hAnsi="Times New Roman" w:cs="Times New Roman"/>
          <w:sz w:val="24"/>
          <w:szCs w:val="24"/>
        </w:rPr>
        <w:t xml:space="preserve">While this is running, open a new DOS box in c:\rundynam\NewYork. This time, type </w:t>
      </w:r>
      <w:r w:rsidRPr="00B82E32">
        <w:rPr>
          <w:rFonts w:ascii="Times New Roman" w:hAnsi="Times New Roman" w:cs="Times New Roman"/>
          <w:i/>
          <w:sz w:val="24"/>
          <w:szCs w:val="24"/>
        </w:rPr>
        <w:t>NewYorkRuns</w:t>
      </w:r>
      <w:r>
        <w:rPr>
          <w:rFonts w:ascii="Times New Roman" w:hAnsi="Times New Roman" w:cs="Times New Roman"/>
          <w:sz w:val="24"/>
          <w:szCs w:val="24"/>
        </w:rPr>
        <w:t>. This will run 26 simulations of New York using Rundynam2.</w:t>
      </w:r>
    </w:p>
    <w:p w:rsidR="009E511F" w:rsidRDefault="009E511F" w:rsidP="009E511F">
      <w:pPr>
        <w:pStyle w:val="ListParagraph"/>
        <w:numPr>
          <w:ilvl w:val="0"/>
          <w:numId w:val="17"/>
        </w:numPr>
        <w:spacing w:before="0" w:after="200" w:line="276" w:lineRule="auto"/>
        <w:rPr>
          <w:rFonts w:ascii="Times New Roman" w:hAnsi="Times New Roman" w:cs="Times New Roman"/>
          <w:sz w:val="24"/>
          <w:szCs w:val="24"/>
        </w:rPr>
      </w:pPr>
      <w:r>
        <w:rPr>
          <w:rFonts w:ascii="Times New Roman" w:hAnsi="Times New Roman" w:cs="Times New Roman"/>
          <w:sz w:val="24"/>
          <w:szCs w:val="24"/>
        </w:rPr>
        <w:t xml:space="preserve">Next, open a DOS box in c:\rundynam\Miami. This time, type </w:t>
      </w:r>
      <w:r>
        <w:rPr>
          <w:rFonts w:ascii="Times New Roman" w:hAnsi="Times New Roman" w:cs="Times New Roman"/>
          <w:i/>
          <w:sz w:val="24"/>
          <w:szCs w:val="24"/>
        </w:rPr>
        <w:t>Miami</w:t>
      </w:r>
      <w:r w:rsidRPr="00B82E32">
        <w:rPr>
          <w:rFonts w:ascii="Times New Roman" w:hAnsi="Times New Roman" w:cs="Times New Roman"/>
          <w:i/>
          <w:sz w:val="24"/>
          <w:szCs w:val="24"/>
        </w:rPr>
        <w:t>Runs</w:t>
      </w:r>
      <w:r>
        <w:rPr>
          <w:rFonts w:ascii="Times New Roman" w:hAnsi="Times New Roman" w:cs="Times New Roman"/>
          <w:sz w:val="24"/>
          <w:szCs w:val="24"/>
        </w:rPr>
        <w:t>. This will run 26 simulations of Miami using Rundynam3.</w:t>
      </w:r>
    </w:p>
    <w:p w:rsidR="009E511F" w:rsidRPr="00756043" w:rsidRDefault="009E511F" w:rsidP="009E511F">
      <w:pPr>
        <w:pStyle w:val="ListParagraph"/>
        <w:numPr>
          <w:ilvl w:val="0"/>
          <w:numId w:val="17"/>
        </w:numPr>
        <w:spacing w:before="0" w:after="200" w:line="276" w:lineRule="auto"/>
        <w:rPr>
          <w:rFonts w:ascii="Times New Roman" w:hAnsi="Times New Roman" w:cs="Times New Roman"/>
          <w:sz w:val="24"/>
          <w:szCs w:val="24"/>
        </w:rPr>
      </w:pPr>
      <w:r>
        <w:rPr>
          <w:rFonts w:ascii="Times New Roman" w:hAnsi="Times New Roman" w:cs="Times New Roman"/>
          <w:sz w:val="24"/>
          <w:szCs w:val="24"/>
        </w:rPr>
        <w:t xml:space="preserve">Next, open a DOS box in c:\rundynam\Seattle. This time, type </w:t>
      </w:r>
      <w:r>
        <w:rPr>
          <w:rFonts w:ascii="Times New Roman" w:hAnsi="Times New Roman" w:cs="Times New Roman"/>
          <w:i/>
          <w:sz w:val="24"/>
          <w:szCs w:val="24"/>
        </w:rPr>
        <w:t>Seattle</w:t>
      </w:r>
      <w:r w:rsidRPr="00B82E32">
        <w:rPr>
          <w:rFonts w:ascii="Times New Roman" w:hAnsi="Times New Roman" w:cs="Times New Roman"/>
          <w:i/>
          <w:sz w:val="24"/>
          <w:szCs w:val="24"/>
        </w:rPr>
        <w:t>Runs</w:t>
      </w:r>
      <w:r>
        <w:rPr>
          <w:rFonts w:ascii="Times New Roman" w:hAnsi="Times New Roman" w:cs="Times New Roman"/>
          <w:sz w:val="24"/>
          <w:szCs w:val="24"/>
        </w:rPr>
        <w:t>. This will run 26 simulations of Seattle using Rundynam4.</w:t>
      </w:r>
    </w:p>
    <w:p w:rsidR="009E511F" w:rsidRPr="00756043" w:rsidRDefault="009E511F" w:rsidP="009E511F">
      <w:pPr>
        <w:pStyle w:val="ListParagraph"/>
        <w:numPr>
          <w:ilvl w:val="0"/>
          <w:numId w:val="17"/>
        </w:numPr>
        <w:spacing w:before="0" w:after="200" w:line="276" w:lineRule="auto"/>
        <w:rPr>
          <w:rFonts w:ascii="Times New Roman" w:hAnsi="Times New Roman" w:cs="Times New Roman"/>
          <w:sz w:val="24"/>
          <w:szCs w:val="24"/>
        </w:rPr>
      </w:pPr>
      <w:r>
        <w:rPr>
          <w:rFonts w:ascii="Times New Roman" w:hAnsi="Times New Roman" w:cs="Times New Roman"/>
          <w:sz w:val="24"/>
          <w:szCs w:val="24"/>
        </w:rPr>
        <w:t>To undertake all 26 simulations for the four cities may take three hours or so on a quad processor PC.</w:t>
      </w:r>
    </w:p>
    <w:p w:rsidR="009E511F" w:rsidRPr="00A520FE" w:rsidRDefault="009E511F" w:rsidP="009E511F">
      <w:pPr>
        <w:rPr>
          <w:rFonts w:ascii="Times New Roman" w:hAnsi="Times New Roman" w:cs="Times New Roman"/>
          <w:b/>
          <w:i/>
          <w:sz w:val="24"/>
          <w:szCs w:val="24"/>
        </w:rPr>
      </w:pPr>
      <w:r w:rsidRPr="00A520FE">
        <w:rPr>
          <w:rFonts w:ascii="Times New Roman" w:hAnsi="Times New Roman" w:cs="Times New Roman"/>
          <w:b/>
          <w:i/>
          <w:sz w:val="24"/>
          <w:szCs w:val="24"/>
        </w:rPr>
        <w:t>A2.3.  Processing solutions to produce elasticities E</w:t>
      </w:r>
      <w:r w:rsidRPr="00A520FE">
        <w:rPr>
          <w:rFonts w:ascii="Times New Roman" w:hAnsi="Times New Roman" w:cs="Times New Roman"/>
          <w:b/>
          <w:i/>
          <w:sz w:val="24"/>
          <w:szCs w:val="24"/>
          <w:vertAlign w:val="subscript"/>
        </w:rPr>
        <w:t>A</w:t>
      </w:r>
      <w:r w:rsidRPr="00A520FE">
        <w:rPr>
          <w:rFonts w:ascii="Times New Roman" w:hAnsi="Times New Roman" w:cs="Times New Roman"/>
          <w:b/>
          <w:i/>
          <w:sz w:val="24"/>
          <w:szCs w:val="24"/>
        </w:rPr>
        <w:t>(s,d,v) and contributions of driving factors to economic implication variables</w:t>
      </w:r>
    </w:p>
    <w:p w:rsidR="009E511F" w:rsidRDefault="009E511F" w:rsidP="009E511F">
      <w:pPr>
        <w:pStyle w:val="ListParagraph"/>
        <w:numPr>
          <w:ilvl w:val="0"/>
          <w:numId w:val="17"/>
        </w:numPr>
        <w:spacing w:after="200" w:line="276" w:lineRule="auto"/>
        <w:ind w:left="714" w:hanging="357"/>
        <w:rPr>
          <w:rFonts w:ascii="Times New Roman" w:hAnsi="Times New Roman" w:cs="Times New Roman"/>
          <w:sz w:val="24"/>
          <w:szCs w:val="24"/>
        </w:rPr>
      </w:pPr>
      <w:r>
        <w:rPr>
          <w:rFonts w:ascii="Times New Roman" w:hAnsi="Times New Roman" w:cs="Times New Roman"/>
          <w:sz w:val="24"/>
          <w:szCs w:val="24"/>
        </w:rPr>
        <w:t xml:space="preserve">In a DOS box in c:\rundynam\Seattle, type </w:t>
      </w:r>
      <w:r w:rsidRPr="00B82E32">
        <w:rPr>
          <w:rFonts w:ascii="Times New Roman" w:hAnsi="Times New Roman" w:cs="Times New Roman"/>
          <w:i/>
          <w:sz w:val="24"/>
          <w:szCs w:val="24"/>
        </w:rPr>
        <w:t>RnAllSol</w:t>
      </w:r>
      <w:r>
        <w:rPr>
          <w:rFonts w:ascii="Times New Roman" w:hAnsi="Times New Roman" w:cs="Times New Roman"/>
          <w:sz w:val="24"/>
          <w:szCs w:val="24"/>
        </w:rPr>
        <w:t xml:space="preserve">. </w:t>
      </w:r>
    </w:p>
    <w:p w:rsidR="009E511F" w:rsidRPr="00FC3C10" w:rsidRDefault="009E511F" w:rsidP="009E511F">
      <w:pPr>
        <w:pStyle w:val="ListParagraph"/>
        <w:rPr>
          <w:rFonts w:ascii="Times New Roman" w:hAnsi="Times New Roman" w:cs="Times New Roman"/>
          <w:i/>
          <w:sz w:val="24"/>
          <w:szCs w:val="24"/>
        </w:rPr>
      </w:pPr>
      <w:r w:rsidRPr="00FC3C10">
        <w:rPr>
          <w:rFonts w:ascii="Times New Roman" w:hAnsi="Times New Roman" w:cs="Times New Roman"/>
          <w:i/>
          <w:sz w:val="24"/>
          <w:szCs w:val="24"/>
        </w:rPr>
        <w:t xml:space="preserve">[Produces: row01n.har; Row02k.har &amp; Row02n.har; …; Row14k.har &amp; Row14n.har.  Note Row01k.har is not included as it is equal to Row01n.har.   The Header “Tab4” in these files populates </w:t>
      </w:r>
      <w:r>
        <w:rPr>
          <w:rFonts w:ascii="Times New Roman" w:hAnsi="Times New Roman" w:cs="Times New Roman"/>
          <w:i/>
          <w:sz w:val="24"/>
          <w:szCs w:val="24"/>
        </w:rPr>
        <w:t xml:space="preserve">the coefficients C(s,v) in </w:t>
      </w:r>
      <w:r w:rsidRPr="00FC3C10">
        <w:rPr>
          <w:rFonts w:ascii="Times New Roman" w:hAnsi="Times New Roman" w:cs="Times New Roman"/>
          <w:i/>
          <w:sz w:val="24"/>
          <w:szCs w:val="24"/>
        </w:rPr>
        <w:t>Tables A1 to A14 in Appendix</w:t>
      </w:r>
      <w:r>
        <w:rPr>
          <w:rFonts w:ascii="Times New Roman" w:hAnsi="Times New Roman" w:cs="Times New Roman"/>
          <w:i/>
          <w:sz w:val="24"/>
          <w:szCs w:val="24"/>
        </w:rPr>
        <w:t xml:space="preserve"> </w:t>
      </w:r>
      <w:r w:rsidRPr="00FC3C10">
        <w:rPr>
          <w:rFonts w:ascii="Times New Roman" w:hAnsi="Times New Roman" w:cs="Times New Roman"/>
          <w:i/>
          <w:sz w:val="24"/>
          <w:szCs w:val="24"/>
        </w:rPr>
        <w:t>1.]</w:t>
      </w:r>
    </w:p>
    <w:p w:rsidR="009E511F" w:rsidRDefault="009E511F" w:rsidP="009E511F">
      <w:pPr>
        <w:pStyle w:val="ListParagraph"/>
        <w:numPr>
          <w:ilvl w:val="0"/>
          <w:numId w:val="17"/>
        </w:numPr>
        <w:spacing w:before="0" w:after="200" w:line="276" w:lineRule="auto"/>
        <w:rPr>
          <w:rFonts w:ascii="Times New Roman" w:hAnsi="Times New Roman" w:cs="Times New Roman"/>
          <w:i/>
          <w:sz w:val="24"/>
          <w:szCs w:val="24"/>
        </w:rPr>
      </w:pPr>
      <w:r w:rsidRPr="000C6CF4">
        <w:rPr>
          <w:rFonts w:ascii="Times New Roman" w:hAnsi="Times New Roman" w:cs="Times New Roman"/>
          <w:sz w:val="24"/>
          <w:szCs w:val="24"/>
        </w:rPr>
        <w:t>Change to c:\rundynam\Seattle\elastic. In a DOS box, type</w:t>
      </w:r>
      <w:r>
        <w:rPr>
          <w:rFonts w:ascii="Times New Roman" w:hAnsi="Times New Roman" w:cs="Times New Roman"/>
          <w:sz w:val="24"/>
          <w:szCs w:val="24"/>
        </w:rPr>
        <w:br/>
      </w:r>
      <w:r w:rsidRPr="007119F5">
        <w:rPr>
          <w:rFonts w:ascii="Times New Roman" w:hAnsi="Times New Roman" w:cs="Times New Roman"/>
          <w:i/>
          <w:sz w:val="24"/>
          <w:szCs w:val="24"/>
        </w:rPr>
        <w:t>cmbhar –sti cmbrows.sti</w:t>
      </w:r>
    </w:p>
    <w:p w:rsidR="009E511F" w:rsidRPr="00F57D6D" w:rsidRDefault="009E511F" w:rsidP="009E511F">
      <w:pPr>
        <w:pStyle w:val="ListParagraph"/>
        <w:rPr>
          <w:rFonts w:ascii="Times New Roman" w:hAnsi="Times New Roman" w:cs="Times New Roman"/>
          <w:i/>
          <w:sz w:val="24"/>
          <w:szCs w:val="24"/>
        </w:rPr>
      </w:pPr>
      <w:r w:rsidRPr="00F57D6D">
        <w:rPr>
          <w:rFonts w:ascii="Times New Roman" w:hAnsi="Times New Roman" w:cs="Times New Roman"/>
          <w:i/>
          <w:sz w:val="24"/>
          <w:szCs w:val="24"/>
        </w:rPr>
        <w:t>[Produces: allrowS.har</w:t>
      </w:r>
      <w:r>
        <w:rPr>
          <w:rFonts w:ascii="Times New Roman" w:hAnsi="Times New Roman" w:cs="Times New Roman"/>
          <w:i/>
          <w:sz w:val="24"/>
          <w:szCs w:val="24"/>
        </w:rPr>
        <w:t xml:space="preserve">, a combination of </w:t>
      </w:r>
      <w:r w:rsidRPr="00F57D6D">
        <w:rPr>
          <w:rFonts w:ascii="Times New Roman" w:hAnsi="Times New Roman" w:cs="Times New Roman"/>
          <w:i/>
          <w:sz w:val="24"/>
          <w:szCs w:val="24"/>
        </w:rPr>
        <w:t>the Row har files produced at step 12]</w:t>
      </w:r>
    </w:p>
    <w:p w:rsidR="009E511F" w:rsidRDefault="009E511F" w:rsidP="009E511F">
      <w:pPr>
        <w:pStyle w:val="ListParagraph"/>
        <w:numPr>
          <w:ilvl w:val="0"/>
          <w:numId w:val="17"/>
        </w:numPr>
        <w:spacing w:before="0" w:after="200" w:line="276" w:lineRule="auto"/>
        <w:rPr>
          <w:rFonts w:ascii="Times New Roman" w:hAnsi="Times New Roman" w:cs="Times New Roman"/>
          <w:sz w:val="24"/>
          <w:szCs w:val="24"/>
        </w:rPr>
      </w:pPr>
      <w:r w:rsidRPr="000B21B1">
        <w:rPr>
          <w:rFonts w:ascii="Times New Roman" w:hAnsi="Times New Roman" w:cs="Times New Roman"/>
          <w:sz w:val="24"/>
          <w:szCs w:val="24"/>
        </w:rPr>
        <w:t>To obtain a set of solution files for macros and relevant variables, type</w:t>
      </w:r>
      <w:r w:rsidRPr="000B21B1">
        <w:rPr>
          <w:rFonts w:ascii="Times New Roman" w:hAnsi="Times New Roman" w:cs="Times New Roman"/>
          <w:sz w:val="24"/>
          <w:szCs w:val="24"/>
        </w:rPr>
        <w:br/>
      </w:r>
      <w:r w:rsidRPr="000B21B1">
        <w:rPr>
          <w:rFonts w:ascii="Times New Roman" w:hAnsi="Times New Roman" w:cs="Times New Roman"/>
          <w:i/>
          <w:sz w:val="24"/>
          <w:szCs w:val="24"/>
        </w:rPr>
        <w:t>cmbhar –sti cmbLONG.sti</w:t>
      </w:r>
      <w:r w:rsidRPr="000B21B1">
        <w:rPr>
          <w:rFonts w:ascii="Times New Roman" w:hAnsi="Times New Roman" w:cs="Times New Roman"/>
          <w:i/>
          <w:sz w:val="24"/>
          <w:szCs w:val="24"/>
        </w:rPr>
        <w:br/>
      </w:r>
      <w:r w:rsidRPr="00C232C0">
        <w:rPr>
          <w:rFonts w:ascii="Times New Roman" w:hAnsi="Times New Roman" w:cs="Times New Roman"/>
          <w:sz w:val="24"/>
          <w:szCs w:val="24"/>
        </w:rPr>
        <w:t>[</w:t>
      </w:r>
      <w:r w:rsidR="008B65E8">
        <w:rPr>
          <w:rFonts w:ascii="Times New Roman" w:hAnsi="Times New Roman" w:cs="Times New Roman"/>
          <w:sz w:val="24"/>
          <w:szCs w:val="24"/>
        </w:rPr>
        <w:t>Produces</w:t>
      </w:r>
      <w:r w:rsidRPr="00C232C0">
        <w:rPr>
          <w:rFonts w:ascii="Times New Roman" w:hAnsi="Times New Roman" w:cs="Times New Roman"/>
          <w:sz w:val="24"/>
          <w:szCs w:val="24"/>
        </w:rPr>
        <w:t xml:space="preserve"> diagnostic material used in checking]</w:t>
      </w:r>
    </w:p>
    <w:p w:rsidR="009E511F" w:rsidRPr="00C232C0" w:rsidRDefault="009E511F" w:rsidP="009E511F">
      <w:pPr>
        <w:pStyle w:val="ListParagraph"/>
        <w:numPr>
          <w:ilvl w:val="0"/>
          <w:numId w:val="17"/>
        </w:numPr>
        <w:spacing w:before="0" w:after="200" w:line="276" w:lineRule="auto"/>
        <w:rPr>
          <w:rFonts w:ascii="Times New Roman" w:hAnsi="Times New Roman" w:cs="Times New Roman"/>
          <w:sz w:val="24"/>
          <w:szCs w:val="24"/>
        </w:rPr>
      </w:pPr>
      <w:r w:rsidRPr="00C232C0">
        <w:rPr>
          <w:rFonts w:ascii="Times New Roman" w:hAnsi="Times New Roman" w:cs="Times New Roman"/>
          <w:sz w:val="24"/>
          <w:szCs w:val="24"/>
        </w:rPr>
        <w:t>Then type</w:t>
      </w:r>
    </w:p>
    <w:p w:rsidR="009E511F" w:rsidRPr="000B21B1" w:rsidRDefault="009E511F" w:rsidP="009E511F">
      <w:pPr>
        <w:pStyle w:val="ListParagraph"/>
        <w:rPr>
          <w:rFonts w:ascii="Times New Roman" w:hAnsi="Times New Roman" w:cs="Times New Roman"/>
          <w:i/>
          <w:sz w:val="24"/>
          <w:szCs w:val="24"/>
        </w:rPr>
      </w:pPr>
      <w:r w:rsidRPr="000B21B1">
        <w:rPr>
          <w:rFonts w:ascii="Times New Roman" w:hAnsi="Times New Roman" w:cs="Times New Roman"/>
          <w:i/>
          <w:sz w:val="24"/>
          <w:szCs w:val="24"/>
        </w:rPr>
        <w:lastRenderedPageBreak/>
        <w:t>elastic2 –cmf elastic2.cmf</w:t>
      </w:r>
      <w:r w:rsidRPr="000B21B1">
        <w:rPr>
          <w:rFonts w:ascii="Times New Roman" w:hAnsi="Times New Roman" w:cs="Times New Roman"/>
          <w:i/>
          <w:sz w:val="24"/>
          <w:szCs w:val="24"/>
        </w:rPr>
        <w:br/>
        <w:t>[This produces elastic2.har which contains elasticities E</w:t>
      </w:r>
      <w:r w:rsidRPr="000B21B1">
        <w:rPr>
          <w:rFonts w:ascii="Times New Roman" w:hAnsi="Times New Roman" w:cs="Times New Roman"/>
          <w:i/>
          <w:sz w:val="24"/>
          <w:szCs w:val="24"/>
          <w:vertAlign w:val="subscript"/>
        </w:rPr>
        <w:t>A</w:t>
      </w:r>
      <w:r w:rsidRPr="000B21B1">
        <w:rPr>
          <w:rFonts w:ascii="Times New Roman" w:hAnsi="Times New Roman" w:cs="Times New Roman"/>
          <w:i/>
          <w:sz w:val="24"/>
          <w:szCs w:val="24"/>
        </w:rPr>
        <w:t>(s,d,v) for 170 target regions. In the Keynesian case, these are in header “KCEL”, and in the Neoclassical case they are in “NCEL”.</w:t>
      </w:r>
    </w:p>
    <w:p w:rsidR="009E511F" w:rsidRPr="00F57D6D" w:rsidRDefault="009E511F" w:rsidP="009E511F">
      <w:pPr>
        <w:pStyle w:val="ListParagraph"/>
        <w:rPr>
          <w:rFonts w:ascii="Times New Roman" w:hAnsi="Times New Roman" w:cs="Times New Roman"/>
          <w:i/>
          <w:sz w:val="24"/>
          <w:szCs w:val="24"/>
        </w:rPr>
      </w:pPr>
      <w:r w:rsidRPr="00F57D6D">
        <w:rPr>
          <w:rFonts w:ascii="Times New Roman" w:hAnsi="Times New Roman" w:cs="Times New Roman"/>
          <w:i/>
          <w:sz w:val="24"/>
          <w:szCs w:val="24"/>
        </w:rPr>
        <w:t>Header KCEL(all,</w:t>
      </w:r>
      <w:r w:rsidRPr="00C232C0">
        <w:rPr>
          <w:rFonts w:ascii="Times New Roman" w:hAnsi="Times New Roman" w:cs="Times New Roman"/>
          <w:i/>
          <w:sz w:val="24"/>
          <w:szCs w:val="24"/>
        </w:rPr>
        <w:t xml:space="preserve"> </w:t>
      </w:r>
      <w:r w:rsidRPr="00F57D6D">
        <w:rPr>
          <w:rFonts w:ascii="Times New Roman" w:hAnsi="Times New Roman" w:cs="Times New Roman"/>
          <w:i/>
          <w:sz w:val="24"/>
          <w:szCs w:val="24"/>
        </w:rPr>
        <w:t>FL24</w:t>
      </w:r>
      <w:r>
        <w:rPr>
          <w:rFonts w:ascii="Times New Roman" w:hAnsi="Times New Roman" w:cs="Times New Roman"/>
          <w:i/>
          <w:sz w:val="24"/>
          <w:szCs w:val="24"/>
        </w:rPr>
        <w:t>,</w:t>
      </w:r>
      <w:r w:rsidRPr="00F57D6D">
        <w:rPr>
          <w:rFonts w:ascii="Times New Roman" w:hAnsi="Times New Roman" w:cs="Times New Roman"/>
          <w:i/>
          <w:sz w:val="24"/>
          <w:szCs w:val="24"/>
        </w:rPr>
        <w:t xml:space="preserve">all) contains Table 6.2 </w:t>
      </w:r>
    </w:p>
    <w:p w:rsidR="009E511F" w:rsidRPr="00F57D6D" w:rsidRDefault="009E511F" w:rsidP="009E511F">
      <w:pPr>
        <w:pStyle w:val="ListParagraph"/>
        <w:rPr>
          <w:rFonts w:ascii="Times New Roman" w:hAnsi="Times New Roman" w:cs="Times New Roman"/>
          <w:i/>
          <w:sz w:val="24"/>
          <w:szCs w:val="24"/>
        </w:rPr>
      </w:pPr>
      <w:r w:rsidRPr="00F57D6D">
        <w:rPr>
          <w:rFonts w:ascii="Times New Roman" w:hAnsi="Times New Roman" w:cs="Times New Roman"/>
          <w:i/>
          <w:sz w:val="24"/>
          <w:szCs w:val="24"/>
        </w:rPr>
        <w:t>Header KCEL(all,</w:t>
      </w:r>
      <w:r w:rsidRPr="00C232C0">
        <w:rPr>
          <w:rFonts w:ascii="Times New Roman" w:hAnsi="Times New Roman" w:cs="Times New Roman"/>
          <w:i/>
          <w:sz w:val="24"/>
          <w:szCs w:val="24"/>
        </w:rPr>
        <w:t xml:space="preserve"> </w:t>
      </w:r>
      <w:r w:rsidRPr="00F57D6D">
        <w:rPr>
          <w:rFonts w:ascii="Times New Roman" w:hAnsi="Times New Roman" w:cs="Times New Roman"/>
          <w:i/>
          <w:sz w:val="24"/>
          <w:szCs w:val="24"/>
        </w:rPr>
        <w:t>CA34</w:t>
      </w:r>
      <w:r>
        <w:rPr>
          <w:rFonts w:ascii="Times New Roman" w:hAnsi="Times New Roman" w:cs="Times New Roman"/>
          <w:i/>
          <w:sz w:val="24"/>
          <w:szCs w:val="24"/>
        </w:rPr>
        <w:t>,</w:t>
      </w:r>
      <w:r w:rsidRPr="00F57D6D">
        <w:rPr>
          <w:rFonts w:ascii="Times New Roman" w:hAnsi="Times New Roman" w:cs="Times New Roman"/>
          <w:i/>
          <w:sz w:val="24"/>
          <w:szCs w:val="24"/>
        </w:rPr>
        <w:t xml:space="preserve">all) contains Table 6.4 </w:t>
      </w:r>
    </w:p>
    <w:p w:rsidR="009E511F" w:rsidRPr="00F57D6D" w:rsidRDefault="009E511F" w:rsidP="009E511F">
      <w:pPr>
        <w:pStyle w:val="ListParagraph"/>
        <w:rPr>
          <w:rFonts w:ascii="Times New Roman" w:hAnsi="Times New Roman" w:cs="Times New Roman"/>
          <w:i/>
          <w:sz w:val="24"/>
          <w:szCs w:val="24"/>
        </w:rPr>
      </w:pPr>
      <w:r w:rsidRPr="00F57D6D">
        <w:rPr>
          <w:rFonts w:ascii="Times New Roman" w:hAnsi="Times New Roman" w:cs="Times New Roman"/>
          <w:i/>
          <w:sz w:val="24"/>
          <w:szCs w:val="24"/>
        </w:rPr>
        <w:t>Header NCEL(all,</w:t>
      </w:r>
      <w:r w:rsidRPr="00C232C0">
        <w:rPr>
          <w:rFonts w:ascii="Times New Roman" w:hAnsi="Times New Roman" w:cs="Times New Roman"/>
          <w:i/>
          <w:sz w:val="24"/>
          <w:szCs w:val="24"/>
        </w:rPr>
        <w:t xml:space="preserve"> </w:t>
      </w:r>
      <w:r w:rsidRPr="00F57D6D">
        <w:rPr>
          <w:rFonts w:ascii="Times New Roman" w:hAnsi="Times New Roman" w:cs="Times New Roman"/>
          <w:i/>
          <w:sz w:val="24"/>
          <w:szCs w:val="24"/>
        </w:rPr>
        <w:t>FL24</w:t>
      </w:r>
      <w:r>
        <w:rPr>
          <w:rFonts w:ascii="Times New Roman" w:hAnsi="Times New Roman" w:cs="Times New Roman"/>
          <w:i/>
          <w:sz w:val="24"/>
          <w:szCs w:val="24"/>
        </w:rPr>
        <w:t>,</w:t>
      </w:r>
      <w:r w:rsidRPr="00F57D6D">
        <w:rPr>
          <w:rFonts w:ascii="Times New Roman" w:hAnsi="Times New Roman" w:cs="Times New Roman"/>
          <w:i/>
          <w:sz w:val="24"/>
          <w:szCs w:val="24"/>
        </w:rPr>
        <w:t xml:space="preserve">all) contains Table 6.3 </w:t>
      </w:r>
    </w:p>
    <w:p w:rsidR="009E511F" w:rsidRDefault="009E511F" w:rsidP="009E511F">
      <w:pPr>
        <w:pStyle w:val="ListParagraph"/>
        <w:rPr>
          <w:rFonts w:ascii="Times New Roman" w:hAnsi="Times New Roman" w:cs="Times New Roman"/>
          <w:color w:val="FF0000"/>
          <w:sz w:val="24"/>
          <w:szCs w:val="24"/>
        </w:rPr>
      </w:pPr>
      <w:r w:rsidRPr="00F57D6D">
        <w:rPr>
          <w:rFonts w:ascii="Times New Roman" w:hAnsi="Times New Roman" w:cs="Times New Roman"/>
          <w:i/>
          <w:sz w:val="24"/>
          <w:szCs w:val="24"/>
        </w:rPr>
        <w:t>Header NCEL(all,</w:t>
      </w:r>
      <w:r w:rsidRPr="00C232C0">
        <w:rPr>
          <w:rFonts w:ascii="Times New Roman" w:hAnsi="Times New Roman" w:cs="Times New Roman"/>
          <w:i/>
          <w:sz w:val="24"/>
          <w:szCs w:val="24"/>
        </w:rPr>
        <w:t xml:space="preserve"> </w:t>
      </w:r>
      <w:r w:rsidRPr="00F57D6D">
        <w:rPr>
          <w:rFonts w:ascii="Times New Roman" w:hAnsi="Times New Roman" w:cs="Times New Roman"/>
          <w:i/>
          <w:sz w:val="24"/>
          <w:szCs w:val="24"/>
        </w:rPr>
        <w:t>CA34</w:t>
      </w:r>
      <w:r>
        <w:rPr>
          <w:rFonts w:ascii="Times New Roman" w:hAnsi="Times New Roman" w:cs="Times New Roman"/>
          <w:i/>
          <w:sz w:val="24"/>
          <w:szCs w:val="24"/>
        </w:rPr>
        <w:t>,</w:t>
      </w:r>
      <w:r w:rsidRPr="00F57D6D">
        <w:rPr>
          <w:rFonts w:ascii="Times New Roman" w:hAnsi="Times New Roman" w:cs="Times New Roman"/>
          <w:i/>
          <w:sz w:val="24"/>
          <w:szCs w:val="24"/>
        </w:rPr>
        <w:t>al,) contains Table 6.5 ]</w:t>
      </w:r>
    </w:p>
    <w:p w:rsidR="009E511F" w:rsidRPr="00C232C0" w:rsidRDefault="009E511F" w:rsidP="009E511F">
      <w:pPr>
        <w:pStyle w:val="ListParagraph"/>
        <w:numPr>
          <w:ilvl w:val="0"/>
          <w:numId w:val="17"/>
        </w:numPr>
        <w:spacing w:before="0" w:after="200" w:line="276" w:lineRule="auto"/>
        <w:rPr>
          <w:rFonts w:ascii="Times New Roman" w:hAnsi="Times New Roman" w:cs="Times New Roman"/>
          <w:sz w:val="24"/>
          <w:szCs w:val="24"/>
        </w:rPr>
      </w:pPr>
      <w:r w:rsidRPr="00C232C0">
        <w:rPr>
          <w:rFonts w:ascii="Times New Roman" w:hAnsi="Times New Roman" w:cs="Times New Roman"/>
          <w:sz w:val="24"/>
          <w:szCs w:val="24"/>
        </w:rPr>
        <w:t>Type</w:t>
      </w:r>
    </w:p>
    <w:p w:rsidR="009E511F" w:rsidRPr="007119F5" w:rsidRDefault="009E511F" w:rsidP="009E511F">
      <w:pPr>
        <w:pStyle w:val="ListParagraph"/>
        <w:rPr>
          <w:rFonts w:ascii="Times New Roman" w:hAnsi="Times New Roman" w:cs="Times New Roman"/>
          <w:i/>
          <w:sz w:val="24"/>
          <w:szCs w:val="24"/>
        </w:rPr>
      </w:pPr>
      <w:r w:rsidRPr="007119F5">
        <w:rPr>
          <w:rFonts w:ascii="Times New Roman" w:hAnsi="Times New Roman" w:cs="Times New Roman"/>
          <w:i/>
          <w:sz w:val="24"/>
          <w:szCs w:val="24"/>
        </w:rPr>
        <w:t>tablo –pgs scenarios</w:t>
      </w:r>
    </w:p>
    <w:p w:rsidR="009E511F" w:rsidRPr="0014466B" w:rsidRDefault="009E511F" w:rsidP="009E511F">
      <w:pPr>
        <w:pStyle w:val="ListParagraph"/>
        <w:numPr>
          <w:ilvl w:val="0"/>
          <w:numId w:val="17"/>
        </w:numPr>
        <w:spacing w:before="0" w:after="200" w:line="276" w:lineRule="auto"/>
        <w:rPr>
          <w:rFonts w:ascii="Times New Roman" w:hAnsi="Times New Roman" w:cs="Times New Roman"/>
          <w:sz w:val="24"/>
          <w:szCs w:val="24"/>
        </w:rPr>
      </w:pPr>
      <w:r>
        <w:rPr>
          <w:rFonts w:ascii="Times New Roman" w:hAnsi="Times New Roman" w:cs="Times New Roman"/>
          <w:sz w:val="24"/>
          <w:szCs w:val="24"/>
        </w:rPr>
        <w:t>Type</w:t>
      </w:r>
      <w:r>
        <w:rPr>
          <w:rFonts w:ascii="Times New Roman" w:hAnsi="Times New Roman" w:cs="Times New Roman"/>
          <w:sz w:val="24"/>
          <w:szCs w:val="24"/>
        </w:rPr>
        <w:br/>
      </w:r>
      <w:r w:rsidRPr="000C6CF4">
        <w:rPr>
          <w:rFonts w:ascii="Times New Roman" w:hAnsi="Times New Roman" w:cs="Times New Roman"/>
          <w:i/>
          <w:sz w:val="24"/>
          <w:szCs w:val="24"/>
        </w:rPr>
        <w:t>gemsim –cmf scenarios.cmf</w:t>
      </w:r>
    </w:p>
    <w:p w:rsidR="009E511F" w:rsidRPr="00F57D6D" w:rsidRDefault="009E511F" w:rsidP="009E511F">
      <w:pPr>
        <w:pStyle w:val="ListParagraph"/>
        <w:rPr>
          <w:rFonts w:ascii="Times New Roman" w:hAnsi="Times New Roman" w:cs="Times New Roman"/>
          <w:i/>
          <w:sz w:val="24"/>
          <w:szCs w:val="24"/>
        </w:rPr>
      </w:pPr>
      <w:r w:rsidRPr="00F57D6D">
        <w:rPr>
          <w:rFonts w:ascii="Times New Roman" w:hAnsi="Times New Roman" w:cs="Times New Roman"/>
          <w:i/>
          <w:sz w:val="24"/>
          <w:szCs w:val="24"/>
        </w:rPr>
        <w:t>[Scenarios.cmf reads 4 input files and produces 1 output file</w:t>
      </w:r>
    </w:p>
    <w:p w:rsidR="009E511F" w:rsidRPr="00F57D6D" w:rsidRDefault="009E511F" w:rsidP="009E511F">
      <w:pPr>
        <w:pStyle w:val="ListParagraph"/>
        <w:rPr>
          <w:rFonts w:ascii="Times New Roman" w:hAnsi="Times New Roman" w:cs="Times New Roman"/>
          <w:i/>
          <w:sz w:val="24"/>
          <w:szCs w:val="24"/>
        </w:rPr>
      </w:pPr>
      <w:r w:rsidRPr="00F57D6D">
        <w:rPr>
          <w:rFonts w:ascii="Times New Roman" w:hAnsi="Times New Roman" w:cs="Times New Roman"/>
          <w:i/>
          <w:sz w:val="24"/>
          <w:szCs w:val="24"/>
        </w:rPr>
        <w:t>The input files are:</w:t>
      </w:r>
    </w:p>
    <w:p w:rsidR="009E511F" w:rsidRPr="00F57D6D" w:rsidRDefault="009E511F" w:rsidP="009E511F">
      <w:pPr>
        <w:pStyle w:val="ListParagraph"/>
        <w:rPr>
          <w:rFonts w:ascii="Times New Roman" w:hAnsi="Times New Roman" w:cs="Times New Roman"/>
          <w:i/>
          <w:iCs/>
          <w:sz w:val="24"/>
          <w:szCs w:val="24"/>
        </w:rPr>
      </w:pPr>
      <w:r w:rsidRPr="00F57D6D">
        <w:rPr>
          <w:rFonts w:ascii="Times New Roman" w:hAnsi="Times New Roman" w:cs="Times New Roman"/>
          <w:i/>
          <w:sz w:val="24"/>
          <w:szCs w:val="24"/>
        </w:rPr>
        <w:t>Infile = Elastic2.har; This is the elasticity header file produced step 15</w:t>
      </w:r>
    </w:p>
    <w:p w:rsidR="009E511F" w:rsidRPr="00F57D6D" w:rsidRDefault="009E511F" w:rsidP="009E511F">
      <w:pPr>
        <w:pStyle w:val="ListParagraph"/>
        <w:rPr>
          <w:rFonts w:ascii="Times New Roman" w:hAnsi="Times New Roman" w:cs="Times New Roman"/>
          <w:i/>
          <w:iCs/>
          <w:sz w:val="24"/>
          <w:szCs w:val="24"/>
        </w:rPr>
      </w:pPr>
      <w:r w:rsidRPr="00F57D6D">
        <w:rPr>
          <w:rFonts w:ascii="Times New Roman" w:hAnsi="Times New Roman" w:cs="Times New Roman"/>
          <w:i/>
          <w:sz w:val="24"/>
          <w:szCs w:val="24"/>
        </w:rPr>
        <w:t xml:space="preserve">Shocks = </w:t>
      </w:r>
      <w:r w:rsidRPr="00C232C0">
        <w:rPr>
          <w:rFonts w:ascii="Times New Roman" w:hAnsi="Times New Roman" w:cs="Times New Roman"/>
          <w:bCs/>
          <w:sz w:val="24"/>
          <w:szCs w:val="24"/>
        </w:rPr>
        <w:t>Shock</w:t>
      </w:r>
      <w:r w:rsidRPr="00F57D6D">
        <w:rPr>
          <w:rFonts w:ascii="Times New Roman" w:hAnsi="Times New Roman" w:cs="Times New Roman"/>
          <w:i/>
          <w:sz w:val="24"/>
          <w:szCs w:val="24"/>
        </w:rPr>
        <w:t xml:space="preserve">.har; </w:t>
      </w:r>
      <w:r w:rsidRPr="00F57D6D">
        <w:rPr>
          <w:rFonts w:ascii="Times New Roman" w:hAnsi="Times New Roman" w:cs="Times New Roman"/>
          <w:i/>
          <w:iCs/>
          <w:sz w:val="24"/>
          <w:szCs w:val="24"/>
        </w:rPr>
        <w:t>This is the Header file of shocks reported in Table 7.1</w:t>
      </w:r>
    </w:p>
    <w:p w:rsidR="009E511F" w:rsidRPr="00F57D6D" w:rsidRDefault="009E511F" w:rsidP="009E511F">
      <w:pPr>
        <w:pStyle w:val="ListParagraph"/>
        <w:rPr>
          <w:rFonts w:ascii="Times New Roman" w:hAnsi="Times New Roman" w:cs="Times New Roman"/>
          <w:i/>
          <w:iCs/>
          <w:sz w:val="24"/>
          <w:szCs w:val="24"/>
        </w:rPr>
      </w:pPr>
      <w:r w:rsidRPr="00F57D6D">
        <w:rPr>
          <w:rFonts w:ascii="Times New Roman" w:hAnsi="Times New Roman" w:cs="Times New Roman"/>
          <w:i/>
          <w:sz w:val="24"/>
          <w:szCs w:val="24"/>
        </w:rPr>
        <w:t xml:space="preserve">WeightElas = WeightElas.har; </w:t>
      </w:r>
      <w:r w:rsidRPr="00F57D6D">
        <w:rPr>
          <w:rFonts w:ascii="Times New Roman" w:hAnsi="Times New Roman" w:cs="Times New Roman"/>
          <w:i/>
          <w:iCs/>
          <w:sz w:val="24"/>
          <w:szCs w:val="24"/>
        </w:rPr>
        <w:t xml:space="preserve"> This is a data file provide by CoPS</w:t>
      </w:r>
    </w:p>
    <w:p w:rsidR="009E511F" w:rsidRPr="00F57D6D" w:rsidRDefault="009E511F" w:rsidP="009E511F">
      <w:pPr>
        <w:pStyle w:val="ListParagraph"/>
        <w:rPr>
          <w:rFonts w:ascii="Times New Roman" w:hAnsi="Times New Roman" w:cs="Times New Roman"/>
          <w:i/>
          <w:iCs/>
          <w:sz w:val="24"/>
          <w:szCs w:val="24"/>
        </w:rPr>
      </w:pPr>
      <w:r w:rsidRPr="00F57D6D">
        <w:rPr>
          <w:rFonts w:ascii="Times New Roman" w:hAnsi="Times New Roman" w:cs="Times New Roman"/>
          <w:i/>
          <w:sz w:val="24"/>
          <w:szCs w:val="24"/>
        </w:rPr>
        <w:t xml:space="preserve">QCAPmaster = QCAPmaster.har; </w:t>
      </w:r>
      <w:r w:rsidRPr="00F57D6D">
        <w:rPr>
          <w:rFonts w:ascii="Times New Roman" w:hAnsi="Times New Roman" w:cs="Times New Roman"/>
          <w:i/>
          <w:iCs/>
          <w:sz w:val="24"/>
          <w:szCs w:val="24"/>
        </w:rPr>
        <w:t xml:space="preserve">This is another data file provide by CoPS </w:t>
      </w:r>
    </w:p>
    <w:p w:rsidR="009E511F" w:rsidRPr="00F57D6D" w:rsidRDefault="009E511F" w:rsidP="009E511F">
      <w:pPr>
        <w:pStyle w:val="ListParagraph"/>
        <w:rPr>
          <w:rFonts w:ascii="Times New Roman" w:hAnsi="Times New Roman" w:cs="Times New Roman"/>
          <w:i/>
          <w:iCs/>
          <w:sz w:val="24"/>
          <w:szCs w:val="24"/>
        </w:rPr>
      </w:pPr>
    </w:p>
    <w:p w:rsidR="009E511F" w:rsidRPr="00F57D6D" w:rsidRDefault="009E511F" w:rsidP="009E511F">
      <w:pPr>
        <w:pStyle w:val="ListParagraph"/>
        <w:rPr>
          <w:rFonts w:ascii="Times New Roman" w:hAnsi="Times New Roman" w:cs="Times New Roman"/>
          <w:i/>
          <w:iCs/>
          <w:sz w:val="24"/>
          <w:szCs w:val="24"/>
        </w:rPr>
      </w:pPr>
      <w:r w:rsidRPr="00F57D6D">
        <w:rPr>
          <w:rFonts w:ascii="Times New Roman" w:hAnsi="Times New Roman" w:cs="Times New Roman"/>
          <w:i/>
          <w:iCs/>
          <w:sz w:val="24"/>
          <w:szCs w:val="24"/>
        </w:rPr>
        <w:t>The output file is</w:t>
      </w:r>
      <w:r w:rsidRPr="00F57D6D">
        <w:rPr>
          <w:rFonts w:ascii="Times New Roman" w:hAnsi="Times New Roman" w:cs="Times New Roman"/>
          <w:i/>
          <w:iCs/>
          <w:sz w:val="24"/>
          <w:szCs w:val="24"/>
        </w:rPr>
        <w:br/>
      </w:r>
      <w:r w:rsidRPr="00F57D6D">
        <w:rPr>
          <w:rFonts w:ascii="Times New Roman" w:hAnsi="Times New Roman" w:cs="Times New Roman"/>
          <w:i/>
          <w:sz w:val="24"/>
          <w:szCs w:val="24"/>
        </w:rPr>
        <w:t xml:space="preserve">Outfile = </w:t>
      </w:r>
      <w:r w:rsidRPr="00F57D6D">
        <w:rPr>
          <w:rFonts w:ascii="Times New Roman" w:hAnsi="Times New Roman" w:cs="Times New Roman"/>
          <w:bCs/>
          <w:i/>
          <w:sz w:val="24"/>
          <w:szCs w:val="24"/>
        </w:rPr>
        <w:t>scenarios</w:t>
      </w:r>
      <w:r w:rsidRPr="00F57D6D">
        <w:rPr>
          <w:rFonts w:ascii="Times New Roman" w:hAnsi="Times New Roman" w:cs="Times New Roman"/>
          <w:i/>
          <w:sz w:val="24"/>
          <w:szCs w:val="24"/>
        </w:rPr>
        <w:t>.har; This file contains the contributions to the results for the 10 implication variables of the shocks to the 14 driving factors for all 170 target regions and for Keynesian assumption (Header “PCKY”) and Neoclassical assumptions (Header “PCNE”).</w:t>
      </w:r>
    </w:p>
    <w:p w:rsidR="009E511F" w:rsidRPr="00F57D6D" w:rsidRDefault="009E511F" w:rsidP="009E511F">
      <w:pPr>
        <w:pStyle w:val="ListParagraph"/>
        <w:rPr>
          <w:rFonts w:ascii="Times New Roman" w:hAnsi="Times New Roman" w:cs="Times New Roman"/>
          <w:i/>
          <w:iCs/>
          <w:sz w:val="24"/>
          <w:szCs w:val="24"/>
        </w:rPr>
      </w:pPr>
      <w:r w:rsidRPr="00F57D6D">
        <w:rPr>
          <w:rFonts w:ascii="Times New Roman" w:hAnsi="Times New Roman" w:cs="Times New Roman"/>
          <w:i/>
          <w:iCs/>
          <w:sz w:val="24"/>
          <w:szCs w:val="24"/>
        </w:rPr>
        <w:t xml:space="preserve">Header “PCKY” (all,all,FL24) contains the lower panel </w:t>
      </w:r>
      <w:r>
        <w:rPr>
          <w:rFonts w:ascii="Times New Roman" w:hAnsi="Times New Roman" w:cs="Times New Roman"/>
          <w:i/>
          <w:iCs/>
          <w:sz w:val="24"/>
          <w:szCs w:val="24"/>
        </w:rPr>
        <w:t xml:space="preserve">of </w:t>
      </w:r>
      <w:r w:rsidRPr="00F57D6D">
        <w:rPr>
          <w:rFonts w:ascii="Times New Roman" w:hAnsi="Times New Roman" w:cs="Times New Roman"/>
          <w:i/>
          <w:iCs/>
          <w:sz w:val="24"/>
          <w:szCs w:val="24"/>
        </w:rPr>
        <w:t>Table 7.4</w:t>
      </w:r>
      <w:r>
        <w:rPr>
          <w:rFonts w:ascii="Times New Roman" w:hAnsi="Times New Roman" w:cs="Times New Roman"/>
          <w:i/>
          <w:iCs/>
          <w:sz w:val="24"/>
          <w:szCs w:val="24"/>
        </w:rPr>
        <w:t xml:space="preserve"> which contains the </w:t>
      </w:r>
      <w:r w:rsidRPr="00F57D6D">
        <w:rPr>
          <w:rFonts w:ascii="Times New Roman" w:hAnsi="Times New Roman" w:cs="Times New Roman"/>
          <w:i/>
          <w:iCs/>
          <w:sz w:val="24"/>
          <w:szCs w:val="24"/>
        </w:rPr>
        <w:t xml:space="preserve">contributions </w:t>
      </w:r>
      <w:r>
        <w:rPr>
          <w:rFonts w:ascii="Times New Roman" w:hAnsi="Times New Roman" w:cs="Times New Roman"/>
          <w:i/>
          <w:iCs/>
          <w:sz w:val="24"/>
          <w:szCs w:val="24"/>
        </w:rPr>
        <w:t>of driving factors to economic implication variables in FL24 for the shocks in Table 7.2 under Keynesian assumptions</w:t>
      </w:r>
      <w:r w:rsidRPr="00F57D6D">
        <w:rPr>
          <w:rFonts w:ascii="Times New Roman" w:hAnsi="Times New Roman" w:cs="Times New Roman"/>
          <w:i/>
          <w:iCs/>
          <w:sz w:val="24"/>
          <w:szCs w:val="24"/>
        </w:rPr>
        <w:t>.</w:t>
      </w:r>
    </w:p>
    <w:p w:rsidR="009E511F" w:rsidRDefault="009E511F" w:rsidP="009E511F">
      <w:pPr>
        <w:pStyle w:val="ListParagraph"/>
        <w:rPr>
          <w:rFonts w:ascii="Times New Roman" w:hAnsi="Times New Roman" w:cs="Times New Roman"/>
          <w:i/>
          <w:iCs/>
          <w:sz w:val="24"/>
          <w:szCs w:val="24"/>
        </w:rPr>
      </w:pPr>
      <w:r w:rsidRPr="00F57D6D">
        <w:rPr>
          <w:rFonts w:ascii="Times New Roman" w:hAnsi="Times New Roman" w:cs="Times New Roman"/>
          <w:i/>
          <w:iCs/>
          <w:sz w:val="24"/>
          <w:szCs w:val="24"/>
        </w:rPr>
        <w:t xml:space="preserve">Header “PCNE” (all,all,FL24) contains the lower panel </w:t>
      </w:r>
      <w:r>
        <w:rPr>
          <w:rFonts w:ascii="Times New Roman" w:hAnsi="Times New Roman" w:cs="Times New Roman"/>
          <w:i/>
          <w:iCs/>
          <w:sz w:val="24"/>
          <w:szCs w:val="24"/>
        </w:rPr>
        <w:t xml:space="preserve">of </w:t>
      </w:r>
      <w:r w:rsidRPr="00F57D6D">
        <w:rPr>
          <w:rFonts w:ascii="Times New Roman" w:hAnsi="Times New Roman" w:cs="Times New Roman"/>
          <w:i/>
          <w:iCs/>
          <w:sz w:val="24"/>
          <w:szCs w:val="24"/>
        </w:rPr>
        <w:t>Table 7.</w:t>
      </w:r>
      <w:r>
        <w:rPr>
          <w:rFonts w:ascii="Times New Roman" w:hAnsi="Times New Roman" w:cs="Times New Roman"/>
          <w:i/>
          <w:iCs/>
          <w:sz w:val="24"/>
          <w:szCs w:val="24"/>
        </w:rPr>
        <w:t xml:space="preserve">5 which contains the </w:t>
      </w:r>
      <w:r w:rsidRPr="00F57D6D">
        <w:rPr>
          <w:rFonts w:ascii="Times New Roman" w:hAnsi="Times New Roman" w:cs="Times New Roman"/>
          <w:i/>
          <w:iCs/>
          <w:sz w:val="24"/>
          <w:szCs w:val="24"/>
        </w:rPr>
        <w:t xml:space="preserve">contributions </w:t>
      </w:r>
      <w:r>
        <w:rPr>
          <w:rFonts w:ascii="Times New Roman" w:hAnsi="Times New Roman" w:cs="Times New Roman"/>
          <w:i/>
          <w:iCs/>
          <w:sz w:val="24"/>
          <w:szCs w:val="24"/>
        </w:rPr>
        <w:t>of driving factors to economic implication variables in FL24 for the shocks in Table 7.2 under Neoclassical assumptions</w:t>
      </w:r>
      <w:r w:rsidRPr="00F57D6D">
        <w:rPr>
          <w:rFonts w:ascii="Times New Roman" w:hAnsi="Times New Roman" w:cs="Times New Roman"/>
          <w:i/>
          <w:iCs/>
          <w:sz w:val="24"/>
          <w:szCs w:val="24"/>
        </w:rPr>
        <w:t>.</w:t>
      </w:r>
    </w:p>
    <w:p w:rsidR="009E511F" w:rsidRDefault="009E511F" w:rsidP="009E511F">
      <w:pPr>
        <w:pStyle w:val="ListParagraph"/>
        <w:rPr>
          <w:rFonts w:ascii="Times New Roman" w:hAnsi="Times New Roman" w:cs="Times New Roman"/>
          <w:i/>
          <w:iCs/>
          <w:sz w:val="24"/>
          <w:szCs w:val="24"/>
        </w:rPr>
      </w:pPr>
    </w:p>
    <w:p w:rsidR="009E511F" w:rsidRPr="00F57D6D" w:rsidRDefault="009E511F" w:rsidP="009E511F">
      <w:pPr>
        <w:pStyle w:val="ListParagraph"/>
        <w:rPr>
          <w:rFonts w:ascii="Times New Roman" w:hAnsi="Times New Roman" w:cs="Times New Roman"/>
          <w:i/>
          <w:iCs/>
          <w:sz w:val="24"/>
          <w:szCs w:val="24"/>
        </w:rPr>
      </w:pPr>
      <w:r>
        <w:rPr>
          <w:rFonts w:ascii="Times New Roman" w:hAnsi="Times New Roman" w:cs="Times New Roman"/>
          <w:i/>
          <w:iCs/>
          <w:sz w:val="24"/>
          <w:szCs w:val="24"/>
        </w:rPr>
        <w:t>Also in</w:t>
      </w:r>
      <w:r w:rsidRPr="00F57D6D">
        <w:rPr>
          <w:rFonts w:ascii="Times New Roman" w:hAnsi="Times New Roman" w:cs="Times New Roman"/>
          <w:i/>
          <w:iCs/>
          <w:sz w:val="24"/>
          <w:szCs w:val="24"/>
        </w:rPr>
        <w:t xml:space="preserve"> this header array file </w:t>
      </w:r>
      <w:r>
        <w:rPr>
          <w:rFonts w:ascii="Times New Roman" w:hAnsi="Times New Roman" w:cs="Times New Roman"/>
          <w:i/>
          <w:iCs/>
          <w:sz w:val="24"/>
          <w:szCs w:val="24"/>
        </w:rPr>
        <w:t xml:space="preserve">are the shocks in percentage change format for all 170 congressional districts of interest.  </w:t>
      </w:r>
      <w:r w:rsidRPr="00F57D6D">
        <w:rPr>
          <w:rFonts w:ascii="Times New Roman" w:hAnsi="Times New Roman" w:cs="Times New Roman"/>
          <w:i/>
          <w:iCs/>
          <w:sz w:val="24"/>
          <w:szCs w:val="24"/>
        </w:rPr>
        <w:t xml:space="preserve">Header “PC0K” (All,FL24,All) contains </w:t>
      </w:r>
      <w:r>
        <w:rPr>
          <w:rFonts w:ascii="Times New Roman" w:hAnsi="Times New Roman" w:cs="Times New Roman"/>
          <w:i/>
          <w:iCs/>
          <w:sz w:val="24"/>
          <w:szCs w:val="24"/>
        </w:rPr>
        <w:t xml:space="preserve">the shocks in </w:t>
      </w:r>
      <w:r w:rsidRPr="00F57D6D">
        <w:rPr>
          <w:rFonts w:ascii="Times New Roman" w:hAnsi="Times New Roman" w:cs="Times New Roman"/>
          <w:i/>
          <w:iCs/>
          <w:sz w:val="24"/>
          <w:szCs w:val="24"/>
        </w:rPr>
        <w:t xml:space="preserve">Table 7.2 of the paper and Header “PC0K” (All,CA34,All) contains </w:t>
      </w:r>
      <w:r>
        <w:rPr>
          <w:rFonts w:ascii="Times New Roman" w:hAnsi="Times New Roman" w:cs="Times New Roman"/>
          <w:i/>
          <w:iCs/>
          <w:sz w:val="24"/>
          <w:szCs w:val="24"/>
        </w:rPr>
        <w:t xml:space="preserve">the shocks in </w:t>
      </w:r>
      <w:r w:rsidRPr="00F57D6D">
        <w:rPr>
          <w:rFonts w:ascii="Times New Roman" w:hAnsi="Times New Roman" w:cs="Times New Roman"/>
          <w:i/>
          <w:iCs/>
          <w:sz w:val="24"/>
          <w:szCs w:val="24"/>
        </w:rPr>
        <w:t>Table 7.3.]</w:t>
      </w:r>
    </w:p>
    <w:p w:rsidR="000418E3" w:rsidRPr="00D77365" w:rsidRDefault="000418E3" w:rsidP="000418E3">
      <w:pPr>
        <w:pStyle w:val="ListParagraph"/>
        <w:ind w:left="0"/>
        <w:contextualSpacing w:val="0"/>
        <w:rPr>
          <w:rFonts w:ascii="Times New Roman" w:hAnsi="Times New Roman" w:cs="Times New Roman"/>
          <w:b/>
          <w:sz w:val="24"/>
          <w:szCs w:val="24"/>
        </w:rPr>
      </w:pPr>
      <w:r w:rsidRPr="00D77365">
        <w:rPr>
          <w:rFonts w:ascii="Times New Roman" w:hAnsi="Times New Roman" w:cs="Times New Roman"/>
          <w:b/>
          <w:sz w:val="24"/>
          <w:szCs w:val="24"/>
        </w:rPr>
        <w:t>References</w:t>
      </w:r>
    </w:p>
    <w:p w:rsidR="000418E3" w:rsidRPr="00A60138" w:rsidRDefault="000418E3" w:rsidP="000418E3">
      <w:pPr>
        <w:pStyle w:val="ListParagraph"/>
        <w:ind w:left="630" w:hanging="630"/>
        <w:contextualSpacing w:val="0"/>
        <w:rPr>
          <w:rFonts w:ascii="Times New Roman" w:hAnsi="Times New Roman" w:cs="Times New Roman"/>
          <w:sz w:val="24"/>
          <w:szCs w:val="24"/>
        </w:rPr>
      </w:pPr>
      <w:r w:rsidRPr="00A60138">
        <w:rPr>
          <w:rFonts w:ascii="Times New Roman" w:hAnsi="Times New Roman" w:cs="Times New Roman"/>
          <w:sz w:val="24"/>
          <w:szCs w:val="24"/>
        </w:rPr>
        <w:t xml:space="preserve">Chen, Z., A. Rose, F. Prager and S. Chatterjee (2016), “Economic consequences of aviation systems disruptions: a reduced-form computable general equilibrium analysis”, </w:t>
      </w:r>
      <w:r w:rsidR="00EB378A" w:rsidRPr="00A60138">
        <w:rPr>
          <w:rFonts w:ascii="Times New Roman" w:hAnsi="Times New Roman" w:cs="Times New Roman"/>
          <w:i/>
          <w:sz w:val="24"/>
          <w:szCs w:val="24"/>
        </w:rPr>
        <w:t>Transportation Research Part A,</w:t>
      </w:r>
      <w:r w:rsidR="00EB378A" w:rsidRPr="00A60138">
        <w:rPr>
          <w:rFonts w:ascii="Times New Roman" w:hAnsi="Times New Roman" w:cs="Times New Roman"/>
          <w:sz w:val="24"/>
          <w:szCs w:val="24"/>
        </w:rPr>
        <w:t xml:space="preserve"> </w:t>
      </w:r>
      <w:hyperlink r:id="rId89" w:history="1">
        <w:r w:rsidR="00EB378A" w:rsidRPr="00A60138">
          <w:rPr>
            <w:rStyle w:val="Hyperlink"/>
            <w:rFonts w:ascii="Times New Roman" w:hAnsi="Times New Roman" w:cs="Times New Roman"/>
            <w:sz w:val="24"/>
            <w:szCs w:val="24"/>
          </w:rPr>
          <w:t>http://dx.doi.org/10.1016/j.tra.2016.09.027</w:t>
        </w:r>
      </w:hyperlink>
      <w:r w:rsidR="00EB378A" w:rsidRPr="00A60138">
        <w:rPr>
          <w:rFonts w:ascii="Times New Roman" w:hAnsi="Times New Roman" w:cs="Times New Roman"/>
          <w:sz w:val="24"/>
          <w:szCs w:val="24"/>
        </w:rPr>
        <w:t xml:space="preserve"> </w:t>
      </w:r>
      <w:r w:rsidRPr="00A60138">
        <w:rPr>
          <w:rFonts w:ascii="Times New Roman" w:hAnsi="Times New Roman" w:cs="Times New Roman"/>
          <w:sz w:val="24"/>
          <w:szCs w:val="24"/>
        </w:rPr>
        <w:t xml:space="preserve"> .  </w:t>
      </w:r>
    </w:p>
    <w:p w:rsidR="000418E3" w:rsidRPr="00A60138" w:rsidRDefault="000418E3" w:rsidP="000418E3">
      <w:pPr>
        <w:pStyle w:val="HTMLPreformatted"/>
        <w:tabs>
          <w:tab w:val="left" w:pos="567"/>
        </w:tabs>
        <w:spacing w:before="60"/>
        <w:ind w:left="601" w:hanging="601"/>
        <w:rPr>
          <w:rFonts w:ascii="Times New Roman" w:hAnsi="Times New Roman" w:cs="Times New Roman"/>
          <w:sz w:val="24"/>
          <w:szCs w:val="24"/>
        </w:rPr>
      </w:pPr>
      <w:r w:rsidRPr="00A60138">
        <w:rPr>
          <w:rStyle w:val="Strong"/>
          <w:rFonts w:ascii="Times New Roman" w:hAnsi="Times New Roman" w:cs="Times New Roman"/>
          <w:b w:val="0"/>
          <w:sz w:val="24"/>
          <w:szCs w:val="24"/>
        </w:rPr>
        <w:t>Dixon, P.B. and</w:t>
      </w:r>
      <w:r w:rsidRPr="00A60138">
        <w:rPr>
          <w:rFonts w:ascii="Times New Roman" w:hAnsi="Times New Roman" w:cs="Times New Roman"/>
          <w:b/>
          <w:sz w:val="24"/>
          <w:szCs w:val="24"/>
        </w:rPr>
        <w:t xml:space="preserve"> </w:t>
      </w:r>
      <w:r w:rsidRPr="00A60138">
        <w:rPr>
          <w:rFonts w:ascii="Times New Roman" w:hAnsi="Times New Roman" w:cs="Times New Roman"/>
          <w:sz w:val="24"/>
          <w:szCs w:val="24"/>
        </w:rPr>
        <w:t xml:space="preserve">M.T. Rimmer (2002), </w:t>
      </w:r>
      <w:r w:rsidRPr="00A60138">
        <w:rPr>
          <w:rFonts w:ascii="Times New Roman" w:hAnsi="Times New Roman" w:cs="Times New Roman"/>
          <w:i/>
          <w:sz w:val="24"/>
          <w:szCs w:val="24"/>
        </w:rPr>
        <w:t xml:space="preserve">Dynamic General Equilibrium Modelling for Forecasting and Policy: a Practical Guide and Documentation of MONASH, </w:t>
      </w:r>
      <w:r w:rsidRPr="00A60138">
        <w:rPr>
          <w:rFonts w:ascii="Times New Roman" w:hAnsi="Times New Roman" w:cs="Times New Roman"/>
          <w:sz w:val="24"/>
          <w:szCs w:val="24"/>
        </w:rPr>
        <w:t xml:space="preserve">Contributions to Economic Analysis 256, North-Holland Publishing Company, Amsterdam, pp. xiv+338. </w:t>
      </w:r>
    </w:p>
    <w:p w:rsidR="000418E3" w:rsidRPr="00A60138" w:rsidRDefault="000418E3" w:rsidP="000418E3">
      <w:pPr>
        <w:spacing w:before="60"/>
        <w:ind w:left="540" w:hanging="540"/>
        <w:rPr>
          <w:rFonts w:ascii="Times New Roman" w:hAnsi="Times New Roman" w:cs="Times New Roman"/>
          <w:sz w:val="24"/>
          <w:szCs w:val="24"/>
        </w:rPr>
      </w:pPr>
      <w:r w:rsidRPr="00A60138">
        <w:rPr>
          <w:rFonts w:ascii="Times New Roman" w:hAnsi="Times New Roman" w:cs="Times New Roman"/>
          <w:sz w:val="24"/>
          <w:szCs w:val="24"/>
        </w:rPr>
        <w:t xml:space="preserve">Dixon, P.B. and M.T. Rimmer (2004), “The US economy from 1992 to 1998: results from a detailed CGE model”, </w:t>
      </w:r>
      <w:r w:rsidRPr="00A60138">
        <w:rPr>
          <w:rFonts w:ascii="Times New Roman" w:hAnsi="Times New Roman" w:cs="Times New Roman"/>
          <w:i/>
          <w:sz w:val="24"/>
          <w:szCs w:val="24"/>
        </w:rPr>
        <w:t>Economic Record</w:t>
      </w:r>
      <w:r w:rsidRPr="00A60138">
        <w:rPr>
          <w:rFonts w:ascii="Times New Roman" w:hAnsi="Times New Roman" w:cs="Times New Roman"/>
          <w:sz w:val="24"/>
          <w:szCs w:val="24"/>
        </w:rPr>
        <w:t>, Vol. 80(Special Issue), September, pp.S13-S23.</w:t>
      </w:r>
    </w:p>
    <w:p w:rsidR="000418E3" w:rsidRPr="00A60138" w:rsidRDefault="000418E3" w:rsidP="000418E3">
      <w:pPr>
        <w:pStyle w:val="FootnoteText"/>
        <w:spacing w:before="120"/>
        <w:ind w:left="567" w:hanging="567"/>
        <w:rPr>
          <w:rFonts w:cs="Times New Roman"/>
          <w:iCs/>
          <w:sz w:val="24"/>
          <w:szCs w:val="24"/>
          <w:lang w:val="en-US"/>
        </w:rPr>
      </w:pPr>
      <w:r w:rsidRPr="00A60138">
        <w:rPr>
          <w:rFonts w:cs="Times New Roman"/>
          <w:iCs/>
          <w:sz w:val="24"/>
          <w:szCs w:val="24"/>
          <w:lang w:val="en-US"/>
        </w:rPr>
        <w:t xml:space="preserve">Dixon, P.B. and M.T. Rimmer (2010), “Validating a detailed, dynamic CGE model of the U.S.”, </w:t>
      </w:r>
      <w:r w:rsidRPr="00A60138">
        <w:rPr>
          <w:rFonts w:cs="Times New Roman"/>
          <w:i/>
          <w:sz w:val="24"/>
          <w:szCs w:val="24"/>
        </w:rPr>
        <w:t xml:space="preserve">Economic Record, </w:t>
      </w:r>
      <w:r w:rsidRPr="00A60138">
        <w:rPr>
          <w:rFonts w:cs="Times New Roman"/>
          <w:sz w:val="24"/>
          <w:szCs w:val="24"/>
        </w:rPr>
        <w:t>86(Special issue), September, 2010, pp. 22-34.</w:t>
      </w:r>
      <w:r w:rsidRPr="00A60138">
        <w:rPr>
          <w:rFonts w:cs="Times New Roman"/>
          <w:iCs/>
          <w:sz w:val="24"/>
          <w:szCs w:val="24"/>
          <w:lang w:val="en-US"/>
        </w:rPr>
        <w:t xml:space="preserve">  </w:t>
      </w:r>
    </w:p>
    <w:p w:rsidR="000418E3" w:rsidRPr="00A60138" w:rsidRDefault="000418E3" w:rsidP="000418E3">
      <w:pPr>
        <w:tabs>
          <w:tab w:val="left" w:pos="567"/>
        </w:tabs>
        <w:spacing w:before="60"/>
        <w:ind w:left="601" w:hanging="601"/>
        <w:rPr>
          <w:rStyle w:val="Strong"/>
          <w:rFonts w:ascii="Times New Roman" w:hAnsi="Times New Roman" w:cs="Times New Roman"/>
          <w:b w:val="0"/>
          <w:sz w:val="24"/>
          <w:szCs w:val="24"/>
        </w:rPr>
      </w:pPr>
      <w:r w:rsidRPr="00A60138">
        <w:rPr>
          <w:rStyle w:val="Strong"/>
          <w:rFonts w:ascii="Times New Roman" w:hAnsi="Times New Roman" w:cs="Times New Roman"/>
          <w:b w:val="0"/>
          <w:sz w:val="24"/>
          <w:szCs w:val="24"/>
        </w:rPr>
        <w:lastRenderedPageBreak/>
        <w:t xml:space="preserve">Dixon, P.B. and M.T. Rimmer (2011), “You can’t have a CGE recession without excess capacity”, </w:t>
      </w:r>
      <w:r w:rsidRPr="00A60138">
        <w:rPr>
          <w:rStyle w:val="Strong"/>
          <w:rFonts w:ascii="Times New Roman" w:hAnsi="Times New Roman" w:cs="Times New Roman"/>
          <w:b w:val="0"/>
          <w:i/>
          <w:sz w:val="24"/>
          <w:szCs w:val="24"/>
        </w:rPr>
        <w:t>Economic Modelling</w:t>
      </w:r>
      <w:r w:rsidRPr="00A60138">
        <w:rPr>
          <w:rStyle w:val="Strong"/>
          <w:rFonts w:ascii="Times New Roman" w:hAnsi="Times New Roman" w:cs="Times New Roman"/>
          <w:b w:val="0"/>
          <w:sz w:val="24"/>
          <w:szCs w:val="24"/>
        </w:rPr>
        <w:t xml:space="preserve">, Vol. 28(1-2), January-March, pp. 602-13.  </w:t>
      </w:r>
    </w:p>
    <w:p w:rsidR="000418E3" w:rsidRPr="00A60138" w:rsidRDefault="000418E3" w:rsidP="000418E3">
      <w:pPr>
        <w:ind w:left="567" w:hanging="567"/>
        <w:rPr>
          <w:rFonts w:ascii="Times New Roman" w:hAnsi="Times New Roman" w:cs="Times New Roman"/>
          <w:bCs/>
          <w:color w:val="000000" w:themeColor="text1"/>
          <w:sz w:val="24"/>
          <w:szCs w:val="24"/>
        </w:rPr>
      </w:pPr>
      <w:r w:rsidRPr="00A60138">
        <w:rPr>
          <w:rFonts w:ascii="Times New Roman" w:hAnsi="Times New Roman" w:cs="Times New Roman"/>
          <w:iCs/>
          <w:sz w:val="24"/>
          <w:szCs w:val="24"/>
        </w:rPr>
        <w:t xml:space="preserve">Dixon, P.B. and </w:t>
      </w:r>
      <w:r w:rsidRPr="00A60138">
        <w:rPr>
          <w:rFonts w:ascii="Times New Roman" w:hAnsi="Times New Roman" w:cs="Times New Roman"/>
          <w:color w:val="000000" w:themeColor="text1"/>
          <w:sz w:val="24"/>
          <w:szCs w:val="24"/>
        </w:rPr>
        <w:t xml:space="preserve">M.T. Rimmer (2013), “Validation in CGE modeling”, </w:t>
      </w:r>
      <w:r w:rsidRPr="00A60138">
        <w:rPr>
          <w:rStyle w:val="Strong"/>
          <w:rFonts w:ascii="Times New Roman" w:hAnsi="Times New Roman" w:cs="Times New Roman"/>
          <w:b w:val="0"/>
          <w:sz w:val="24"/>
          <w:szCs w:val="24"/>
        </w:rPr>
        <w:t>chapter 19 in</w:t>
      </w:r>
      <w:r w:rsidRPr="00A60138">
        <w:rPr>
          <w:rStyle w:val="Strong"/>
          <w:rFonts w:ascii="Times New Roman" w:hAnsi="Times New Roman" w:cs="Times New Roman"/>
          <w:sz w:val="24"/>
          <w:szCs w:val="24"/>
        </w:rPr>
        <w:t xml:space="preserve"> </w:t>
      </w:r>
      <w:r w:rsidRPr="00A60138">
        <w:rPr>
          <w:rFonts w:ascii="Times New Roman" w:hAnsi="Times New Roman" w:cs="Times New Roman"/>
          <w:color w:val="000000" w:themeColor="text1"/>
          <w:sz w:val="24"/>
          <w:szCs w:val="24"/>
        </w:rPr>
        <w:t xml:space="preserve">P.B. Dixon and D.W. Jorgenson (editors) </w:t>
      </w:r>
      <w:r w:rsidRPr="00A60138">
        <w:rPr>
          <w:rFonts w:ascii="Times New Roman" w:hAnsi="Times New Roman" w:cs="Times New Roman"/>
          <w:i/>
          <w:iCs/>
          <w:color w:val="000000" w:themeColor="text1"/>
          <w:sz w:val="24"/>
          <w:szCs w:val="24"/>
        </w:rPr>
        <w:t>Handbook of Computable General Equilibrium Modeling</w:t>
      </w:r>
      <w:r w:rsidRPr="00A60138">
        <w:rPr>
          <w:rFonts w:ascii="Times New Roman" w:hAnsi="Times New Roman" w:cs="Times New Roman"/>
          <w:color w:val="000000" w:themeColor="text1"/>
          <w:sz w:val="24"/>
          <w:szCs w:val="24"/>
        </w:rPr>
        <w:t xml:space="preserve">, </w:t>
      </w:r>
      <w:r w:rsidRPr="00A60138">
        <w:rPr>
          <w:rFonts w:ascii="Times New Roman" w:hAnsi="Times New Roman" w:cs="Times New Roman"/>
          <w:bCs/>
          <w:color w:val="000000" w:themeColor="text1"/>
          <w:sz w:val="24"/>
          <w:szCs w:val="24"/>
        </w:rPr>
        <w:t xml:space="preserve">Elsevier, </w:t>
      </w:r>
      <w:r w:rsidRPr="00A60138">
        <w:rPr>
          <w:rFonts w:ascii="Times New Roman" w:hAnsi="Times New Roman" w:cs="Times New Roman"/>
          <w:color w:val="000000" w:themeColor="text1"/>
          <w:sz w:val="24"/>
          <w:szCs w:val="24"/>
        </w:rPr>
        <w:t>Amsterdam</w:t>
      </w:r>
      <w:r w:rsidRPr="00A60138">
        <w:rPr>
          <w:rFonts w:ascii="Times New Roman" w:hAnsi="Times New Roman" w:cs="Times New Roman"/>
          <w:bCs/>
          <w:color w:val="000000" w:themeColor="text1"/>
          <w:sz w:val="24"/>
          <w:szCs w:val="24"/>
        </w:rPr>
        <w:t>.</w:t>
      </w:r>
    </w:p>
    <w:p w:rsidR="000418E3" w:rsidRPr="00A60138" w:rsidRDefault="000418E3" w:rsidP="000418E3">
      <w:pPr>
        <w:ind w:left="567" w:hanging="567"/>
        <w:rPr>
          <w:rFonts w:ascii="Times New Roman" w:hAnsi="Times New Roman" w:cs="Times New Roman"/>
          <w:sz w:val="24"/>
          <w:szCs w:val="24"/>
        </w:rPr>
      </w:pPr>
      <w:r w:rsidRPr="00A60138">
        <w:rPr>
          <w:rFonts w:ascii="Times New Roman" w:hAnsi="Times New Roman" w:cs="Times New Roman"/>
          <w:iCs/>
          <w:sz w:val="24"/>
          <w:szCs w:val="24"/>
        </w:rPr>
        <w:t xml:space="preserve">Dixon, P.B., </w:t>
      </w:r>
      <w:r w:rsidRPr="00A60138">
        <w:rPr>
          <w:rFonts w:ascii="Times New Roman" w:hAnsi="Times New Roman" w:cs="Times New Roman"/>
          <w:sz w:val="24"/>
          <w:szCs w:val="24"/>
        </w:rPr>
        <w:t xml:space="preserve">M.T. Rimmer and M.E. Tsigas (2007a), “Regionalizing results from a detailed CGE model: macro, industry and state effects in the U.S. of removing major tariffs and quotas”, </w:t>
      </w:r>
      <w:r w:rsidRPr="00A60138">
        <w:rPr>
          <w:rFonts w:ascii="Times New Roman" w:hAnsi="Times New Roman" w:cs="Times New Roman"/>
          <w:i/>
          <w:sz w:val="24"/>
          <w:szCs w:val="24"/>
        </w:rPr>
        <w:t xml:space="preserve">Papers in Regional Science, </w:t>
      </w:r>
      <w:r w:rsidRPr="00A60138">
        <w:rPr>
          <w:rFonts w:ascii="Times New Roman" w:hAnsi="Times New Roman" w:cs="Times New Roman"/>
          <w:sz w:val="24"/>
          <w:szCs w:val="24"/>
        </w:rPr>
        <w:t>Vol. 86(1), March, pp. 31-55.</w:t>
      </w:r>
    </w:p>
    <w:p w:rsidR="000418E3" w:rsidRPr="00A60138" w:rsidRDefault="000418E3" w:rsidP="000418E3">
      <w:pPr>
        <w:ind w:left="567" w:hanging="567"/>
        <w:rPr>
          <w:rFonts w:ascii="Times New Roman" w:hAnsi="Times New Roman" w:cs="Times New Roman"/>
          <w:sz w:val="24"/>
          <w:szCs w:val="24"/>
        </w:rPr>
      </w:pPr>
      <w:r w:rsidRPr="00A60138">
        <w:rPr>
          <w:rFonts w:ascii="Times New Roman" w:hAnsi="Times New Roman" w:cs="Times New Roman"/>
          <w:iCs/>
          <w:sz w:val="24"/>
          <w:szCs w:val="24"/>
        </w:rPr>
        <w:t xml:space="preserve">Dixon, P.B., </w:t>
      </w:r>
      <w:r w:rsidRPr="00A60138">
        <w:rPr>
          <w:rFonts w:ascii="Times New Roman" w:hAnsi="Times New Roman" w:cs="Times New Roman"/>
          <w:sz w:val="24"/>
          <w:szCs w:val="24"/>
        </w:rPr>
        <w:t xml:space="preserve">S. Osborne and M.T. Rimmer (2007b), “The economy-wide effects in the United States of replacing crude petroleum with biomass”,  </w:t>
      </w:r>
      <w:r w:rsidRPr="00A60138">
        <w:rPr>
          <w:rFonts w:ascii="Times New Roman" w:hAnsi="Times New Roman" w:cs="Times New Roman"/>
          <w:i/>
          <w:sz w:val="24"/>
          <w:szCs w:val="24"/>
        </w:rPr>
        <w:t>Energy and Environment,</w:t>
      </w:r>
      <w:r w:rsidRPr="00A60138">
        <w:rPr>
          <w:rFonts w:ascii="Times New Roman" w:hAnsi="Times New Roman" w:cs="Times New Roman"/>
          <w:sz w:val="24"/>
          <w:szCs w:val="24"/>
        </w:rPr>
        <w:t xml:space="preserve"> 18(6),  pp. 709-722.</w:t>
      </w:r>
    </w:p>
    <w:p w:rsidR="000418E3" w:rsidRPr="00A60138" w:rsidRDefault="000418E3" w:rsidP="000418E3">
      <w:pPr>
        <w:pStyle w:val="HTMLPreformatted"/>
        <w:tabs>
          <w:tab w:val="left" w:pos="567"/>
        </w:tabs>
        <w:spacing w:before="60"/>
        <w:ind w:left="601" w:hanging="601"/>
        <w:rPr>
          <w:rFonts w:ascii="Times New Roman" w:hAnsi="Times New Roman" w:cs="Times New Roman"/>
          <w:bCs/>
          <w:sz w:val="24"/>
          <w:szCs w:val="24"/>
          <w:lang w:bidi="en-US"/>
        </w:rPr>
      </w:pPr>
      <w:r w:rsidRPr="00A60138">
        <w:rPr>
          <w:rFonts w:ascii="Times New Roman" w:hAnsi="Times New Roman" w:cs="Times New Roman"/>
          <w:bCs/>
          <w:sz w:val="24"/>
          <w:szCs w:val="24"/>
          <w:lang w:bidi="en-US"/>
        </w:rPr>
        <w:t>Dixon, P.B., Bumsoo Lee , Todd Muehlenbeck , Maureen T. Rimmer,  Adam Z. Rose and George Verikios (2010) “Effects on the U.S. of an H1N1 epidemic: analysis with a quarterly CGE model”</w:t>
      </w:r>
      <w:r w:rsidRPr="00A60138">
        <w:rPr>
          <w:rFonts w:ascii="Times New Roman" w:hAnsi="Times New Roman" w:cs="Times New Roman"/>
          <w:bCs/>
          <w:i/>
          <w:sz w:val="24"/>
          <w:szCs w:val="24"/>
          <w:lang w:bidi="en-US"/>
        </w:rPr>
        <w:t xml:space="preserve"> Journal of Homeland Security and Emergency Management</w:t>
      </w:r>
      <w:r w:rsidRPr="00A60138">
        <w:rPr>
          <w:rFonts w:ascii="Times New Roman" w:hAnsi="Times New Roman" w:cs="Times New Roman"/>
          <w:bCs/>
          <w:sz w:val="24"/>
          <w:szCs w:val="24"/>
          <w:lang w:bidi="en-US"/>
        </w:rPr>
        <w:t>: Vol. 7 : Iss. 1, Article 75.</w:t>
      </w:r>
    </w:p>
    <w:p w:rsidR="000418E3" w:rsidRPr="00A60138" w:rsidRDefault="000418E3" w:rsidP="000418E3">
      <w:pPr>
        <w:pStyle w:val="HTMLPreformatted"/>
        <w:tabs>
          <w:tab w:val="left" w:pos="567"/>
        </w:tabs>
        <w:spacing w:before="60"/>
        <w:ind w:left="601" w:hanging="601"/>
        <w:rPr>
          <w:rFonts w:ascii="Times New Roman" w:hAnsi="Times New Roman" w:cs="Times New Roman"/>
          <w:sz w:val="24"/>
          <w:szCs w:val="24"/>
        </w:rPr>
      </w:pPr>
      <w:r w:rsidRPr="00A60138">
        <w:rPr>
          <w:rFonts w:ascii="Times New Roman" w:hAnsi="Times New Roman" w:cs="Times New Roman"/>
          <w:bCs/>
          <w:sz w:val="24"/>
          <w:szCs w:val="24"/>
          <w:lang w:bidi="en-US"/>
        </w:rPr>
        <w:t xml:space="preserve">Dixon, P.B., </w:t>
      </w:r>
      <w:r w:rsidRPr="00A60138">
        <w:rPr>
          <w:rFonts w:ascii="Times New Roman" w:hAnsi="Times New Roman" w:cs="Times New Roman"/>
          <w:sz w:val="24"/>
          <w:szCs w:val="24"/>
        </w:rPr>
        <w:t xml:space="preserve">M. Johnson and M.T. Rimmer (2011a), “Economy-wide effects of reducing illegal immigrants in U.S. employment” </w:t>
      </w:r>
      <w:r w:rsidRPr="00A60138">
        <w:rPr>
          <w:rFonts w:ascii="Times New Roman" w:hAnsi="Times New Roman" w:cs="Times New Roman"/>
          <w:i/>
          <w:sz w:val="24"/>
          <w:szCs w:val="24"/>
        </w:rPr>
        <w:t>Contemporary Economic Policy</w:t>
      </w:r>
      <w:r w:rsidRPr="00A60138">
        <w:rPr>
          <w:rFonts w:ascii="Times New Roman" w:hAnsi="Times New Roman" w:cs="Times New Roman"/>
          <w:sz w:val="24"/>
          <w:szCs w:val="24"/>
        </w:rPr>
        <w:t xml:space="preserve">, Vol. 29(1), January, pp. 14-30. </w:t>
      </w:r>
    </w:p>
    <w:p w:rsidR="000418E3" w:rsidRPr="00A60138" w:rsidRDefault="000418E3" w:rsidP="000418E3">
      <w:pPr>
        <w:pStyle w:val="HTMLPreformatted"/>
        <w:tabs>
          <w:tab w:val="left" w:pos="567"/>
        </w:tabs>
        <w:spacing w:before="60"/>
        <w:ind w:left="601" w:hanging="601"/>
        <w:rPr>
          <w:rFonts w:ascii="Times New Roman" w:hAnsi="Times New Roman" w:cs="Times New Roman"/>
          <w:bCs/>
          <w:sz w:val="24"/>
          <w:szCs w:val="24"/>
          <w:lang w:bidi="en-US"/>
        </w:rPr>
      </w:pPr>
      <w:r w:rsidRPr="00A60138">
        <w:rPr>
          <w:rFonts w:ascii="Times New Roman" w:hAnsi="Times New Roman" w:cs="Times New Roman"/>
          <w:bCs/>
          <w:sz w:val="24"/>
          <w:szCs w:val="24"/>
          <w:lang w:bidi="en-US"/>
        </w:rPr>
        <w:t xml:space="preserve">Dixon, P.B., J.A. Giesecke, M.T. Rimmer and A. Rose, (2011b)  "The economic costs to the U.S. of closing its borders: a computable general equilibrium analysis". </w:t>
      </w:r>
      <w:r w:rsidRPr="00A60138">
        <w:rPr>
          <w:rFonts w:ascii="Times New Roman" w:hAnsi="Times New Roman" w:cs="Times New Roman"/>
          <w:bCs/>
          <w:i/>
          <w:sz w:val="24"/>
          <w:szCs w:val="24"/>
          <w:lang w:bidi="en-US"/>
        </w:rPr>
        <w:t>Defence and Peace Economics</w:t>
      </w:r>
      <w:r w:rsidRPr="00A60138">
        <w:rPr>
          <w:rFonts w:ascii="Times New Roman" w:hAnsi="Times New Roman" w:cs="Times New Roman"/>
          <w:bCs/>
          <w:sz w:val="24"/>
          <w:szCs w:val="24"/>
          <w:lang w:bidi="en-US"/>
        </w:rPr>
        <w:t>. Vol. 22(1), February, pp. 85–97.</w:t>
      </w:r>
    </w:p>
    <w:p w:rsidR="000418E3" w:rsidRPr="00A60138" w:rsidRDefault="000418E3" w:rsidP="000418E3">
      <w:pPr>
        <w:pStyle w:val="HTMLPreformatted"/>
        <w:tabs>
          <w:tab w:val="left" w:pos="567"/>
        </w:tabs>
        <w:spacing w:before="60"/>
        <w:ind w:left="601" w:hanging="601"/>
        <w:rPr>
          <w:rStyle w:val="Strong"/>
          <w:rFonts w:ascii="Times New Roman" w:hAnsi="Times New Roman" w:cs="Times New Roman"/>
          <w:b w:val="0"/>
          <w:sz w:val="24"/>
          <w:szCs w:val="24"/>
        </w:rPr>
      </w:pPr>
      <w:r w:rsidRPr="00A60138">
        <w:rPr>
          <w:rStyle w:val="Strong"/>
          <w:rFonts w:ascii="Times New Roman" w:hAnsi="Times New Roman" w:cs="Times New Roman"/>
          <w:b w:val="0"/>
          <w:sz w:val="24"/>
          <w:szCs w:val="24"/>
        </w:rPr>
        <w:t xml:space="preserve">Dixon, P.B., R.B. Koopman and M.T. Rimmer (2013), “The MONASH style of CGE modeling: a framework for practical policy analysis”, chapter 2 in P.B. Dixon and D.W. Jorgenson (editors) </w:t>
      </w:r>
      <w:r w:rsidRPr="00A60138">
        <w:rPr>
          <w:rStyle w:val="Strong"/>
          <w:rFonts w:ascii="Times New Roman" w:hAnsi="Times New Roman" w:cs="Times New Roman"/>
          <w:b w:val="0"/>
          <w:i/>
          <w:iCs/>
          <w:sz w:val="24"/>
          <w:szCs w:val="24"/>
        </w:rPr>
        <w:t>Handbook of Computable General Equilibrium Modeling</w:t>
      </w:r>
      <w:r w:rsidRPr="00A60138">
        <w:rPr>
          <w:rStyle w:val="Strong"/>
          <w:rFonts w:ascii="Times New Roman" w:hAnsi="Times New Roman" w:cs="Times New Roman"/>
          <w:b w:val="0"/>
          <w:sz w:val="24"/>
          <w:szCs w:val="24"/>
        </w:rPr>
        <w:t>, Elsevier</w:t>
      </w:r>
      <w:r w:rsidRPr="00A60138">
        <w:rPr>
          <w:rStyle w:val="Strong"/>
          <w:rFonts w:ascii="Times New Roman" w:hAnsi="Times New Roman" w:cs="Times New Roman"/>
          <w:sz w:val="24"/>
          <w:szCs w:val="24"/>
        </w:rPr>
        <w:t xml:space="preserve">, </w:t>
      </w:r>
      <w:r w:rsidRPr="00A60138">
        <w:rPr>
          <w:rFonts w:ascii="Times New Roman" w:hAnsi="Times New Roman" w:cs="Times New Roman"/>
          <w:sz w:val="24"/>
          <w:szCs w:val="24"/>
          <w:lang w:val="en-AU"/>
        </w:rPr>
        <w:t>Amsterdam</w:t>
      </w:r>
      <w:r w:rsidRPr="00A60138">
        <w:rPr>
          <w:rStyle w:val="Strong"/>
          <w:rFonts w:ascii="Times New Roman" w:hAnsi="Times New Roman" w:cs="Times New Roman"/>
          <w:b w:val="0"/>
          <w:sz w:val="24"/>
          <w:szCs w:val="24"/>
        </w:rPr>
        <w:t>.</w:t>
      </w:r>
    </w:p>
    <w:p w:rsidR="000418E3" w:rsidRPr="00A60138" w:rsidRDefault="000418E3" w:rsidP="000418E3">
      <w:pPr>
        <w:pStyle w:val="HTMLPreformatted"/>
        <w:tabs>
          <w:tab w:val="left" w:pos="567"/>
        </w:tabs>
        <w:spacing w:before="60"/>
        <w:ind w:left="601" w:hanging="601"/>
        <w:rPr>
          <w:rFonts w:ascii="Times New Roman" w:hAnsi="Times New Roman" w:cs="Times New Roman"/>
          <w:sz w:val="24"/>
          <w:szCs w:val="24"/>
        </w:rPr>
      </w:pPr>
      <w:r w:rsidRPr="00A60138">
        <w:rPr>
          <w:rFonts w:ascii="Times New Roman" w:hAnsi="Times New Roman" w:cs="Times New Roman"/>
          <w:bCs/>
          <w:sz w:val="24"/>
          <w:szCs w:val="24"/>
          <w:lang w:bidi="en-US"/>
        </w:rPr>
        <w:t>Dixon, P.B.,</w:t>
      </w:r>
      <w:r w:rsidRPr="00A60138">
        <w:rPr>
          <w:rFonts w:ascii="Times New Roman" w:hAnsi="Times New Roman" w:cs="Times New Roman"/>
          <w:sz w:val="24"/>
          <w:szCs w:val="24"/>
        </w:rPr>
        <w:t xml:space="preserve"> M.T. Rimmer and B.W. Roberts (2014)  “Restricting employment of low-paid immigrants: a general equilibrium assessment of the social welfare implications for legal U.S. wage-earners” C</w:t>
      </w:r>
      <w:r w:rsidRPr="00A60138">
        <w:rPr>
          <w:rFonts w:ascii="Times New Roman" w:hAnsi="Times New Roman" w:cs="Times New Roman"/>
          <w:i/>
          <w:sz w:val="24"/>
          <w:szCs w:val="24"/>
        </w:rPr>
        <w:t>ontemporary Economic Policy</w:t>
      </w:r>
      <w:r w:rsidRPr="00A60138">
        <w:rPr>
          <w:rFonts w:ascii="Times New Roman" w:hAnsi="Times New Roman" w:cs="Times New Roman"/>
          <w:sz w:val="24"/>
          <w:szCs w:val="24"/>
        </w:rPr>
        <w:t>, vol. 32(3), pp. 639-52.</w:t>
      </w:r>
    </w:p>
    <w:p w:rsidR="000418E3" w:rsidRPr="00A60138" w:rsidRDefault="000418E3" w:rsidP="000418E3">
      <w:pPr>
        <w:pStyle w:val="indent"/>
        <w:spacing w:before="60"/>
        <w:ind w:left="600" w:hanging="600"/>
        <w:jc w:val="left"/>
        <w:rPr>
          <w:color w:val="auto"/>
          <w:sz w:val="24"/>
          <w:lang w:val="en-AU"/>
        </w:rPr>
      </w:pPr>
      <w:r w:rsidRPr="00A60138">
        <w:rPr>
          <w:color w:val="auto"/>
          <w:sz w:val="24"/>
          <w:lang w:val="en-AU"/>
        </w:rPr>
        <w:t xml:space="preserve">Fox, A., W. Powers and A. Winston (2008) </w:t>
      </w:r>
      <w:r w:rsidRPr="00A60138">
        <w:rPr>
          <w:i/>
          <w:color w:val="auto"/>
          <w:sz w:val="24"/>
          <w:lang w:val="en-AU"/>
        </w:rPr>
        <w:t>,</w:t>
      </w:r>
      <w:r w:rsidRPr="00A60138">
        <w:rPr>
          <w:color w:val="auto"/>
          <w:sz w:val="24"/>
          <w:lang w:val="en-AU"/>
        </w:rPr>
        <w:t xml:space="preserve"> “Textile and Apparel Barriers and Rules of Origin: What’s Left To Gain after the Agreement on Textiles and Clothing?”, </w:t>
      </w:r>
      <w:r w:rsidRPr="00A60138">
        <w:rPr>
          <w:i/>
          <w:color w:val="auto"/>
          <w:sz w:val="24"/>
          <w:lang w:val="en-AU"/>
        </w:rPr>
        <w:t>Journal of Economic Integration</w:t>
      </w:r>
      <w:r w:rsidR="00FD2557" w:rsidRPr="00A60138">
        <w:rPr>
          <w:color w:val="auto"/>
          <w:sz w:val="24"/>
          <w:lang w:val="en-AU"/>
        </w:rPr>
        <w:t>, Vol. 23(3), pp. 656-84.</w:t>
      </w:r>
    </w:p>
    <w:p w:rsidR="00FD2557" w:rsidRPr="00A60138" w:rsidRDefault="00FD2557" w:rsidP="000418E3">
      <w:pPr>
        <w:pStyle w:val="indent"/>
        <w:spacing w:before="60"/>
        <w:ind w:left="600" w:hanging="600"/>
        <w:jc w:val="left"/>
        <w:rPr>
          <w:color w:val="auto"/>
          <w:sz w:val="24"/>
          <w:lang w:val="en-AU"/>
        </w:rPr>
      </w:pPr>
      <w:r w:rsidRPr="00A60138">
        <w:rPr>
          <w:color w:val="auto"/>
          <w:sz w:val="24"/>
          <w:lang w:val="en-AU"/>
        </w:rPr>
        <w:t xml:space="preserve">Garnaut, R. (2016), “Economic analysis versus business rent seeking: the eclipse of analysis in Australia”, chapter 3 in Hal Hill and Jayant Menon (editors), </w:t>
      </w:r>
      <w:r w:rsidRPr="00A60138">
        <w:rPr>
          <w:i/>
          <w:color w:val="auto"/>
          <w:sz w:val="24"/>
          <w:lang w:val="en-AU"/>
        </w:rPr>
        <w:t>Managing globalization in the Asian century</w:t>
      </w:r>
      <w:r w:rsidRPr="00A60138">
        <w:rPr>
          <w:color w:val="auto"/>
          <w:sz w:val="24"/>
          <w:lang w:val="en-AU"/>
        </w:rPr>
        <w:t xml:space="preserve">, ISEAS Yusof Ishak Institute, Singapore.  </w:t>
      </w:r>
    </w:p>
    <w:p w:rsidR="000418E3" w:rsidRPr="00A60138" w:rsidRDefault="000418E3" w:rsidP="000418E3">
      <w:pPr>
        <w:ind w:left="567" w:hanging="567"/>
        <w:rPr>
          <w:rFonts w:ascii="Times New Roman" w:hAnsi="Times New Roman" w:cs="Times New Roman"/>
          <w:iCs/>
          <w:sz w:val="24"/>
          <w:szCs w:val="24"/>
        </w:rPr>
      </w:pPr>
      <w:r w:rsidRPr="00A60138">
        <w:rPr>
          <w:rFonts w:ascii="Times New Roman" w:hAnsi="Times New Roman" w:cs="Times New Roman"/>
          <w:sz w:val="24"/>
          <w:szCs w:val="24"/>
        </w:rPr>
        <w:t xml:space="preserve">Gehlhar, M., A. Somwaru, </w:t>
      </w:r>
      <w:r w:rsidRPr="00A60138">
        <w:rPr>
          <w:rFonts w:ascii="Times New Roman" w:hAnsi="Times New Roman" w:cs="Times New Roman"/>
          <w:iCs/>
          <w:sz w:val="24"/>
          <w:szCs w:val="24"/>
        </w:rPr>
        <w:t xml:space="preserve">P.B. Dixon, </w:t>
      </w:r>
      <w:r w:rsidRPr="00A60138">
        <w:rPr>
          <w:rFonts w:ascii="Times New Roman" w:hAnsi="Times New Roman" w:cs="Times New Roman"/>
          <w:sz w:val="24"/>
          <w:szCs w:val="24"/>
        </w:rPr>
        <w:t xml:space="preserve">M.T. Rimmer and A.R. Winston (2010), “Economywide Implications from US Bioenergy Expansion”, </w:t>
      </w:r>
      <w:r w:rsidRPr="00A60138">
        <w:rPr>
          <w:rFonts w:ascii="Times New Roman" w:hAnsi="Times New Roman" w:cs="Times New Roman"/>
          <w:i/>
          <w:iCs/>
          <w:sz w:val="24"/>
          <w:szCs w:val="24"/>
        </w:rPr>
        <w:t>American Economic Review: Papers &amp; Proceedings,</w:t>
      </w:r>
      <w:r w:rsidRPr="00A60138">
        <w:rPr>
          <w:rFonts w:ascii="Times New Roman" w:hAnsi="Times New Roman" w:cs="Times New Roman"/>
          <w:iCs/>
          <w:sz w:val="24"/>
          <w:szCs w:val="24"/>
        </w:rPr>
        <w:t xml:space="preserve"> Vol. 100(3), May,  pp. 172-77. </w:t>
      </w:r>
    </w:p>
    <w:p w:rsidR="000418E3" w:rsidRPr="00A60138" w:rsidRDefault="000418E3" w:rsidP="000418E3">
      <w:pPr>
        <w:pStyle w:val="HTMLPreformatted"/>
        <w:tabs>
          <w:tab w:val="left" w:pos="567"/>
        </w:tabs>
        <w:spacing w:before="60"/>
        <w:ind w:left="601" w:hanging="601"/>
        <w:rPr>
          <w:rFonts w:ascii="Times New Roman" w:hAnsi="Times New Roman" w:cs="Times New Roman"/>
          <w:bCs/>
          <w:iCs/>
          <w:sz w:val="24"/>
          <w:szCs w:val="24"/>
          <w:lang w:bidi="en-US"/>
        </w:rPr>
      </w:pPr>
      <w:r w:rsidRPr="00A60138">
        <w:rPr>
          <w:rFonts w:ascii="Times New Roman" w:hAnsi="Times New Roman" w:cs="Times New Roman"/>
          <w:bCs/>
          <w:sz w:val="24"/>
          <w:szCs w:val="24"/>
          <w:lang w:bidi="en-US"/>
        </w:rPr>
        <w:t xml:space="preserve">Giesecke, J.A. (2011)  “Development of a large-scale single U.S. region CGE model using IMPLAN data: A Los Angeles County example with a productivity shock application” </w:t>
      </w:r>
      <w:r w:rsidRPr="00A60138">
        <w:rPr>
          <w:rFonts w:ascii="Times New Roman" w:hAnsi="Times New Roman" w:cs="Times New Roman"/>
          <w:bCs/>
          <w:i/>
          <w:sz w:val="24"/>
          <w:szCs w:val="24"/>
          <w:lang w:bidi="en-US"/>
        </w:rPr>
        <w:t xml:space="preserve">Spatial Economic Analysis, </w:t>
      </w:r>
      <w:r w:rsidRPr="00A60138">
        <w:rPr>
          <w:rFonts w:ascii="Times New Roman" w:hAnsi="Times New Roman" w:cs="Times New Roman"/>
          <w:bCs/>
          <w:iCs/>
          <w:sz w:val="24"/>
          <w:szCs w:val="24"/>
          <w:lang w:bidi="en-US"/>
        </w:rPr>
        <w:t>vol. 6(3).</w:t>
      </w:r>
    </w:p>
    <w:p w:rsidR="000418E3" w:rsidRPr="00A60138" w:rsidRDefault="004F0504" w:rsidP="000418E3">
      <w:pPr>
        <w:pStyle w:val="HTMLPreformatted"/>
        <w:tabs>
          <w:tab w:val="left" w:pos="567"/>
        </w:tabs>
        <w:spacing w:before="60"/>
        <w:ind w:left="601" w:hanging="601"/>
        <w:rPr>
          <w:rFonts w:ascii="Times New Roman" w:hAnsi="Times New Roman" w:cs="Times New Roman"/>
          <w:bCs/>
          <w:sz w:val="24"/>
          <w:szCs w:val="24"/>
        </w:rPr>
      </w:pPr>
      <w:r w:rsidRPr="0063368C">
        <w:rPr>
          <w:rFonts w:ascii="Times New Roman" w:hAnsi="Times New Roman" w:cs="Times New Roman"/>
          <w:bCs/>
          <w:sz w:val="24"/>
          <w:szCs w:val="24"/>
          <w:lang w:bidi="en-US"/>
        </w:rPr>
        <w:t>Giesecke, J.A., W. Burns, A. Barret, E. Bayrak, A. Rose, P. Slovic and M. Suher (2013),</w:t>
      </w:r>
      <w:r>
        <w:rPr>
          <w:rFonts w:ascii="Times New Roman" w:hAnsi="Times New Roman" w:cs="Times New Roman"/>
          <w:bCs/>
          <w:sz w:val="24"/>
          <w:szCs w:val="24"/>
          <w:lang w:bidi="en-US"/>
        </w:rPr>
        <w:t xml:space="preserve"> “</w:t>
      </w:r>
      <w:r w:rsidR="000418E3" w:rsidRPr="00A60138">
        <w:rPr>
          <w:rFonts w:ascii="Times New Roman" w:hAnsi="Times New Roman" w:cs="Times New Roman"/>
          <w:bCs/>
          <w:sz w:val="24"/>
          <w:szCs w:val="24"/>
          <w:lang w:bidi="en-US"/>
        </w:rPr>
        <w:t xml:space="preserve">Assessment of the regional economic impacts of catastrophic events: CGE analysis of resource loss and behavioral effects of an RDD attack scenario”. </w:t>
      </w:r>
      <w:r w:rsidR="000418E3" w:rsidRPr="00A60138">
        <w:rPr>
          <w:rFonts w:ascii="Times New Roman" w:hAnsi="Times New Roman" w:cs="Times New Roman"/>
          <w:bCs/>
          <w:i/>
          <w:sz w:val="24"/>
          <w:szCs w:val="24"/>
          <w:lang w:bidi="en-US"/>
        </w:rPr>
        <w:t>Risk Analysis</w:t>
      </w:r>
      <w:r w:rsidR="000418E3" w:rsidRPr="00A60138">
        <w:rPr>
          <w:rFonts w:ascii="Times New Roman" w:hAnsi="Times New Roman" w:cs="Times New Roman"/>
          <w:bCs/>
          <w:sz w:val="24"/>
          <w:szCs w:val="24"/>
          <w:lang w:bidi="en-US"/>
        </w:rPr>
        <w:t xml:space="preserve">, </w:t>
      </w:r>
      <w:r w:rsidR="000418E3" w:rsidRPr="00A60138">
        <w:rPr>
          <w:rFonts w:ascii="Times New Roman" w:hAnsi="Times New Roman" w:cs="Times New Roman"/>
          <w:bCs/>
          <w:sz w:val="24"/>
          <w:szCs w:val="24"/>
        </w:rPr>
        <w:t>32(4), pp. 583-600.</w:t>
      </w:r>
    </w:p>
    <w:p w:rsidR="00A60138" w:rsidRPr="00A60138" w:rsidRDefault="00A60138" w:rsidP="00A60138">
      <w:pPr>
        <w:pStyle w:val="ListParagraph"/>
        <w:ind w:left="630" w:hanging="630"/>
        <w:contextualSpacing w:val="0"/>
        <w:rPr>
          <w:rFonts w:ascii="Times New Roman" w:hAnsi="Times New Roman" w:cs="Times New Roman"/>
          <w:sz w:val="24"/>
          <w:szCs w:val="24"/>
        </w:rPr>
      </w:pPr>
      <w:r w:rsidRPr="00A60138">
        <w:rPr>
          <w:rFonts w:ascii="Times New Roman" w:hAnsi="Times New Roman" w:cs="Times New Roman"/>
          <w:sz w:val="24"/>
          <w:szCs w:val="24"/>
        </w:rPr>
        <w:lastRenderedPageBreak/>
        <w:t xml:space="preserve">Harrison M. (2010),  </w:t>
      </w:r>
      <w:r w:rsidRPr="00A60138">
        <w:rPr>
          <w:rFonts w:ascii="Times New Roman" w:hAnsi="Times New Roman" w:cs="Times New Roman"/>
          <w:i/>
          <w:sz w:val="24"/>
          <w:szCs w:val="24"/>
        </w:rPr>
        <w:t>Valuing the Future: the social discount rate in cost-benefit analysis</w:t>
      </w:r>
      <w:r w:rsidRPr="00A60138">
        <w:rPr>
          <w:rFonts w:ascii="Times New Roman" w:hAnsi="Times New Roman" w:cs="Times New Roman"/>
          <w:sz w:val="24"/>
          <w:szCs w:val="24"/>
        </w:rPr>
        <w:t xml:space="preserve">, Productivty Commission, Australian Government, Canberra, pp. IX + 175, available at </w:t>
      </w:r>
      <w:hyperlink r:id="rId90" w:history="1">
        <w:r w:rsidRPr="00A60138">
          <w:rPr>
            <w:rStyle w:val="Hyperlink"/>
            <w:rFonts w:ascii="Times New Roman" w:hAnsi="Times New Roman" w:cs="Times New Roman"/>
            <w:sz w:val="24"/>
            <w:szCs w:val="24"/>
          </w:rPr>
          <w:t>https://papers.ssrn.com/sol3/papers.cfm?abstract_id=1599963</w:t>
        </w:r>
      </w:hyperlink>
      <w:r w:rsidRPr="00A60138">
        <w:rPr>
          <w:rFonts w:ascii="Times New Roman" w:hAnsi="Times New Roman" w:cs="Times New Roman"/>
          <w:sz w:val="24"/>
          <w:szCs w:val="24"/>
        </w:rPr>
        <w:t xml:space="preserve"> .</w:t>
      </w:r>
    </w:p>
    <w:p w:rsidR="000418E3" w:rsidRPr="00A60138" w:rsidRDefault="000418E3" w:rsidP="000418E3">
      <w:pPr>
        <w:pStyle w:val="indent"/>
        <w:tabs>
          <w:tab w:val="clear" w:pos="8380"/>
          <w:tab w:val="clear" w:pos="8440"/>
        </w:tabs>
        <w:spacing w:before="60"/>
        <w:ind w:left="600" w:hanging="600"/>
        <w:jc w:val="left"/>
        <w:rPr>
          <w:sz w:val="24"/>
        </w:rPr>
      </w:pPr>
      <w:r w:rsidRPr="00A60138">
        <w:rPr>
          <w:sz w:val="24"/>
        </w:rPr>
        <w:t xml:space="preserve">Horridge, J.M., J.R. Madden and G. Wittwer (2005), “Impact of the 2002-03 Drought on Australia”, </w:t>
      </w:r>
      <w:r w:rsidRPr="00A60138">
        <w:rPr>
          <w:i/>
          <w:iCs/>
          <w:sz w:val="24"/>
        </w:rPr>
        <w:t>Journal of Policy Modeling</w:t>
      </w:r>
      <w:r w:rsidRPr="00A60138">
        <w:rPr>
          <w:sz w:val="24"/>
        </w:rPr>
        <w:t>, 27(3), pp. 285-308.</w:t>
      </w:r>
    </w:p>
    <w:p w:rsidR="00A60138" w:rsidRPr="00A60138" w:rsidRDefault="00A60138" w:rsidP="00A60138">
      <w:pPr>
        <w:pStyle w:val="ListParagraph"/>
        <w:ind w:left="630" w:hanging="630"/>
        <w:contextualSpacing w:val="0"/>
        <w:rPr>
          <w:rFonts w:ascii="Times New Roman" w:hAnsi="Times New Roman" w:cs="Times New Roman"/>
          <w:color w:val="FF0000"/>
          <w:sz w:val="24"/>
          <w:szCs w:val="24"/>
        </w:rPr>
      </w:pPr>
      <w:r w:rsidRPr="00A60138">
        <w:rPr>
          <w:rFonts w:ascii="Times New Roman" w:hAnsi="Times New Roman" w:cs="Times New Roman"/>
          <w:sz w:val="24"/>
          <w:szCs w:val="24"/>
        </w:rPr>
        <w:t xml:space="preserve">Partnoy, F. (2012), “The cost of a human life, statistically speaking”, available at </w:t>
      </w:r>
      <w:hyperlink r:id="rId91" w:history="1">
        <w:r w:rsidRPr="00A60138">
          <w:rPr>
            <w:rStyle w:val="Hyperlink"/>
            <w:rFonts w:ascii="Times New Roman" w:hAnsi="Times New Roman" w:cs="Times New Roman"/>
            <w:color w:val="FF0000"/>
            <w:sz w:val="24"/>
            <w:szCs w:val="24"/>
          </w:rPr>
          <w:t>http://www.theglobalist.com/the-cost-of-a-human-life-statistically-speaking/</w:t>
        </w:r>
      </w:hyperlink>
      <w:r w:rsidRPr="00A60138">
        <w:rPr>
          <w:rFonts w:ascii="Times New Roman" w:hAnsi="Times New Roman" w:cs="Times New Roman"/>
          <w:color w:val="FF0000"/>
          <w:sz w:val="24"/>
          <w:szCs w:val="24"/>
        </w:rPr>
        <w:t xml:space="preserve"> . </w:t>
      </w:r>
    </w:p>
    <w:p w:rsidR="00F125DB" w:rsidRPr="00A60138" w:rsidRDefault="00F125DB" w:rsidP="000418E3">
      <w:pPr>
        <w:pStyle w:val="bookindent"/>
        <w:spacing w:before="60" w:after="0" w:line="240" w:lineRule="auto"/>
        <w:ind w:left="600" w:hanging="600"/>
        <w:jc w:val="left"/>
        <w:rPr>
          <w:sz w:val="24"/>
          <w:szCs w:val="24"/>
        </w:rPr>
      </w:pPr>
      <w:r w:rsidRPr="00A60138">
        <w:rPr>
          <w:sz w:val="24"/>
          <w:szCs w:val="24"/>
        </w:rPr>
        <w:t xml:space="preserve">Rose, A., F. Prager, </w:t>
      </w:r>
      <w:r w:rsidR="006F5395" w:rsidRPr="00A60138">
        <w:rPr>
          <w:sz w:val="24"/>
          <w:szCs w:val="24"/>
        </w:rPr>
        <w:t xml:space="preserve">Z. Chen and S. Chatterjee (2017), </w:t>
      </w:r>
      <w:r w:rsidR="006F5395" w:rsidRPr="00A60138">
        <w:rPr>
          <w:i/>
          <w:sz w:val="24"/>
          <w:szCs w:val="24"/>
        </w:rPr>
        <w:t>Economic consequence analysis tool (E-CAT)</w:t>
      </w:r>
      <w:r w:rsidR="006F5395" w:rsidRPr="00A60138">
        <w:rPr>
          <w:sz w:val="24"/>
          <w:szCs w:val="24"/>
        </w:rPr>
        <w:t xml:space="preserve">, Springer, Tokyo.  </w:t>
      </w:r>
    </w:p>
    <w:p w:rsidR="000418E3" w:rsidRPr="00A60138" w:rsidRDefault="000418E3" w:rsidP="000418E3">
      <w:pPr>
        <w:pStyle w:val="indent"/>
        <w:tabs>
          <w:tab w:val="left" w:pos="600"/>
        </w:tabs>
        <w:spacing w:before="60"/>
        <w:ind w:left="561" w:hanging="561"/>
        <w:rPr>
          <w:sz w:val="24"/>
        </w:rPr>
      </w:pPr>
      <w:r w:rsidRPr="00A60138">
        <w:rPr>
          <w:sz w:val="24"/>
        </w:rPr>
        <w:t xml:space="preserve">United States International Trade Commission (2004, 2007, 2009, 2011 &amp; 2013), </w:t>
      </w:r>
      <w:r w:rsidRPr="00A60138">
        <w:rPr>
          <w:i/>
          <w:sz w:val="24"/>
        </w:rPr>
        <w:t>The Economic Effects of Significant U.S. Import Restraints: Fourth, Fifth, Sixth, Seventh &amp; Eighth Update</w:t>
      </w:r>
      <w:r w:rsidRPr="00A60138">
        <w:rPr>
          <w:sz w:val="24"/>
        </w:rPr>
        <w:t>, Investigation no. 332-325, Publications 3701, 3906, 4094, 4253 &amp; 4440.</w:t>
      </w:r>
    </w:p>
    <w:p w:rsidR="000418E3" w:rsidRPr="00A60138" w:rsidRDefault="000418E3" w:rsidP="000418E3">
      <w:pPr>
        <w:pStyle w:val="indent"/>
        <w:tabs>
          <w:tab w:val="left" w:pos="600"/>
        </w:tabs>
        <w:spacing w:before="60"/>
        <w:ind w:left="561" w:hanging="561"/>
        <w:rPr>
          <w:sz w:val="24"/>
        </w:rPr>
      </w:pPr>
      <w:r w:rsidRPr="00A60138">
        <w:rPr>
          <w:sz w:val="24"/>
        </w:rPr>
        <w:t xml:space="preserve">Wittwer G. editor, (2012), </w:t>
      </w:r>
      <w:r w:rsidRPr="00A60138">
        <w:rPr>
          <w:i/>
          <w:iCs/>
          <w:sz w:val="24"/>
        </w:rPr>
        <w:t>Economic Modeling of Water:  the Australian CGE experience</w:t>
      </w:r>
      <w:r w:rsidRPr="00A60138">
        <w:rPr>
          <w:sz w:val="24"/>
        </w:rPr>
        <w:t>, Springer, Dordrecht, Heidelberg, Germany.</w:t>
      </w:r>
    </w:p>
    <w:p w:rsidR="000418E3" w:rsidRPr="00A60138" w:rsidRDefault="000418E3" w:rsidP="000418E3">
      <w:pPr>
        <w:pStyle w:val="FootnoteText"/>
        <w:spacing w:before="120"/>
        <w:ind w:left="567" w:hanging="567"/>
        <w:rPr>
          <w:rStyle w:val="Strong"/>
          <w:rFonts w:cs="Times New Roman"/>
          <w:b w:val="0"/>
          <w:sz w:val="24"/>
          <w:szCs w:val="24"/>
        </w:rPr>
      </w:pPr>
      <w:r w:rsidRPr="00A60138">
        <w:rPr>
          <w:rStyle w:val="Strong"/>
          <w:rFonts w:cs="Times New Roman"/>
          <w:b w:val="0"/>
          <w:sz w:val="24"/>
          <w:szCs w:val="24"/>
        </w:rPr>
        <w:t xml:space="preserve">Zahniser, S., T. Hertz, P.B. Dixon and M.T. Rimmer (2012), “Immigration policy and its possible effects on U.S. agriculture and the market for hired farm labor: a simulation analysis”, </w:t>
      </w:r>
      <w:r w:rsidRPr="00A60138">
        <w:rPr>
          <w:rStyle w:val="Strong"/>
          <w:rFonts w:cs="Times New Roman"/>
          <w:b w:val="0"/>
          <w:i/>
          <w:iCs/>
          <w:sz w:val="24"/>
          <w:szCs w:val="24"/>
        </w:rPr>
        <w:t>American Journal of Agricultural Economics</w:t>
      </w:r>
      <w:r w:rsidRPr="00A60138">
        <w:rPr>
          <w:rStyle w:val="Strong"/>
          <w:rFonts w:cs="Times New Roman"/>
          <w:b w:val="0"/>
          <w:sz w:val="24"/>
          <w:szCs w:val="24"/>
        </w:rPr>
        <w:t>, vol. 94(2), January, pp. 477-82.</w:t>
      </w:r>
    </w:p>
    <w:sectPr w:rsidR="000418E3" w:rsidRPr="00A60138" w:rsidSect="006C056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410B" w:rsidRDefault="009F410B" w:rsidP="000418E3">
      <w:pPr>
        <w:spacing w:before="0"/>
      </w:pPr>
      <w:r>
        <w:separator/>
      </w:r>
    </w:p>
  </w:endnote>
  <w:endnote w:type="continuationSeparator" w:id="0">
    <w:p w:rsidR="009F410B" w:rsidRDefault="009F410B" w:rsidP="000418E3">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0751265"/>
      <w:docPartObj>
        <w:docPartGallery w:val="Page Numbers (Bottom of Page)"/>
        <w:docPartUnique/>
      </w:docPartObj>
    </w:sdtPr>
    <w:sdtEndPr>
      <w:rPr>
        <w:noProof/>
      </w:rPr>
    </w:sdtEndPr>
    <w:sdtContent>
      <w:p w:rsidR="0063368C" w:rsidRDefault="0063368C">
        <w:pPr>
          <w:pStyle w:val="Footer"/>
          <w:jc w:val="center"/>
        </w:pPr>
        <w:r>
          <w:fldChar w:fldCharType="begin"/>
        </w:r>
        <w:r>
          <w:instrText xml:space="preserve"> PAGE   \* MERGEFORMAT </w:instrText>
        </w:r>
        <w:r>
          <w:fldChar w:fldCharType="separate"/>
        </w:r>
        <w:r w:rsidR="007144A4">
          <w:rPr>
            <w:noProof/>
          </w:rPr>
          <w:t>5</w:t>
        </w:r>
        <w:r>
          <w:rPr>
            <w:noProof/>
          </w:rPr>
          <w:fldChar w:fldCharType="end"/>
        </w:r>
      </w:p>
    </w:sdtContent>
  </w:sdt>
  <w:p w:rsidR="0063368C" w:rsidRDefault="006336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410B" w:rsidRDefault="009F410B" w:rsidP="000418E3">
      <w:pPr>
        <w:spacing w:before="0"/>
      </w:pPr>
      <w:r>
        <w:separator/>
      </w:r>
    </w:p>
  </w:footnote>
  <w:footnote w:type="continuationSeparator" w:id="0">
    <w:p w:rsidR="009F410B" w:rsidRDefault="009F410B" w:rsidP="000418E3">
      <w:pPr>
        <w:spacing w:before="0"/>
      </w:pPr>
      <w:r>
        <w:continuationSeparator/>
      </w:r>
    </w:p>
  </w:footnote>
  <w:footnote w:id="1">
    <w:p w:rsidR="0063368C" w:rsidRDefault="0063368C">
      <w:pPr>
        <w:pStyle w:val="FootnoteText"/>
      </w:pPr>
      <w:r>
        <w:rPr>
          <w:rStyle w:val="FootnoteReference"/>
        </w:rPr>
        <w:footnoteRef/>
      </w:r>
      <w:r>
        <w:t xml:space="preserve">  This contains data for 400 industries in 436 congressional districts.  </w:t>
      </w:r>
    </w:p>
  </w:footnote>
  <w:footnote w:id="2">
    <w:p w:rsidR="0063368C" w:rsidRDefault="0063368C">
      <w:pPr>
        <w:pStyle w:val="FootnoteText"/>
      </w:pPr>
      <w:r>
        <w:rPr>
          <w:rStyle w:val="FootnoteReference"/>
        </w:rPr>
        <w:footnoteRef/>
      </w:r>
      <w:r>
        <w:t xml:space="preserve">  This refers to capital being taken out of use temporarily during, for example, a decontamination period.  </w:t>
      </w:r>
    </w:p>
  </w:footnote>
  <w:footnote w:id="3">
    <w:p w:rsidR="0063368C" w:rsidRDefault="0063368C" w:rsidP="005174DD">
      <w:pPr>
        <w:pStyle w:val="FootnoteText"/>
      </w:pPr>
      <w:r>
        <w:rPr>
          <w:rStyle w:val="FootnoteReference"/>
        </w:rPr>
        <w:footnoteRef/>
      </w:r>
      <w:r>
        <w:t xml:space="preserve">  </w:t>
      </w:r>
      <w:r w:rsidRPr="005E4377">
        <w:rPr>
          <w:sz w:val="18"/>
          <w:szCs w:val="18"/>
        </w:rPr>
        <w:t xml:space="preserve">An elasticity is the percentage effect on one variable of a 1 per cent change in another variable.  </w:t>
      </w:r>
    </w:p>
  </w:footnote>
  <w:footnote w:id="4">
    <w:p w:rsidR="0063368C" w:rsidRDefault="0063368C" w:rsidP="000418E3">
      <w:pPr>
        <w:pStyle w:val="FootnoteText"/>
      </w:pPr>
      <w:r>
        <w:rPr>
          <w:rStyle w:val="FootnoteReference"/>
        </w:rPr>
        <w:footnoteRef/>
      </w:r>
      <w:r>
        <w:t xml:space="preserve">  The theory underlying USAGE is based on Dixon and Rimmer (2002). </w:t>
      </w:r>
    </w:p>
  </w:footnote>
  <w:footnote w:id="5">
    <w:p w:rsidR="0063368C" w:rsidRDefault="0063368C" w:rsidP="000418E3">
      <w:pPr>
        <w:pStyle w:val="FootnoteText"/>
      </w:pPr>
      <w:r>
        <w:rPr>
          <w:rStyle w:val="FootnoteReference"/>
        </w:rPr>
        <w:footnoteRef/>
      </w:r>
      <w:r>
        <w:t xml:space="preserve">  Applications of USAGE by the U.S. International Trade Commission can be found in USITC(2004, 2007, 2009, 2011 and 2013).</w:t>
      </w:r>
    </w:p>
  </w:footnote>
  <w:footnote w:id="6">
    <w:p w:rsidR="0063368C" w:rsidRPr="00F93E89" w:rsidRDefault="0063368C" w:rsidP="000418E3">
      <w:pPr>
        <w:pStyle w:val="FootnoteText"/>
      </w:pPr>
      <w:r>
        <w:rPr>
          <w:rStyle w:val="FootnoteReference"/>
        </w:rPr>
        <w:footnoteRef/>
      </w:r>
      <w:r>
        <w:t xml:space="preserve">  Published USAGE papers include: Dixon and Rimmer (2004, 2010, 2011 and 2013); Dixon </w:t>
      </w:r>
      <w:r>
        <w:rPr>
          <w:i/>
        </w:rPr>
        <w:t>et al.</w:t>
      </w:r>
      <w:r>
        <w:t xml:space="preserve"> (2007a&amp;b, 2010, 2011a&amp;b, 2013 and 2014); Fox </w:t>
      </w:r>
      <w:r>
        <w:rPr>
          <w:i/>
        </w:rPr>
        <w:t xml:space="preserve">et al. </w:t>
      </w:r>
      <w:r>
        <w:t xml:space="preserve">(2008); Gehlhar </w:t>
      </w:r>
      <w:r>
        <w:rPr>
          <w:i/>
        </w:rPr>
        <w:t>et al.</w:t>
      </w:r>
      <w:r>
        <w:t xml:space="preserve"> (2010); Giesecke (2011); Giesecke </w:t>
      </w:r>
      <w:r>
        <w:rPr>
          <w:i/>
        </w:rPr>
        <w:t xml:space="preserve">et al. </w:t>
      </w:r>
      <w:r>
        <w:t xml:space="preserve">(2012); and Zahniser </w:t>
      </w:r>
      <w:r>
        <w:rPr>
          <w:i/>
        </w:rPr>
        <w:t xml:space="preserve">et al. </w:t>
      </w:r>
      <w:r>
        <w:t xml:space="preserve">(2012). </w:t>
      </w:r>
    </w:p>
  </w:footnote>
  <w:footnote w:id="7">
    <w:p w:rsidR="0063368C" w:rsidRPr="00DF7BEB" w:rsidRDefault="0063368C" w:rsidP="000418E3">
      <w:pPr>
        <w:pStyle w:val="FootnoteText"/>
      </w:pPr>
      <w:r>
        <w:rPr>
          <w:rStyle w:val="FootnoteReference"/>
        </w:rPr>
        <w:footnoteRef/>
      </w:r>
      <w:r>
        <w:t xml:space="preserve"> See Dixon </w:t>
      </w:r>
      <w:r>
        <w:rPr>
          <w:i/>
        </w:rPr>
        <w:t xml:space="preserve">et al. </w:t>
      </w:r>
      <w:r>
        <w:t>(2007a).</w:t>
      </w:r>
    </w:p>
  </w:footnote>
  <w:footnote w:id="8">
    <w:p w:rsidR="0063368C" w:rsidRDefault="0063368C" w:rsidP="000418E3">
      <w:pPr>
        <w:pStyle w:val="FootnoteText"/>
      </w:pPr>
      <w:r>
        <w:rPr>
          <w:rStyle w:val="FootnoteReference"/>
        </w:rPr>
        <w:footnoteRef/>
      </w:r>
      <w:r>
        <w:t xml:space="preserve">  See U.S. International Trade Commission (2004).</w:t>
      </w:r>
    </w:p>
  </w:footnote>
  <w:footnote w:id="9">
    <w:p w:rsidR="0063368C" w:rsidRDefault="0063368C" w:rsidP="000418E3">
      <w:pPr>
        <w:pStyle w:val="FootnoteText"/>
      </w:pPr>
      <w:r>
        <w:rPr>
          <w:rStyle w:val="FootnoteReference"/>
        </w:rPr>
        <w:footnoteRef/>
      </w:r>
      <w:r>
        <w:t xml:space="preserve">  See </w:t>
      </w:r>
      <w:r w:rsidRPr="00CD084A">
        <w:rPr>
          <w:rFonts w:cs="Times New Roman"/>
          <w:sz w:val="18"/>
          <w:szCs w:val="18"/>
        </w:rPr>
        <w:t xml:space="preserve">Horridge </w:t>
      </w:r>
      <w:r w:rsidRPr="00CD084A">
        <w:rPr>
          <w:rFonts w:cs="Times New Roman"/>
          <w:i/>
          <w:sz w:val="18"/>
          <w:szCs w:val="18"/>
        </w:rPr>
        <w:t xml:space="preserve">et al. </w:t>
      </w:r>
      <w:r w:rsidRPr="00CD084A">
        <w:rPr>
          <w:rFonts w:cs="Times New Roman"/>
          <w:sz w:val="18"/>
          <w:szCs w:val="18"/>
        </w:rPr>
        <w:t>(2005).</w:t>
      </w:r>
    </w:p>
  </w:footnote>
  <w:footnote w:id="10">
    <w:p w:rsidR="0063368C" w:rsidRDefault="0063368C" w:rsidP="000418E3">
      <w:pPr>
        <w:pStyle w:val="FootnoteText"/>
      </w:pPr>
      <w:r>
        <w:rPr>
          <w:rStyle w:val="FootnoteReference"/>
        </w:rPr>
        <w:footnoteRef/>
      </w:r>
      <w:r>
        <w:t xml:space="preserve">  See </w:t>
      </w:r>
      <w:hyperlink r:id="rId1" w:history="1">
        <w:r w:rsidRPr="00A4204B">
          <w:rPr>
            <w:rStyle w:val="Hyperlink"/>
            <w:sz w:val="18"/>
          </w:rPr>
          <w:t>http://www2.census.gov/econ2010/CBP_CSV/</w:t>
        </w:r>
      </w:hyperlink>
      <w:r>
        <w:rPr>
          <w:sz w:val="18"/>
        </w:rPr>
        <w:t xml:space="preserve"> . </w:t>
      </w:r>
    </w:p>
  </w:footnote>
  <w:footnote w:id="11">
    <w:p w:rsidR="0063368C" w:rsidRDefault="0063368C" w:rsidP="000418E3">
      <w:pPr>
        <w:pStyle w:val="FootnoteText"/>
      </w:pPr>
      <w:r>
        <w:rPr>
          <w:rStyle w:val="FootnoteReference"/>
        </w:rPr>
        <w:footnoteRef/>
      </w:r>
      <w:r>
        <w:t xml:space="preserve">  See, for example, Wittwer (2012).  </w:t>
      </w:r>
    </w:p>
  </w:footnote>
  <w:footnote w:id="12">
    <w:p w:rsidR="0063368C" w:rsidRDefault="0063368C">
      <w:pPr>
        <w:pStyle w:val="FootnoteText"/>
      </w:pPr>
      <w:r>
        <w:rPr>
          <w:rStyle w:val="FootnoteReference"/>
        </w:rPr>
        <w:footnoteRef/>
      </w:r>
      <w:r>
        <w:t xml:space="preserve">  These are real discount rates, that is they are applied after correcting values of future variables for changes in the price level.  </w:t>
      </w:r>
    </w:p>
  </w:footnote>
  <w:footnote w:id="13">
    <w:p w:rsidR="0063368C" w:rsidRPr="003D2B8E" w:rsidRDefault="0063368C" w:rsidP="008A3914">
      <w:pPr>
        <w:pStyle w:val="FootnoteText"/>
        <w:rPr>
          <w:sz w:val="18"/>
          <w:szCs w:val="18"/>
        </w:rPr>
      </w:pPr>
      <w:r w:rsidRPr="003D2B8E">
        <w:rPr>
          <w:rStyle w:val="FootnoteReference"/>
          <w:sz w:val="18"/>
          <w:szCs w:val="18"/>
        </w:rPr>
        <w:footnoteRef/>
      </w:r>
      <w:r w:rsidRPr="003D2B8E">
        <w:rPr>
          <w:sz w:val="18"/>
          <w:szCs w:val="18"/>
        </w:rPr>
        <w:t xml:space="preserve"> </w:t>
      </w:r>
      <w:r>
        <w:rPr>
          <w:sz w:val="18"/>
          <w:szCs w:val="18"/>
        </w:rPr>
        <w:t>See for example, Harrison (2010) and Garnaut (2016, section 3.1)</w:t>
      </w:r>
      <w:r w:rsidRPr="003D2B8E">
        <w:rPr>
          <w:sz w:val="18"/>
          <w:szCs w:val="18"/>
        </w:rPr>
        <w:t xml:space="preserve">.  </w:t>
      </w:r>
    </w:p>
  </w:footnote>
  <w:footnote w:id="14">
    <w:p w:rsidR="0063368C" w:rsidRDefault="0063368C" w:rsidP="008A3914">
      <w:pPr>
        <w:pStyle w:val="FootnoteText"/>
      </w:pPr>
      <w:r>
        <w:rPr>
          <w:rStyle w:val="FootnoteReference"/>
        </w:rPr>
        <w:footnoteRef/>
      </w:r>
      <w:r>
        <w:t xml:space="preserve">  </w:t>
      </w:r>
      <w:r w:rsidRPr="00BC3EF4">
        <w:rPr>
          <w:sz w:val="18"/>
          <w:szCs w:val="18"/>
        </w:rPr>
        <w:t xml:space="preserve">See </w:t>
      </w:r>
      <w:hyperlink r:id="rId2" w:history="1">
        <w:r w:rsidRPr="00D341EA">
          <w:rPr>
            <w:rStyle w:val="Hyperlink"/>
            <w:sz w:val="18"/>
            <w:szCs w:val="18"/>
          </w:rPr>
          <w:t>https://www.federalregister.gov/documents/2011/02/11/2011-3044/discount-rates-for-cost-effectiveness-analysis-of-federal-programs</w:t>
        </w:r>
      </w:hyperlink>
      <w:r>
        <w:rPr>
          <w:sz w:val="18"/>
          <w:szCs w:val="18"/>
        </w:rPr>
        <w:t xml:space="preserve"> . </w:t>
      </w:r>
    </w:p>
  </w:footnote>
  <w:footnote w:id="15">
    <w:p w:rsidR="0063368C" w:rsidRDefault="0063368C">
      <w:pPr>
        <w:pStyle w:val="FootnoteText"/>
      </w:pPr>
      <w:r>
        <w:rPr>
          <w:rStyle w:val="FootnoteReference"/>
        </w:rPr>
        <w:footnoteRef/>
      </w:r>
      <w:r>
        <w:t xml:space="preserve">  We assume zero inflation or equivalently that next year’s dollar is adjusted for inflation.  </w:t>
      </w:r>
    </w:p>
  </w:footnote>
  <w:footnote w:id="16">
    <w:p w:rsidR="0063368C" w:rsidRPr="0009365D" w:rsidRDefault="0063368C">
      <w:pPr>
        <w:pStyle w:val="FootnoteText"/>
        <w:rPr>
          <w:sz w:val="18"/>
          <w:szCs w:val="18"/>
        </w:rPr>
      </w:pPr>
      <w:r w:rsidRPr="0009365D">
        <w:rPr>
          <w:rStyle w:val="FootnoteReference"/>
          <w:sz w:val="18"/>
          <w:szCs w:val="18"/>
        </w:rPr>
        <w:footnoteRef/>
      </w:r>
      <w:r w:rsidRPr="0009365D">
        <w:rPr>
          <w:sz w:val="18"/>
          <w:szCs w:val="18"/>
        </w:rPr>
        <w:t xml:space="preserve">  DHS is following the Department of Transportation, see </w:t>
      </w:r>
      <w:hyperlink r:id="rId3" w:history="1">
        <w:r w:rsidRPr="0009365D">
          <w:rPr>
            <w:rStyle w:val="Hyperlink"/>
            <w:sz w:val="18"/>
            <w:szCs w:val="18"/>
          </w:rPr>
          <w:t>https://www.transportation.gov/sites/dot.gov/files/docs/VSL%20Guidance%202016.pdf</w:t>
        </w:r>
      </w:hyperlink>
      <w:r w:rsidRPr="0009365D">
        <w:rPr>
          <w:sz w:val="18"/>
          <w:szCs w:val="18"/>
        </w:rPr>
        <w:t xml:space="preserve"> .  </w:t>
      </w:r>
      <w:r w:rsidRPr="0009365D">
        <w:rPr>
          <w:rFonts w:cs="Times New Roman"/>
          <w:sz w:val="18"/>
          <w:szCs w:val="18"/>
        </w:rPr>
        <w:t>For earlier estimates of the value of life see Partnoy, (2012).</w:t>
      </w:r>
    </w:p>
  </w:footnote>
  <w:footnote w:id="17">
    <w:p w:rsidR="0063368C" w:rsidRDefault="0063368C">
      <w:pPr>
        <w:pStyle w:val="FootnoteText"/>
      </w:pPr>
      <w:r>
        <w:rPr>
          <w:rStyle w:val="FootnoteReference"/>
        </w:rPr>
        <w:footnoteRef/>
      </w:r>
      <w:r>
        <w:t xml:space="preserve">  This is an average of the numbers used by the Environmental Protection Agency, the Food and Drug Administration and the Department of Transformation in 2012, see Partnoy (2012).   </w:t>
      </w:r>
    </w:p>
  </w:footnote>
  <w:footnote w:id="18">
    <w:p w:rsidR="0063368C" w:rsidRDefault="0063368C" w:rsidP="000418E3">
      <w:pPr>
        <w:pStyle w:val="FootnoteText"/>
      </w:pPr>
      <w:r>
        <w:rPr>
          <w:rStyle w:val="FootnoteReference"/>
        </w:rPr>
        <w:footnoteRef/>
      </w:r>
      <w:r>
        <w:t xml:space="preserve">  CV is the amount of money in the changed situation that households would need to be given to allow them to achieve the same level of utility as in the initial simulation.  In the estimation of CV, commodity prices applying in the changed situation are used.  EV is the amount of money in the initial situation that households would be willing to pay to avoid moving to the changed situation.  In the estimation of EV, commodity prices applying in the initial situation are used.  In USAGE-TERM, changes in real consumption between the initial and changed situations in each year are calculated using prices about half-way between the initial and changed prices.  Thus, USAGE-TERM results for welfare effects computed as real consumption deviations are typically between those indicated by CV and EV.</w:t>
      </w:r>
    </w:p>
  </w:footnote>
  <w:footnote w:id="19">
    <w:p w:rsidR="0063368C" w:rsidRPr="009D0DFC" w:rsidRDefault="0063368C" w:rsidP="000418E3">
      <w:pPr>
        <w:pStyle w:val="FootnoteText"/>
        <w:rPr>
          <w:sz w:val="18"/>
          <w:szCs w:val="18"/>
        </w:rPr>
      </w:pPr>
      <w:r>
        <w:rPr>
          <w:rStyle w:val="FootnoteReference"/>
        </w:rPr>
        <w:footnoteRef/>
      </w:r>
      <w:r>
        <w:t xml:space="preserve">  </w:t>
      </w:r>
      <w:r w:rsidRPr="009D0DFC">
        <w:rPr>
          <w:sz w:val="18"/>
          <w:szCs w:val="18"/>
        </w:rPr>
        <w:t xml:space="preserve">This is calculated as </w:t>
      </w:r>
      <w:r>
        <w:rPr>
          <w:sz w:val="18"/>
          <w:szCs w:val="18"/>
        </w:rPr>
        <w:t xml:space="preserve">170 </w:t>
      </w:r>
      <w:r w:rsidRPr="009D0DFC">
        <w:rPr>
          <w:sz w:val="18"/>
          <w:szCs w:val="18"/>
        </w:rPr>
        <w:t>models times 20 years times 1</w:t>
      </w:r>
      <w:r>
        <w:rPr>
          <w:sz w:val="18"/>
          <w:szCs w:val="18"/>
        </w:rPr>
        <w:t>4</w:t>
      </w:r>
      <w:r w:rsidRPr="009D0DFC">
        <w:rPr>
          <w:sz w:val="18"/>
          <w:szCs w:val="18"/>
        </w:rPr>
        <w:t xml:space="preserve"> shocks times 2</w:t>
      </w:r>
      <w:r>
        <w:rPr>
          <w:sz w:val="18"/>
          <w:szCs w:val="18"/>
        </w:rPr>
        <w:t xml:space="preserve"> runs (baseline &amp; perturbation) times 2 sets of assumptions (Keynesian and Neoclassical).</w:t>
      </w:r>
    </w:p>
  </w:footnote>
  <w:footnote w:id="20">
    <w:p w:rsidR="0063368C" w:rsidRPr="009D0DFC" w:rsidRDefault="0063368C" w:rsidP="000418E3">
      <w:pPr>
        <w:pStyle w:val="FootnoteText"/>
        <w:rPr>
          <w:sz w:val="18"/>
          <w:szCs w:val="18"/>
        </w:rPr>
      </w:pPr>
      <w:r w:rsidRPr="009D0DFC">
        <w:rPr>
          <w:rStyle w:val="FootnoteReference"/>
          <w:sz w:val="18"/>
          <w:szCs w:val="18"/>
        </w:rPr>
        <w:footnoteRef/>
      </w:r>
      <w:r w:rsidRPr="009D0DFC">
        <w:rPr>
          <w:sz w:val="18"/>
          <w:szCs w:val="18"/>
        </w:rPr>
        <w:t xml:space="preserve">  Latitudes and longitudes for geographic centers of </w:t>
      </w:r>
      <w:r>
        <w:rPr>
          <w:sz w:val="18"/>
          <w:szCs w:val="18"/>
        </w:rPr>
        <w:t>congressional</w:t>
      </w:r>
      <w:r w:rsidRPr="009D0DFC">
        <w:rPr>
          <w:sz w:val="18"/>
          <w:szCs w:val="18"/>
        </w:rPr>
        <w:t xml:space="preserve"> districts can be obtained from U.S. Census data at </w:t>
      </w:r>
      <w:hyperlink r:id="rId4" w:history="1">
        <w:r w:rsidRPr="009D0DFC">
          <w:rPr>
            <w:rStyle w:val="Hyperlink"/>
            <w:sz w:val="18"/>
            <w:szCs w:val="18"/>
          </w:rPr>
          <w:t>http://www.census.gov/geo/maps-data/data/gazetteer2013.html</w:t>
        </w:r>
      </w:hyperlink>
      <w:r w:rsidRPr="009D0DFC">
        <w:rPr>
          <w:sz w:val="18"/>
          <w:szCs w:val="18"/>
        </w:rPr>
        <w:t xml:space="preserve"> .  Approximate distances can then be calculated by applying Pythagoras to differences in latitudes and differences </w:t>
      </w:r>
      <w:r>
        <w:rPr>
          <w:sz w:val="18"/>
          <w:szCs w:val="18"/>
        </w:rPr>
        <w:t xml:space="preserve">in </w:t>
      </w:r>
      <w:r w:rsidRPr="009D0DFC">
        <w:rPr>
          <w:sz w:val="18"/>
          <w:szCs w:val="18"/>
        </w:rPr>
        <w:t xml:space="preserve">longitudes.  </w:t>
      </w:r>
    </w:p>
  </w:footnote>
  <w:footnote w:id="21">
    <w:p w:rsidR="0063368C" w:rsidRDefault="0063368C">
      <w:pPr>
        <w:pStyle w:val="FootnoteText"/>
      </w:pPr>
      <w:r>
        <w:rPr>
          <w:rStyle w:val="FootnoteReference"/>
        </w:rPr>
        <w:footnoteRef/>
      </w:r>
      <w:r>
        <w:t xml:space="preserve">  </w:t>
      </w:r>
      <w:r>
        <w:rPr>
          <w:rFonts w:cs="Times New Roman"/>
          <w:sz w:val="24"/>
          <w:szCs w:val="24"/>
        </w:rPr>
        <w:t>E</w:t>
      </w:r>
      <w:r>
        <w:rPr>
          <w:rFonts w:cs="Times New Roman"/>
          <w:sz w:val="24"/>
          <w:szCs w:val="24"/>
          <w:vertAlign w:val="subscript"/>
        </w:rPr>
        <w:t>A</w:t>
      </w:r>
      <w:r>
        <w:rPr>
          <w:rFonts w:cs="Times New Roman"/>
          <w:sz w:val="24"/>
          <w:szCs w:val="24"/>
        </w:rPr>
        <w:t>(</w:t>
      </w:r>
      <w:r>
        <w:rPr>
          <w:rFonts w:cs="Times New Roman"/>
          <w:sz w:val="24"/>
          <w:szCs w:val="24"/>
        </w:rPr>
        <w:sym w:font="Symbol" w:char="F0B7"/>
      </w:r>
      <w:r>
        <w:rPr>
          <w:rFonts w:cs="Times New Roman"/>
          <w:sz w:val="24"/>
          <w:szCs w:val="24"/>
        </w:rPr>
        <w:t>,d,</w:t>
      </w:r>
      <w:r>
        <w:rPr>
          <w:rFonts w:cs="Times New Roman"/>
          <w:sz w:val="24"/>
          <w:szCs w:val="24"/>
        </w:rPr>
        <w:sym w:font="Symbol" w:char="F0B7"/>
      </w:r>
      <w:r>
        <w:rPr>
          <w:rFonts w:cs="Times New Roman"/>
          <w:sz w:val="24"/>
          <w:szCs w:val="24"/>
        </w:rPr>
        <w:t>) is the 14 by 10 matrix with components E</w:t>
      </w:r>
      <w:r>
        <w:rPr>
          <w:rFonts w:cs="Times New Roman"/>
          <w:sz w:val="24"/>
          <w:szCs w:val="24"/>
          <w:vertAlign w:val="subscript"/>
        </w:rPr>
        <w:t>A</w:t>
      </w:r>
      <w:r>
        <w:rPr>
          <w:rFonts w:cs="Times New Roman"/>
          <w:sz w:val="24"/>
          <w:szCs w:val="24"/>
        </w:rPr>
        <w:t xml:space="preserve">(s,d,v).  </w:t>
      </w:r>
    </w:p>
  </w:footnote>
  <w:footnote w:id="22">
    <w:p w:rsidR="0063368C" w:rsidRDefault="0063368C">
      <w:pPr>
        <w:pStyle w:val="FootnoteText"/>
      </w:pPr>
      <w:r>
        <w:rPr>
          <w:rStyle w:val="FootnoteReference"/>
        </w:rPr>
        <w:footnoteRef/>
      </w:r>
      <w:r>
        <w:t xml:space="preserve">  </w:t>
      </w:r>
      <w:r w:rsidRPr="008B2DE3">
        <w:rPr>
          <w:rFonts w:cs="Times New Roman"/>
          <w:sz w:val="18"/>
          <w:szCs w:val="18"/>
        </w:rPr>
        <w:t>Notice that we assume that the same relevant variable will be adequate under either assumption A.</w:t>
      </w:r>
      <w:r>
        <w:rPr>
          <w:rFonts w:cs="Times New Roman"/>
          <w:sz w:val="18"/>
          <w:szCs w:val="18"/>
        </w:rPr>
        <w:t xml:space="preserve">  This is not theoretically necessary but proved to be a non-damaging simplification.</w:t>
      </w:r>
    </w:p>
  </w:footnote>
  <w:footnote w:id="23">
    <w:p w:rsidR="0063368C" w:rsidRDefault="0063368C" w:rsidP="0021748C">
      <w:pPr>
        <w:pStyle w:val="FootnoteText"/>
      </w:pPr>
      <w:r>
        <w:rPr>
          <w:rStyle w:val="FootnoteReference"/>
        </w:rPr>
        <w:footnoteRef/>
      </w:r>
      <w:r>
        <w:t xml:space="preserve">  After one year, public expenditure returns to its baseline path.  We adopt this approach for all of the expenditure shocks (rows 3 to 6).  </w:t>
      </w:r>
    </w:p>
  </w:footnote>
  <w:footnote w:id="24">
    <w:p w:rsidR="0063368C" w:rsidRDefault="0063368C">
      <w:pPr>
        <w:pStyle w:val="FootnoteText"/>
      </w:pPr>
      <w:r>
        <w:rPr>
          <w:rStyle w:val="FootnoteReference"/>
        </w:rPr>
        <w:footnoteRef/>
      </w:r>
      <w:r>
        <w:t xml:space="preserve">  Includes outputs of all agricultural and processed food products.</w:t>
      </w:r>
    </w:p>
  </w:footnote>
  <w:footnote w:id="25">
    <w:p w:rsidR="0063368C" w:rsidRDefault="0063368C">
      <w:pPr>
        <w:pStyle w:val="FootnoteText"/>
      </w:pPr>
      <w:r>
        <w:rPr>
          <w:rStyle w:val="FootnoteReference"/>
        </w:rPr>
        <w:footnoteRef/>
      </w:r>
      <w:r>
        <w:t xml:space="preserve">  As can be seen from Table 6.1, FL24’s “state” doesn’t cover the whole of Florida.  Nevertheless, for convenience we will refer to it as Florida.  </w:t>
      </w:r>
    </w:p>
  </w:footnote>
  <w:footnote w:id="26">
    <w:p w:rsidR="0063368C" w:rsidRDefault="0063368C">
      <w:pPr>
        <w:pStyle w:val="FootnoteText"/>
      </w:pPr>
      <w:r>
        <w:rPr>
          <w:rStyle w:val="FootnoteReference"/>
        </w:rPr>
        <w:footnoteRef/>
      </w:r>
      <w:r>
        <w:t xml:space="preserve">  This means small in absolute size relative to the corresponding year-1 coefficient.  For example, the average year-20 Keynesian coefficient for GDP with respect to capital destruction (0.004) is small relative the corresponding year-1 coefficient (-0.72), see Table A1.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70CAC"/>
    <w:multiLevelType w:val="multilevel"/>
    <w:tmpl w:val="947E24F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C914E9B"/>
    <w:multiLevelType w:val="hybridMultilevel"/>
    <w:tmpl w:val="5C56A1DC"/>
    <w:lvl w:ilvl="0" w:tplc="C4DE31F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D93945"/>
    <w:multiLevelType w:val="hybridMultilevel"/>
    <w:tmpl w:val="AA867466"/>
    <w:lvl w:ilvl="0" w:tplc="61206D3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5B481A"/>
    <w:multiLevelType w:val="hybridMultilevel"/>
    <w:tmpl w:val="9AB219A0"/>
    <w:lvl w:ilvl="0" w:tplc="39DE61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666831"/>
    <w:multiLevelType w:val="hybridMultilevel"/>
    <w:tmpl w:val="590C8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CB6EFF"/>
    <w:multiLevelType w:val="hybridMultilevel"/>
    <w:tmpl w:val="A94434B8"/>
    <w:lvl w:ilvl="0" w:tplc="1436E3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9D771D"/>
    <w:multiLevelType w:val="hybridMultilevel"/>
    <w:tmpl w:val="CBA4E072"/>
    <w:lvl w:ilvl="0" w:tplc="04090001">
      <w:start w:val="1"/>
      <w:numFmt w:val="bullet"/>
      <w:lvlText w:val=""/>
      <w:lvlJc w:val="left"/>
      <w:pPr>
        <w:ind w:left="1144" w:hanging="360"/>
      </w:pPr>
      <w:rPr>
        <w:rFonts w:ascii="Symbol" w:hAnsi="Symbol" w:hint="default"/>
      </w:rPr>
    </w:lvl>
    <w:lvl w:ilvl="1" w:tplc="0C090003" w:tentative="1">
      <w:start w:val="1"/>
      <w:numFmt w:val="bullet"/>
      <w:lvlText w:val="o"/>
      <w:lvlJc w:val="left"/>
      <w:pPr>
        <w:ind w:left="1864" w:hanging="360"/>
      </w:pPr>
      <w:rPr>
        <w:rFonts w:ascii="Courier New" w:hAnsi="Courier New" w:cs="Courier New" w:hint="default"/>
      </w:rPr>
    </w:lvl>
    <w:lvl w:ilvl="2" w:tplc="0C090005" w:tentative="1">
      <w:start w:val="1"/>
      <w:numFmt w:val="bullet"/>
      <w:lvlText w:val=""/>
      <w:lvlJc w:val="left"/>
      <w:pPr>
        <w:ind w:left="2584" w:hanging="360"/>
      </w:pPr>
      <w:rPr>
        <w:rFonts w:ascii="Wingdings" w:hAnsi="Wingdings" w:hint="default"/>
      </w:rPr>
    </w:lvl>
    <w:lvl w:ilvl="3" w:tplc="0C090001" w:tentative="1">
      <w:start w:val="1"/>
      <w:numFmt w:val="bullet"/>
      <w:lvlText w:val=""/>
      <w:lvlJc w:val="left"/>
      <w:pPr>
        <w:ind w:left="3304" w:hanging="360"/>
      </w:pPr>
      <w:rPr>
        <w:rFonts w:ascii="Symbol" w:hAnsi="Symbol" w:hint="default"/>
      </w:rPr>
    </w:lvl>
    <w:lvl w:ilvl="4" w:tplc="0C090003" w:tentative="1">
      <w:start w:val="1"/>
      <w:numFmt w:val="bullet"/>
      <w:lvlText w:val="o"/>
      <w:lvlJc w:val="left"/>
      <w:pPr>
        <w:ind w:left="4024" w:hanging="360"/>
      </w:pPr>
      <w:rPr>
        <w:rFonts w:ascii="Courier New" w:hAnsi="Courier New" w:cs="Courier New" w:hint="default"/>
      </w:rPr>
    </w:lvl>
    <w:lvl w:ilvl="5" w:tplc="0C090005" w:tentative="1">
      <w:start w:val="1"/>
      <w:numFmt w:val="bullet"/>
      <w:lvlText w:val=""/>
      <w:lvlJc w:val="left"/>
      <w:pPr>
        <w:ind w:left="4744" w:hanging="360"/>
      </w:pPr>
      <w:rPr>
        <w:rFonts w:ascii="Wingdings" w:hAnsi="Wingdings" w:hint="default"/>
      </w:rPr>
    </w:lvl>
    <w:lvl w:ilvl="6" w:tplc="0C090001" w:tentative="1">
      <w:start w:val="1"/>
      <w:numFmt w:val="bullet"/>
      <w:lvlText w:val=""/>
      <w:lvlJc w:val="left"/>
      <w:pPr>
        <w:ind w:left="5464" w:hanging="360"/>
      </w:pPr>
      <w:rPr>
        <w:rFonts w:ascii="Symbol" w:hAnsi="Symbol" w:hint="default"/>
      </w:rPr>
    </w:lvl>
    <w:lvl w:ilvl="7" w:tplc="0C090003" w:tentative="1">
      <w:start w:val="1"/>
      <w:numFmt w:val="bullet"/>
      <w:lvlText w:val="o"/>
      <w:lvlJc w:val="left"/>
      <w:pPr>
        <w:ind w:left="6184" w:hanging="360"/>
      </w:pPr>
      <w:rPr>
        <w:rFonts w:ascii="Courier New" w:hAnsi="Courier New" w:cs="Courier New" w:hint="default"/>
      </w:rPr>
    </w:lvl>
    <w:lvl w:ilvl="8" w:tplc="0C090005" w:tentative="1">
      <w:start w:val="1"/>
      <w:numFmt w:val="bullet"/>
      <w:lvlText w:val=""/>
      <w:lvlJc w:val="left"/>
      <w:pPr>
        <w:ind w:left="6904" w:hanging="360"/>
      </w:pPr>
      <w:rPr>
        <w:rFonts w:ascii="Wingdings" w:hAnsi="Wingdings" w:hint="default"/>
      </w:rPr>
    </w:lvl>
  </w:abstractNum>
  <w:abstractNum w:abstractNumId="7" w15:restartNumberingAfterBreak="0">
    <w:nsid w:val="28587679"/>
    <w:multiLevelType w:val="hybridMultilevel"/>
    <w:tmpl w:val="CC8CA808"/>
    <w:lvl w:ilvl="0" w:tplc="BB309176">
      <w:start w:val="1"/>
      <w:numFmt w:val="lowerLetter"/>
      <w:lvlText w:val="(%1)"/>
      <w:lvlJc w:val="left"/>
      <w:pPr>
        <w:ind w:left="1144" w:hanging="360"/>
      </w:pPr>
      <w:rPr>
        <w:rFonts w:hint="default"/>
      </w:rPr>
    </w:lvl>
    <w:lvl w:ilvl="1" w:tplc="0C090003" w:tentative="1">
      <w:start w:val="1"/>
      <w:numFmt w:val="bullet"/>
      <w:lvlText w:val="o"/>
      <w:lvlJc w:val="left"/>
      <w:pPr>
        <w:ind w:left="1864" w:hanging="360"/>
      </w:pPr>
      <w:rPr>
        <w:rFonts w:ascii="Courier New" w:hAnsi="Courier New" w:cs="Courier New" w:hint="default"/>
      </w:rPr>
    </w:lvl>
    <w:lvl w:ilvl="2" w:tplc="0C090005" w:tentative="1">
      <w:start w:val="1"/>
      <w:numFmt w:val="bullet"/>
      <w:lvlText w:val=""/>
      <w:lvlJc w:val="left"/>
      <w:pPr>
        <w:ind w:left="2584" w:hanging="360"/>
      </w:pPr>
      <w:rPr>
        <w:rFonts w:ascii="Wingdings" w:hAnsi="Wingdings" w:hint="default"/>
      </w:rPr>
    </w:lvl>
    <w:lvl w:ilvl="3" w:tplc="0C090001" w:tentative="1">
      <w:start w:val="1"/>
      <w:numFmt w:val="bullet"/>
      <w:lvlText w:val=""/>
      <w:lvlJc w:val="left"/>
      <w:pPr>
        <w:ind w:left="3304" w:hanging="360"/>
      </w:pPr>
      <w:rPr>
        <w:rFonts w:ascii="Symbol" w:hAnsi="Symbol" w:hint="default"/>
      </w:rPr>
    </w:lvl>
    <w:lvl w:ilvl="4" w:tplc="0C090003" w:tentative="1">
      <w:start w:val="1"/>
      <w:numFmt w:val="bullet"/>
      <w:lvlText w:val="o"/>
      <w:lvlJc w:val="left"/>
      <w:pPr>
        <w:ind w:left="4024" w:hanging="360"/>
      </w:pPr>
      <w:rPr>
        <w:rFonts w:ascii="Courier New" w:hAnsi="Courier New" w:cs="Courier New" w:hint="default"/>
      </w:rPr>
    </w:lvl>
    <w:lvl w:ilvl="5" w:tplc="0C090005" w:tentative="1">
      <w:start w:val="1"/>
      <w:numFmt w:val="bullet"/>
      <w:lvlText w:val=""/>
      <w:lvlJc w:val="left"/>
      <w:pPr>
        <w:ind w:left="4744" w:hanging="360"/>
      </w:pPr>
      <w:rPr>
        <w:rFonts w:ascii="Wingdings" w:hAnsi="Wingdings" w:hint="default"/>
      </w:rPr>
    </w:lvl>
    <w:lvl w:ilvl="6" w:tplc="0C090001" w:tentative="1">
      <w:start w:val="1"/>
      <w:numFmt w:val="bullet"/>
      <w:lvlText w:val=""/>
      <w:lvlJc w:val="left"/>
      <w:pPr>
        <w:ind w:left="5464" w:hanging="360"/>
      </w:pPr>
      <w:rPr>
        <w:rFonts w:ascii="Symbol" w:hAnsi="Symbol" w:hint="default"/>
      </w:rPr>
    </w:lvl>
    <w:lvl w:ilvl="7" w:tplc="0C090003" w:tentative="1">
      <w:start w:val="1"/>
      <w:numFmt w:val="bullet"/>
      <w:lvlText w:val="o"/>
      <w:lvlJc w:val="left"/>
      <w:pPr>
        <w:ind w:left="6184" w:hanging="360"/>
      </w:pPr>
      <w:rPr>
        <w:rFonts w:ascii="Courier New" w:hAnsi="Courier New" w:cs="Courier New" w:hint="default"/>
      </w:rPr>
    </w:lvl>
    <w:lvl w:ilvl="8" w:tplc="0C090005" w:tentative="1">
      <w:start w:val="1"/>
      <w:numFmt w:val="bullet"/>
      <w:lvlText w:val=""/>
      <w:lvlJc w:val="left"/>
      <w:pPr>
        <w:ind w:left="6904" w:hanging="360"/>
      </w:pPr>
      <w:rPr>
        <w:rFonts w:ascii="Wingdings" w:hAnsi="Wingdings" w:hint="default"/>
      </w:rPr>
    </w:lvl>
  </w:abstractNum>
  <w:abstractNum w:abstractNumId="8" w15:restartNumberingAfterBreak="0">
    <w:nsid w:val="29D34E8E"/>
    <w:multiLevelType w:val="hybridMultilevel"/>
    <w:tmpl w:val="AF18E0BE"/>
    <w:lvl w:ilvl="0" w:tplc="C4DE31F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843276"/>
    <w:multiLevelType w:val="hybridMultilevel"/>
    <w:tmpl w:val="C3C04198"/>
    <w:lvl w:ilvl="0" w:tplc="CCEC189E">
      <w:start w:val="1"/>
      <w:numFmt w:val="decimal"/>
      <w:lvlText w:val="%1."/>
      <w:lvlJc w:val="left"/>
      <w:pPr>
        <w:ind w:left="720" w:hanging="360"/>
      </w:pPr>
      <w:rPr>
        <w:rFonts w:hint="default"/>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F785C6D"/>
    <w:multiLevelType w:val="hybridMultilevel"/>
    <w:tmpl w:val="BC548C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AE73C9"/>
    <w:multiLevelType w:val="hybridMultilevel"/>
    <w:tmpl w:val="65C8361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0D3435"/>
    <w:multiLevelType w:val="hybridMultilevel"/>
    <w:tmpl w:val="1B90B656"/>
    <w:lvl w:ilvl="0" w:tplc="5210BCD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4F827AE"/>
    <w:multiLevelType w:val="hybridMultilevel"/>
    <w:tmpl w:val="08364B0C"/>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Tahoma"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Tahoma"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Tahoma"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4C063665"/>
    <w:multiLevelType w:val="hybridMultilevel"/>
    <w:tmpl w:val="011AA5AE"/>
    <w:lvl w:ilvl="0" w:tplc="61206D3C">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DB21E7"/>
    <w:multiLevelType w:val="hybridMultilevel"/>
    <w:tmpl w:val="745C4F1E"/>
    <w:lvl w:ilvl="0" w:tplc="FAB4679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90437F2"/>
    <w:multiLevelType w:val="multilevel"/>
    <w:tmpl w:val="F80EE1B2"/>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5B2202A8"/>
    <w:multiLevelType w:val="hybridMultilevel"/>
    <w:tmpl w:val="3F922A6E"/>
    <w:lvl w:ilvl="0" w:tplc="0C090013">
      <w:start w:val="1"/>
      <w:numFmt w:val="upp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C22D7A"/>
    <w:multiLevelType w:val="hybridMultilevel"/>
    <w:tmpl w:val="B42A24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B50FE9"/>
    <w:multiLevelType w:val="hybridMultilevel"/>
    <w:tmpl w:val="2FA05C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C35759"/>
    <w:multiLevelType w:val="hybridMultilevel"/>
    <w:tmpl w:val="76B0B9E6"/>
    <w:lvl w:ilvl="0" w:tplc="85E8A11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413F56"/>
    <w:multiLevelType w:val="multilevel"/>
    <w:tmpl w:val="BACE24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D3E34B4"/>
    <w:multiLevelType w:val="multilevel"/>
    <w:tmpl w:val="52B69FFA"/>
    <w:lvl w:ilvl="0">
      <w:start w:val="1"/>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78C72ED2"/>
    <w:multiLevelType w:val="hybridMultilevel"/>
    <w:tmpl w:val="E214D272"/>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49384A"/>
    <w:multiLevelType w:val="hybridMultilevel"/>
    <w:tmpl w:val="66DED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2F1646"/>
    <w:multiLevelType w:val="hybridMultilevel"/>
    <w:tmpl w:val="72245710"/>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cs="Tahoma"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Tahoma"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Tahoma" w:hint="default"/>
      </w:rPr>
    </w:lvl>
    <w:lvl w:ilvl="8" w:tplc="FFFFFFFF"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4"/>
  </w:num>
  <w:num w:numId="3">
    <w:abstractNumId w:val="23"/>
  </w:num>
  <w:num w:numId="4">
    <w:abstractNumId w:val="11"/>
  </w:num>
  <w:num w:numId="5">
    <w:abstractNumId w:val="18"/>
  </w:num>
  <w:num w:numId="6">
    <w:abstractNumId w:val="12"/>
  </w:num>
  <w:num w:numId="7">
    <w:abstractNumId w:val="7"/>
  </w:num>
  <w:num w:numId="8">
    <w:abstractNumId w:val="17"/>
  </w:num>
  <w:num w:numId="9">
    <w:abstractNumId w:val="14"/>
  </w:num>
  <w:num w:numId="10">
    <w:abstractNumId w:val="3"/>
  </w:num>
  <w:num w:numId="11">
    <w:abstractNumId w:val="6"/>
  </w:num>
  <w:num w:numId="12">
    <w:abstractNumId w:val="25"/>
  </w:num>
  <w:num w:numId="13">
    <w:abstractNumId w:val="13"/>
  </w:num>
  <w:num w:numId="14">
    <w:abstractNumId w:val="22"/>
  </w:num>
  <w:num w:numId="15">
    <w:abstractNumId w:val="10"/>
  </w:num>
  <w:num w:numId="16">
    <w:abstractNumId w:val="15"/>
  </w:num>
  <w:num w:numId="17">
    <w:abstractNumId w:val="9"/>
  </w:num>
  <w:num w:numId="18">
    <w:abstractNumId w:val="19"/>
  </w:num>
  <w:num w:numId="19">
    <w:abstractNumId w:val="24"/>
  </w:num>
  <w:num w:numId="20">
    <w:abstractNumId w:val="5"/>
  </w:num>
  <w:num w:numId="21">
    <w:abstractNumId w:val="16"/>
  </w:num>
  <w:num w:numId="22">
    <w:abstractNumId w:val="21"/>
  </w:num>
  <w:num w:numId="23">
    <w:abstractNumId w:val="2"/>
  </w:num>
  <w:num w:numId="24">
    <w:abstractNumId w:val="8"/>
  </w:num>
  <w:num w:numId="25">
    <w:abstractNumId w:val="1"/>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8E3"/>
    <w:rsid w:val="00004598"/>
    <w:rsid w:val="000059C8"/>
    <w:rsid w:val="00005CEA"/>
    <w:rsid w:val="00012FF9"/>
    <w:rsid w:val="000134FF"/>
    <w:rsid w:val="00016100"/>
    <w:rsid w:val="00017372"/>
    <w:rsid w:val="00026E0C"/>
    <w:rsid w:val="00027150"/>
    <w:rsid w:val="00027613"/>
    <w:rsid w:val="00031FA8"/>
    <w:rsid w:val="00033552"/>
    <w:rsid w:val="000353D9"/>
    <w:rsid w:val="00040C30"/>
    <w:rsid w:val="000418E3"/>
    <w:rsid w:val="00045241"/>
    <w:rsid w:val="00054448"/>
    <w:rsid w:val="00064572"/>
    <w:rsid w:val="00076152"/>
    <w:rsid w:val="00077E2D"/>
    <w:rsid w:val="00081DFC"/>
    <w:rsid w:val="00084859"/>
    <w:rsid w:val="00084C02"/>
    <w:rsid w:val="0008516C"/>
    <w:rsid w:val="00091565"/>
    <w:rsid w:val="0009365D"/>
    <w:rsid w:val="000969D9"/>
    <w:rsid w:val="000A3A74"/>
    <w:rsid w:val="000B4FE3"/>
    <w:rsid w:val="000C6C0B"/>
    <w:rsid w:val="000D6CF4"/>
    <w:rsid w:val="000D7B34"/>
    <w:rsid w:val="000D7F28"/>
    <w:rsid w:val="000E6F28"/>
    <w:rsid w:val="000F2782"/>
    <w:rsid w:val="000F4C55"/>
    <w:rsid w:val="000F73A8"/>
    <w:rsid w:val="001034FE"/>
    <w:rsid w:val="0010392C"/>
    <w:rsid w:val="00103FEF"/>
    <w:rsid w:val="00106A47"/>
    <w:rsid w:val="0011240D"/>
    <w:rsid w:val="00121084"/>
    <w:rsid w:val="001229EB"/>
    <w:rsid w:val="00127180"/>
    <w:rsid w:val="00134588"/>
    <w:rsid w:val="00134B48"/>
    <w:rsid w:val="00135E2B"/>
    <w:rsid w:val="00137447"/>
    <w:rsid w:val="001446B0"/>
    <w:rsid w:val="00153E35"/>
    <w:rsid w:val="001608BD"/>
    <w:rsid w:val="001678FC"/>
    <w:rsid w:val="00183565"/>
    <w:rsid w:val="00191510"/>
    <w:rsid w:val="00193162"/>
    <w:rsid w:val="001A0072"/>
    <w:rsid w:val="001A0DD9"/>
    <w:rsid w:val="001A1D5F"/>
    <w:rsid w:val="001A5B1A"/>
    <w:rsid w:val="001A5ECB"/>
    <w:rsid w:val="001A7873"/>
    <w:rsid w:val="001B5D26"/>
    <w:rsid w:val="001E0C00"/>
    <w:rsid w:val="001E1233"/>
    <w:rsid w:val="001E3BF2"/>
    <w:rsid w:val="001E79FA"/>
    <w:rsid w:val="001E7F73"/>
    <w:rsid w:val="001F14F0"/>
    <w:rsid w:val="001F5F39"/>
    <w:rsid w:val="001F721A"/>
    <w:rsid w:val="00204F70"/>
    <w:rsid w:val="0021576E"/>
    <w:rsid w:val="0021748C"/>
    <w:rsid w:val="00222010"/>
    <w:rsid w:val="00236857"/>
    <w:rsid w:val="00241901"/>
    <w:rsid w:val="00245ED7"/>
    <w:rsid w:val="002474CF"/>
    <w:rsid w:val="002502E2"/>
    <w:rsid w:val="00255392"/>
    <w:rsid w:val="002562E9"/>
    <w:rsid w:val="00257FEE"/>
    <w:rsid w:val="00273918"/>
    <w:rsid w:val="00275BFA"/>
    <w:rsid w:val="00276D72"/>
    <w:rsid w:val="00284DF8"/>
    <w:rsid w:val="00290AA2"/>
    <w:rsid w:val="0029154B"/>
    <w:rsid w:val="00291558"/>
    <w:rsid w:val="00293325"/>
    <w:rsid w:val="00293551"/>
    <w:rsid w:val="002A517D"/>
    <w:rsid w:val="002B0399"/>
    <w:rsid w:val="002B618D"/>
    <w:rsid w:val="002C020D"/>
    <w:rsid w:val="002C7C6A"/>
    <w:rsid w:val="002D1458"/>
    <w:rsid w:val="002D2481"/>
    <w:rsid w:val="002F789C"/>
    <w:rsid w:val="0030168C"/>
    <w:rsid w:val="003047D4"/>
    <w:rsid w:val="00307E11"/>
    <w:rsid w:val="003144C0"/>
    <w:rsid w:val="0031664E"/>
    <w:rsid w:val="00320CE0"/>
    <w:rsid w:val="00325CE7"/>
    <w:rsid w:val="0032610D"/>
    <w:rsid w:val="003300E7"/>
    <w:rsid w:val="003362A2"/>
    <w:rsid w:val="00354CCA"/>
    <w:rsid w:val="00355A16"/>
    <w:rsid w:val="00356F17"/>
    <w:rsid w:val="003573B9"/>
    <w:rsid w:val="003668FA"/>
    <w:rsid w:val="00367E79"/>
    <w:rsid w:val="003806B6"/>
    <w:rsid w:val="003841DE"/>
    <w:rsid w:val="003864AC"/>
    <w:rsid w:val="00386561"/>
    <w:rsid w:val="003958B1"/>
    <w:rsid w:val="003A07EB"/>
    <w:rsid w:val="003A3C37"/>
    <w:rsid w:val="003A50FF"/>
    <w:rsid w:val="003B5D8C"/>
    <w:rsid w:val="003B68D0"/>
    <w:rsid w:val="003B7412"/>
    <w:rsid w:val="003B7D7E"/>
    <w:rsid w:val="003C388C"/>
    <w:rsid w:val="003D4685"/>
    <w:rsid w:val="003E4C5F"/>
    <w:rsid w:val="003E73F3"/>
    <w:rsid w:val="00404CED"/>
    <w:rsid w:val="00417ED1"/>
    <w:rsid w:val="00426B64"/>
    <w:rsid w:val="004335DD"/>
    <w:rsid w:val="00436DDE"/>
    <w:rsid w:val="004400FE"/>
    <w:rsid w:val="00441D13"/>
    <w:rsid w:val="004465E9"/>
    <w:rsid w:val="00453D59"/>
    <w:rsid w:val="0045551C"/>
    <w:rsid w:val="00461432"/>
    <w:rsid w:val="00461E0F"/>
    <w:rsid w:val="00465DDA"/>
    <w:rsid w:val="004816C6"/>
    <w:rsid w:val="00485112"/>
    <w:rsid w:val="004A3577"/>
    <w:rsid w:val="004A3E8C"/>
    <w:rsid w:val="004B07A2"/>
    <w:rsid w:val="004B40A3"/>
    <w:rsid w:val="004C385C"/>
    <w:rsid w:val="004D0D30"/>
    <w:rsid w:val="004D59BD"/>
    <w:rsid w:val="004E0550"/>
    <w:rsid w:val="004E1400"/>
    <w:rsid w:val="004E30C2"/>
    <w:rsid w:val="004E31E0"/>
    <w:rsid w:val="004F0504"/>
    <w:rsid w:val="004F12DD"/>
    <w:rsid w:val="004F43E3"/>
    <w:rsid w:val="00500BF1"/>
    <w:rsid w:val="005174DD"/>
    <w:rsid w:val="0052140A"/>
    <w:rsid w:val="00523E0A"/>
    <w:rsid w:val="0053033B"/>
    <w:rsid w:val="0053678C"/>
    <w:rsid w:val="005378A4"/>
    <w:rsid w:val="00541A3B"/>
    <w:rsid w:val="00543BA6"/>
    <w:rsid w:val="00543D14"/>
    <w:rsid w:val="00553F72"/>
    <w:rsid w:val="00555384"/>
    <w:rsid w:val="0056238A"/>
    <w:rsid w:val="00567803"/>
    <w:rsid w:val="00571732"/>
    <w:rsid w:val="0058411E"/>
    <w:rsid w:val="0058703B"/>
    <w:rsid w:val="00591671"/>
    <w:rsid w:val="005A7D98"/>
    <w:rsid w:val="005B3A2E"/>
    <w:rsid w:val="005B3CB9"/>
    <w:rsid w:val="005C00AF"/>
    <w:rsid w:val="005C0163"/>
    <w:rsid w:val="005C3039"/>
    <w:rsid w:val="005C4E51"/>
    <w:rsid w:val="005D243A"/>
    <w:rsid w:val="005D29CC"/>
    <w:rsid w:val="005D4609"/>
    <w:rsid w:val="005D5069"/>
    <w:rsid w:val="005D79C9"/>
    <w:rsid w:val="005E5D44"/>
    <w:rsid w:val="005F27D3"/>
    <w:rsid w:val="005F390A"/>
    <w:rsid w:val="005F5CAB"/>
    <w:rsid w:val="005F669A"/>
    <w:rsid w:val="0061336B"/>
    <w:rsid w:val="00614267"/>
    <w:rsid w:val="00614B6D"/>
    <w:rsid w:val="00615065"/>
    <w:rsid w:val="00615C6E"/>
    <w:rsid w:val="00616CCF"/>
    <w:rsid w:val="0061734C"/>
    <w:rsid w:val="00627DF6"/>
    <w:rsid w:val="00630E2E"/>
    <w:rsid w:val="0063368C"/>
    <w:rsid w:val="00641510"/>
    <w:rsid w:val="0065310C"/>
    <w:rsid w:val="0065758C"/>
    <w:rsid w:val="00660284"/>
    <w:rsid w:val="0066193B"/>
    <w:rsid w:val="00663D65"/>
    <w:rsid w:val="0066776C"/>
    <w:rsid w:val="006739B8"/>
    <w:rsid w:val="00673C6A"/>
    <w:rsid w:val="00675CF7"/>
    <w:rsid w:val="0067632C"/>
    <w:rsid w:val="00695D4C"/>
    <w:rsid w:val="006A0C82"/>
    <w:rsid w:val="006A4172"/>
    <w:rsid w:val="006A7BA9"/>
    <w:rsid w:val="006B1CD7"/>
    <w:rsid w:val="006B3108"/>
    <w:rsid w:val="006B3B75"/>
    <w:rsid w:val="006B72A0"/>
    <w:rsid w:val="006C0565"/>
    <w:rsid w:val="006E67C1"/>
    <w:rsid w:val="006E77CF"/>
    <w:rsid w:val="006F2161"/>
    <w:rsid w:val="006F5395"/>
    <w:rsid w:val="00701665"/>
    <w:rsid w:val="007048EA"/>
    <w:rsid w:val="00705032"/>
    <w:rsid w:val="007063C7"/>
    <w:rsid w:val="007144A4"/>
    <w:rsid w:val="007230A0"/>
    <w:rsid w:val="00732429"/>
    <w:rsid w:val="007536D7"/>
    <w:rsid w:val="00757CF0"/>
    <w:rsid w:val="007606EE"/>
    <w:rsid w:val="00762A59"/>
    <w:rsid w:val="00764606"/>
    <w:rsid w:val="00767AEA"/>
    <w:rsid w:val="007705F8"/>
    <w:rsid w:val="00775F8D"/>
    <w:rsid w:val="00776AF0"/>
    <w:rsid w:val="007807B4"/>
    <w:rsid w:val="00790C03"/>
    <w:rsid w:val="0079355B"/>
    <w:rsid w:val="007974CA"/>
    <w:rsid w:val="007A10B7"/>
    <w:rsid w:val="007A1F5B"/>
    <w:rsid w:val="007A7B6D"/>
    <w:rsid w:val="007B3EE5"/>
    <w:rsid w:val="007B4CAE"/>
    <w:rsid w:val="007C1CF6"/>
    <w:rsid w:val="007C2C34"/>
    <w:rsid w:val="007C3A8D"/>
    <w:rsid w:val="007C6C6B"/>
    <w:rsid w:val="007D09C9"/>
    <w:rsid w:val="007D24DF"/>
    <w:rsid w:val="007D5EC0"/>
    <w:rsid w:val="007D619D"/>
    <w:rsid w:val="007E136E"/>
    <w:rsid w:val="007E1789"/>
    <w:rsid w:val="007E34B9"/>
    <w:rsid w:val="007E37EA"/>
    <w:rsid w:val="007E516D"/>
    <w:rsid w:val="007E7ECF"/>
    <w:rsid w:val="007F356A"/>
    <w:rsid w:val="00802954"/>
    <w:rsid w:val="00810505"/>
    <w:rsid w:val="00811E17"/>
    <w:rsid w:val="00816B4F"/>
    <w:rsid w:val="00825015"/>
    <w:rsid w:val="00825141"/>
    <w:rsid w:val="0082655D"/>
    <w:rsid w:val="00844D28"/>
    <w:rsid w:val="008512A6"/>
    <w:rsid w:val="00864945"/>
    <w:rsid w:val="00873916"/>
    <w:rsid w:val="008746B7"/>
    <w:rsid w:val="00876BB9"/>
    <w:rsid w:val="008876D0"/>
    <w:rsid w:val="00890A88"/>
    <w:rsid w:val="00893618"/>
    <w:rsid w:val="00897A46"/>
    <w:rsid w:val="008A3914"/>
    <w:rsid w:val="008B0D36"/>
    <w:rsid w:val="008B2DE3"/>
    <w:rsid w:val="008B65E8"/>
    <w:rsid w:val="008B68DC"/>
    <w:rsid w:val="008D25CD"/>
    <w:rsid w:val="008D41E4"/>
    <w:rsid w:val="008D797D"/>
    <w:rsid w:val="008E1AD2"/>
    <w:rsid w:val="008E1B50"/>
    <w:rsid w:val="008E2CFF"/>
    <w:rsid w:val="008E7E1C"/>
    <w:rsid w:val="008F2C33"/>
    <w:rsid w:val="00900B10"/>
    <w:rsid w:val="0090230C"/>
    <w:rsid w:val="0090693D"/>
    <w:rsid w:val="0091054F"/>
    <w:rsid w:val="00911E15"/>
    <w:rsid w:val="009133BD"/>
    <w:rsid w:val="009138D7"/>
    <w:rsid w:val="00921C23"/>
    <w:rsid w:val="009305DF"/>
    <w:rsid w:val="00931E57"/>
    <w:rsid w:val="00941227"/>
    <w:rsid w:val="00950D2D"/>
    <w:rsid w:val="00960410"/>
    <w:rsid w:val="009620D5"/>
    <w:rsid w:val="0096636A"/>
    <w:rsid w:val="00967652"/>
    <w:rsid w:val="00967939"/>
    <w:rsid w:val="0097050C"/>
    <w:rsid w:val="009836CC"/>
    <w:rsid w:val="009853F6"/>
    <w:rsid w:val="009900BA"/>
    <w:rsid w:val="00990F0E"/>
    <w:rsid w:val="00992C39"/>
    <w:rsid w:val="009945E7"/>
    <w:rsid w:val="009A1444"/>
    <w:rsid w:val="009A173E"/>
    <w:rsid w:val="009A4664"/>
    <w:rsid w:val="009A70D4"/>
    <w:rsid w:val="009B5DA1"/>
    <w:rsid w:val="009C59AF"/>
    <w:rsid w:val="009C5D8B"/>
    <w:rsid w:val="009D0665"/>
    <w:rsid w:val="009E511F"/>
    <w:rsid w:val="009E73E9"/>
    <w:rsid w:val="009F2905"/>
    <w:rsid w:val="009F410B"/>
    <w:rsid w:val="00A21E27"/>
    <w:rsid w:val="00A260EF"/>
    <w:rsid w:val="00A35E97"/>
    <w:rsid w:val="00A42EEB"/>
    <w:rsid w:val="00A520FE"/>
    <w:rsid w:val="00A53143"/>
    <w:rsid w:val="00A55830"/>
    <w:rsid w:val="00A60138"/>
    <w:rsid w:val="00A6574E"/>
    <w:rsid w:val="00A72BEA"/>
    <w:rsid w:val="00A81262"/>
    <w:rsid w:val="00A818AC"/>
    <w:rsid w:val="00A86ADB"/>
    <w:rsid w:val="00AA1780"/>
    <w:rsid w:val="00AA3B72"/>
    <w:rsid w:val="00AA5449"/>
    <w:rsid w:val="00AC1316"/>
    <w:rsid w:val="00AC19B3"/>
    <w:rsid w:val="00AC2CCE"/>
    <w:rsid w:val="00AD2EA1"/>
    <w:rsid w:val="00AD3749"/>
    <w:rsid w:val="00AE07F3"/>
    <w:rsid w:val="00AE3B9A"/>
    <w:rsid w:val="00AF31A9"/>
    <w:rsid w:val="00AF6049"/>
    <w:rsid w:val="00B004A0"/>
    <w:rsid w:val="00B106C8"/>
    <w:rsid w:val="00B126D4"/>
    <w:rsid w:val="00B12FD2"/>
    <w:rsid w:val="00B210E3"/>
    <w:rsid w:val="00B22B01"/>
    <w:rsid w:val="00B23305"/>
    <w:rsid w:val="00B31E61"/>
    <w:rsid w:val="00B34D29"/>
    <w:rsid w:val="00B45FE0"/>
    <w:rsid w:val="00B5562E"/>
    <w:rsid w:val="00B60A61"/>
    <w:rsid w:val="00B6120E"/>
    <w:rsid w:val="00B61890"/>
    <w:rsid w:val="00B6529C"/>
    <w:rsid w:val="00B72B48"/>
    <w:rsid w:val="00B74D30"/>
    <w:rsid w:val="00B812E1"/>
    <w:rsid w:val="00B825CB"/>
    <w:rsid w:val="00B835CD"/>
    <w:rsid w:val="00B85E46"/>
    <w:rsid w:val="00BB2AF0"/>
    <w:rsid w:val="00BB4E52"/>
    <w:rsid w:val="00BB567A"/>
    <w:rsid w:val="00BC333D"/>
    <w:rsid w:val="00BC486A"/>
    <w:rsid w:val="00BC59E5"/>
    <w:rsid w:val="00BD0BA8"/>
    <w:rsid w:val="00BD10EF"/>
    <w:rsid w:val="00BD322A"/>
    <w:rsid w:val="00BE2045"/>
    <w:rsid w:val="00BE2A9D"/>
    <w:rsid w:val="00BE6998"/>
    <w:rsid w:val="00BE73C3"/>
    <w:rsid w:val="00BF1E70"/>
    <w:rsid w:val="00BF2E5B"/>
    <w:rsid w:val="00BF611A"/>
    <w:rsid w:val="00C04316"/>
    <w:rsid w:val="00C05420"/>
    <w:rsid w:val="00C05D47"/>
    <w:rsid w:val="00C06102"/>
    <w:rsid w:val="00C115BB"/>
    <w:rsid w:val="00C12B63"/>
    <w:rsid w:val="00C15AFC"/>
    <w:rsid w:val="00C31DF9"/>
    <w:rsid w:val="00C32674"/>
    <w:rsid w:val="00C33F5A"/>
    <w:rsid w:val="00C374BE"/>
    <w:rsid w:val="00C40DD1"/>
    <w:rsid w:val="00C41AEE"/>
    <w:rsid w:val="00C5162A"/>
    <w:rsid w:val="00C55A9E"/>
    <w:rsid w:val="00C56957"/>
    <w:rsid w:val="00C57E26"/>
    <w:rsid w:val="00C6072C"/>
    <w:rsid w:val="00C630D1"/>
    <w:rsid w:val="00C664A7"/>
    <w:rsid w:val="00C74176"/>
    <w:rsid w:val="00C75B01"/>
    <w:rsid w:val="00C7646D"/>
    <w:rsid w:val="00C77B72"/>
    <w:rsid w:val="00C81DEF"/>
    <w:rsid w:val="00C904D6"/>
    <w:rsid w:val="00C925B4"/>
    <w:rsid w:val="00C92BBB"/>
    <w:rsid w:val="00C95346"/>
    <w:rsid w:val="00C9706F"/>
    <w:rsid w:val="00CA013B"/>
    <w:rsid w:val="00CA1421"/>
    <w:rsid w:val="00CC31B6"/>
    <w:rsid w:val="00CD21A0"/>
    <w:rsid w:val="00CE154C"/>
    <w:rsid w:val="00CE232E"/>
    <w:rsid w:val="00CE617C"/>
    <w:rsid w:val="00CE71C2"/>
    <w:rsid w:val="00CF5C49"/>
    <w:rsid w:val="00CF7C8E"/>
    <w:rsid w:val="00D0711A"/>
    <w:rsid w:val="00D1116F"/>
    <w:rsid w:val="00D11E5D"/>
    <w:rsid w:val="00D12486"/>
    <w:rsid w:val="00D17D12"/>
    <w:rsid w:val="00D25AD0"/>
    <w:rsid w:val="00D417F6"/>
    <w:rsid w:val="00D4318B"/>
    <w:rsid w:val="00D523AF"/>
    <w:rsid w:val="00D52B68"/>
    <w:rsid w:val="00D81104"/>
    <w:rsid w:val="00D8116B"/>
    <w:rsid w:val="00D82448"/>
    <w:rsid w:val="00D838CD"/>
    <w:rsid w:val="00D916F7"/>
    <w:rsid w:val="00D92BCC"/>
    <w:rsid w:val="00D95C56"/>
    <w:rsid w:val="00DB40CD"/>
    <w:rsid w:val="00DC0BF9"/>
    <w:rsid w:val="00DC37B6"/>
    <w:rsid w:val="00DC4BA6"/>
    <w:rsid w:val="00DD1927"/>
    <w:rsid w:val="00DD3EE8"/>
    <w:rsid w:val="00DD4496"/>
    <w:rsid w:val="00DD5C80"/>
    <w:rsid w:val="00DE0AC1"/>
    <w:rsid w:val="00DE272F"/>
    <w:rsid w:val="00DE3E92"/>
    <w:rsid w:val="00DF19E1"/>
    <w:rsid w:val="00E006AA"/>
    <w:rsid w:val="00E025BA"/>
    <w:rsid w:val="00E03BA4"/>
    <w:rsid w:val="00E07B0B"/>
    <w:rsid w:val="00E23E63"/>
    <w:rsid w:val="00E25AA4"/>
    <w:rsid w:val="00E30939"/>
    <w:rsid w:val="00E346DF"/>
    <w:rsid w:val="00E42AF6"/>
    <w:rsid w:val="00E43C84"/>
    <w:rsid w:val="00E63D73"/>
    <w:rsid w:val="00E65EAB"/>
    <w:rsid w:val="00E70B6A"/>
    <w:rsid w:val="00E83A6B"/>
    <w:rsid w:val="00E83AEF"/>
    <w:rsid w:val="00E87FC0"/>
    <w:rsid w:val="00E9794F"/>
    <w:rsid w:val="00EA22B7"/>
    <w:rsid w:val="00EA262D"/>
    <w:rsid w:val="00EB378A"/>
    <w:rsid w:val="00EB5507"/>
    <w:rsid w:val="00EC075D"/>
    <w:rsid w:val="00ED1A28"/>
    <w:rsid w:val="00ED3AE5"/>
    <w:rsid w:val="00ED5FFD"/>
    <w:rsid w:val="00ED689C"/>
    <w:rsid w:val="00ED7E6C"/>
    <w:rsid w:val="00EE4001"/>
    <w:rsid w:val="00EF415C"/>
    <w:rsid w:val="00EF67C1"/>
    <w:rsid w:val="00F04177"/>
    <w:rsid w:val="00F045A6"/>
    <w:rsid w:val="00F04D9E"/>
    <w:rsid w:val="00F125DB"/>
    <w:rsid w:val="00F14BDC"/>
    <w:rsid w:val="00F21F1B"/>
    <w:rsid w:val="00F2503A"/>
    <w:rsid w:val="00F269BA"/>
    <w:rsid w:val="00F47EBA"/>
    <w:rsid w:val="00F5253B"/>
    <w:rsid w:val="00F57BC3"/>
    <w:rsid w:val="00F607C3"/>
    <w:rsid w:val="00F6390E"/>
    <w:rsid w:val="00F63D82"/>
    <w:rsid w:val="00F65655"/>
    <w:rsid w:val="00F66BB7"/>
    <w:rsid w:val="00F67BB2"/>
    <w:rsid w:val="00F73BEE"/>
    <w:rsid w:val="00F74757"/>
    <w:rsid w:val="00F7497E"/>
    <w:rsid w:val="00F7638B"/>
    <w:rsid w:val="00F81BD4"/>
    <w:rsid w:val="00F82298"/>
    <w:rsid w:val="00F901FE"/>
    <w:rsid w:val="00F9481B"/>
    <w:rsid w:val="00F9703F"/>
    <w:rsid w:val="00FB119C"/>
    <w:rsid w:val="00FB2006"/>
    <w:rsid w:val="00FB6A9A"/>
    <w:rsid w:val="00FC5C91"/>
    <w:rsid w:val="00FD03B7"/>
    <w:rsid w:val="00FD2557"/>
    <w:rsid w:val="00FD2B1C"/>
    <w:rsid w:val="00FD2D80"/>
    <w:rsid w:val="00FD3AEB"/>
    <w:rsid w:val="00FD3E10"/>
    <w:rsid w:val="00FD5099"/>
    <w:rsid w:val="00FD5D0C"/>
    <w:rsid w:val="00FD7327"/>
    <w:rsid w:val="00FD7DB3"/>
    <w:rsid w:val="00FE20F2"/>
    <w:rsid w:val="00FE6186"/>
    <w:rsid w:val="00FF45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827FEA"/>
  <w15:docId w15:val="{97622DBA-E112-4F43-A1B8-36819B584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18E3"/>
    <w:pPr>
      <w:spacing w:before="120" w:after="0" w:line="240" w:lineRule="auto"/>
    </w:pPr>
    <w:rPr>
      <w:lang w:val="en-US"/>
    </w:rPr>
  </w:style>
  <w:style w:type="paragraph" w:styleId="Heading1">
    <w:name w:val="heading 1"/>
    <w:basedOn w:val="Normal"/>
    <w:link w:val="Heading1Char"/>
    <w:uiPriority w:val="9"/>
    <w:qFormat/>
    <w:rsid w:val="000418E3"/>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18E3"/>
    <w:rPr>
      <w:rFonts w:ascii="Times New Roman" w:eastAsia="Times New Roman" w:hAnsi="Times New Roman" w:cs="Times New Roman"/>
      <w:b/>
      <w:bCs/>
      <w:kern w:val="36"/>
      <w:sz w:val="48"/>
      <w:szCs w:val="48"/>
      <w:lang w:val="en-US"/>
    </w:rPr>
  </w:style>
  <w:style w:type="paragraph" w:styleId="ListParagraph">
    <w:name w:val="List Paragraph"/>
    <w:basedOn w:val="Normal"/>
    <w:uiPriority w:val="34"/>
    <w:qFormat/>
    <w:rsid w:val="000418E3"/>
    <w:pPr>
      <w:ind w:left="720"/>
      <w:contextualSpacing/>
    </w:pPr>
  </w:style>
  <w:style w:type="paragraph" w:styleId="FootnoteText">
    <w:name w:val="footnote text"/>
    <w:basedOn w:val="Normal"/>
    <w:link w:val="FootnoteTextChar"/>
    <w:unhideWhenUsed/>
    <w:rsid w:val="000418E3"/>
    <w:pPr>
      <w:spacing w:before="0"/>
    </w:pPr>
    <w:rPr>
      <w:rFonts w:ascii="Times New Roman" w:hAnsi="Times New Roman"/>
      <w:sz w:val="20"/>
      <w:szCs w:val="20"/>
      <w:lang w:val="en-AU"/>
    </w:rPr>
  </w:style>
  <w:style w:type="character" w:customStyle="1" w:styleId="FootnoteTextChar">
    <w:name w:val="Footnote Text Char"/>
    <w:basedOn w:val="DefaultParagraphFont"/>
    <w:link w:val="FootnoteText"/>
    <w:rsid w:val="000418E3"/>
    <w:rPr>
      <w:rFonts w:ascii="Times New Roman" w:hAnsi="Times New Roman"/>
      <w:sz w:val="20"/>
      <w:szCs w:val="20"/>
    </w:rPr>
  </w:style>
  <w:style w:type="character" w:styleId="FootnoteReference">
    <w:name w:val="footnote reference"/>
    <w:basedOn w:val="DefaultParagraphFont"/>
    <w:semiHidden/>
    <w:unhideWhenUsed/>
    <w:rsid w:val="000418E3"/>
    <w:rPr>
      <w:vertAlign w:val="superscript"/>
    </w:rPr>
  </w:style>
  <w:style w:type="character" w:styleId="Strong">
    <w:name w:val="Strong"/>
    <w:qFormat/>
    <w:rsid w:val="000418E3"/>
    <w:rPr>
      <w:b/>
      <w:bCs/>
    </w:rPr>
  </w:style>
  <w:style w:type="character" w:styleId="Hyperlink">
    <w:name w:val="Hyperlink"/>
    <w:basedOn w:val="DefaultParagraphFont"/>
    <w:uiPriority w:val="99"/>
    <w:unhideWhenUsed/>
    <w:rsid w:val="000418E3"/>
    <w:rPr>
      <w:color w:val="0000FF" w:themeColor="hyperlink"/>
      <w:u w:val="single"/>
    </w:rPr>
  </w:style>
  <w:style w:type="paragraph" w:styleId="NormalWeb">
    <w:name w:val="Normal (Web)"/>
    <w:basedOn w:val="Normal"/>
    <w:uiPriority w:val="99"/>
    <w:semiHidden/>
    <w:unhideWhenUsed/>
    <w:rsid w:val="000418E3"/>
    <w:pPr>
      <w:spacing w:before="100" w:beforeAutospacing="1" w:after="100" w:afterAutospacing="1"/>
    </w:pPr>
    <w:rPr>
      <w:rFonts w:ascii="Times New Roman" w:eastAsia="Times New Roman" w:hAnsi="Times New Roman" w:cs="Times New Roman"/>
      <w:sz w:val="24"/>
      <w:szCs w:val="24"/>
    </w:rPr>
  </w:style>
  <w:style w:type="character" w:customStyle="1" w:styleId="atflatcounter">
    <w:name w:val="at_flat_counter"/>
    <w:basedOn w:val="DefaultParagraphFont"/>
    <w:rsid w:val="000418E3"/>
  </w:style>
  <w:style w:type="character" w:customStyle="1" w:styleId="post-author">
    <w:name w:val="post-author"/>
    <w:basedOn w:val="DefaultParagraphFont"/>
    <w:rsid w:val="000418E3"/>
  </w:style>
  <w:style w:type="character" w:customStyle="1" w:styleId="apple-converted-space">
    <w:name w:val="apple-converted-space"/>
    <w:basedOn w:val="DefaultParagraphFont"/>
    <w:rsid w:val="000418E3"/>
  </w:style>
  <w:style w:type="character" w:styleId="FollowedHyperlink">
    <w:name w:val="FollowedHyperlink"/>
    <w:basedOn w:val="DefaultParagraphFont"/>
    <w:uiPriority w:val="99"/>
    <w:semiHidden/>
    <w:unhideWhenUsed/>
    <w:rsid w:val="000418E3"/>
    <w:rPr>
      <w:color w:val="800080" w:themeColor="followedHyperlink"/>
      <w:u w:val="single"/>
    </w:rPr>
  </w:style>
  <w:style w:type="paragraph" w:styleId="Header">
    <w:name w:val="header"/>
    <w:basedOn w:val="Normal"/>
    <w:link w:val="HeaderChar"/>
    <w:uiPriority w:val="99"/>
    <w:unhideWhenUsed/>
    <w:rsid w:val="000418E3"/>
    <w:pPr>
      <w:tabs>
        <w:tab w:val="center" w:pos="4680"/>
        <w:tab w:val="right" w:pos="9360"/>
      </w:tabs>
      <w:spacing w:before="0"/>
    </w:pPr>
  </w:style>
  <w:style w:type="character" w:customStyle="1" w:styleId="HeaderChar">
    <w:name w:val="Header Char"/>
    <w:basedOn w:val="DefaultParagraphFont"/>
    <w:link w:val="Header"/>
    <w:uiPriority w:val="99"/>
    <w:rsid w:val="000418E3"/>
    <w:rPr>
      <w:lang w:val="en-US"/>
    </w:rPr>
  </w:style>
  <w:style w:type="paragraph" w:styleId="Footer">
    <w:name w:val="footer"/>
    <w:basedOn w:val="Normal"/>
    <w:link w:val="FooterChar"/>
    <w:uiPriority w:val="99"/>
    <w:unhideWhenUsed/>
    <w:rsid w:val="000418E3"/>
    <w:pPr>
      <w:tabs>
        <w:tab w:val="center" w:pos="4680"/>
        <w:tab w:val="right" w:pos="9360"/>
      </w:tabs>
      <w:spacing w:before="0"/>
    </w:pPr>
  </w:style>
  <w:style w:type="character" w:customStyle="1" w:styleId="FooterChar">
    <w:name w:val="Footer Char"/>
    <w:basedOn w:val="DefaultParagraphFont"/>
    <w:link w:val="Footer"/>
    <w:uiPriority w:val="99"/>
    <w:rsid w:val="000418E3"/>
    <w:rPr>
      <w:lang w:val="en-US"/>
    </w:rPr>
  </w:style>
  <w:style w:type="paragraph" w:styleId="BalloonText">
    <w:name w:val="Balloon Text"/>
    <w:basedOn w:val="Normal"/>
    <w:link w:val="BalloonTextChar"/>
    <w:uiPriority w:val="99"/>
    <w:semiHidden/>
    <w:unhideWhenUsed/>
    <w:rsid w:val="000418E3"/>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18E3"/>
    <w:rPr>
      <w:rFonts w:ascii="Tahoma" w:hAnsi="Tahoma" w:cs="Tahoma"/>
      <w:sz w:val="16"/>
      <w:szCs w:val="16"/>
      <w:lang w:val="en-US"/>
    </w:rPr>
  </w:style>
  <w:style w:type="character" w:styleId="Emphasis">
    <w:name w:val="Emphasis"/>
    <w:basedOn w:val="DefaultParagraphFont"/>
    <w:qFormat/>
    <w:rsid w:val="000418E3"/>
    <w:rPr>
      <w:i/>
      <w:iCs/>
    </w:rPr>
  </w:style>
  <w:style w:type="paragraph" w:customStyle="1" w:styleId="indent">
    <w:name w:val="indent"/>
    <w:basedOn w:val="Normal"/>
    <w:rsid w:val="000418E3"/>
    <w:pPr>
      <w:tabs>
        <w:tab w:val="left" w:pos="1134"/>
        <w:tab w:val="center" w:pos="4560"/>
        <w:tab w:val="right" w:pos="8380"/>
        <w:tab w:val="right" w:pos="8440"/>
      </w:tabs>
      <w:spacing w:before="0"/>
      <w:ind w:left="284"/>
      <w:jc w:val="both"/>
    </w:pPr>
    <w:rPr>
      <w:rFonts w:ascii="Times New Roman" w:eastAsia="Times New Roman" w:hAnsi="Times New Roman" w:cs="Times New Roman"/>
      <w:color w:val="000000"/>
      <w:szCs w:val="24"/>
      <w:lang w:eastAsia="en-AU"/>
    </w:rPr>
  </w:style>
  <w:style w:type="paragraph" w:styleId="HTMLPreformatted">
    <w:name w:val="HTML Preformatted"/>
    <w:basedOn w:val="Normal"/>
    <w:link w:val="HTMLPreformattedChar"/>
    <w:uiPriority w:val="99"/>
    <w:rsid w:val="000418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0418E3"/>
    <w:rPr>
      <w:rFonts w:ascii="Courier New" w:eastAsia="Times New Roman" w:hAnsi="Courier New" w:cs="Courier New"/>
      <w:sz w:val="20"/>
      <w:szCs w:val="20"/>
      <w:lang w:val="en-US"/>
    </w:rPr>
  </w:style>
  <w:style w:type="paragraph" w:customStyle="1" w:styleId="bookindent">
    <w:name w:val="book indent"/>
    <w:basedOn w:val="Normal"/>
    <w:rsid w:val="000418E3"/>
    <w:pPr>
      <w:spacing w:after="60" w:line="240" w:lineRule="exact"/>
      <w:ind w:left="284" w:hanging="284"/>
      <w:jc w:val="both"/>
    </w:pPr>
    <w:rPr>
      <w:rFonts w:ascii="Times New Roman" w:eastAsia="Times New Roman" w:hAnsi="Times New Roman" w:cs="Times New Roman"/>
      <w:sz w:val="20"/>
      <w:szCs w:val="20"/>
      <w:lang w:val="en-AU"/>
    </w:rPr>
  </w:style>
  <w:style w:type="table" w:styleId="TableGrid">
    <w:name w:val="Table Grid"/>
    <w:basedOn w:val="TableNormal"/>
    <w:uiPriority w:val="59"/>
    <w:rsid w:val="000418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oleObject" Target="embeddings/oleObject5.bin"/><Relationship Id="rId26" Type="http://schemas.openxmlformats.org/officeDocument/2006/relationships/image" Target="media/image9.wmf"/><Relationship Id="rId39" Type="http://schemas.openxmlformats.org/officeDocument/2006/relationships/image" Target="media/image15.wmf"/><Relationship Id="rId21" Type="http://schemas.openxmlformats.org/officeDocument/2006/relationships/image" Target="media/image7.wmf"/><Relationship Id="rId34" Type="http://schemas.openxmlformats.org/officeDocument/2006/relationships/oleObject" Target="embeddings/oleObject13.bin"/><Relationship Id="rId42" Type="http://schemas.openxmlformats.org/officeDocument/2006/relationships/oleObject" Target="embeddings/oleObject17.bin"/><Relationship Id="rId47" Type="http://schemas.openxmlformats.org/officeDocument/2006/relationships/image" Target="media/image19.wmf"/><Relationship Id="rId50" Type="http://schemas.openxmlformats.org/officeDocument/2006/relationships/oleObject" Target="embeddings/oleObject21.bin"/><Relationship Id="rId55" Type="http://schemas.openxmlformats.org/officeDocument/2006/relationships/image" Target="media/image23.wmf"/><Relationship Id="rId63" Type="http://schemas.openxmlformats.org/officeDocument/2006/relationships/image" Target="media/image27.wmf"/><Relationship Id="rId68" Type="http://schemas.openxmlformats.org/officeDocument/2006/relationships/oleObject" Target="embeddings/oleObject30.bin"/><Relationship Id="rId76" Type="http://schemas.openxmlformats.org/officeDocument/2006/relationships/image" Target="media/image32.emf"/><Relationship Id="rId84" Type="http://schemas.openxmlformats.org/officeDocument/2006/relationships/image" Target="media/image40.emf"/><Relationship Id="rId89" Type="http://schemas.openxmlformats.org/officeDocument/2006/relationships/hyperlink" Target="http://dx.doi.org/10.1016/j.tra.2016.09.027" TargetMode="External"/><Relationship Id="rId7" Type="http://schemas.openxmlformats.org/officeDocument/2006/relationships/endnotes" Target="endnotes.xml"/><Relationship Id="rId71" Type="http://schemas.openxmlformats.org/officeDocument/2006/relationships/oleObject" Target="embeddings/oleObject32.bin"/><Relationship Id="rId9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4.bin"/><Relationship Id="rId29" Type="http://schemas.openxmlformats.org/officeDocument/2006/relationships/oleObject" Target="embeddings/oleObject10.bin"/><Relationship Id="rId11" Type="http://schemas.openxmlformats.org/officeDocument/2006/relationships/oleObject" Target="embeddings/oleObject2.bin"/><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4.wmf"/><Relationship Id="rId40" Type="http://schemas.openxmlformats.org/officeDocument/2006/relationships/oleObject" Target="embeddings/oleObject16.bin"/><Relationship Id="rId45" Type="http://schemas.openxmlformats.org/officeDocument/2006/relationships/image" Target="media/image18.wmf"/><Relationship Id="rId53" Type="http://schemas.openxmlformats.org/officeDocument/2006/relationships/image" Target="media/image22.wmf"/><Relationship Id="rId58" Type="http://schemas.openxmlformats.org/officeDocument/2006/relationships/oleObject" Target="embeddings/oleObject25.bin"/><Relationship Id="rId66" Type="http://schemas.openxmlformats.org/officeDocument/2006/relationships/oleObject" Target="embeddings/oleObject29.bin"/><Relationship Id="rId74" Type="http://schemas.openxmlformats.org/officeDocument/2006/relationships/oleObject" Target="embeddings/oleObject35.bin"/><Relationship Id="rId79" Type="http://schemas.openxmlformats.org/officeDocument/2006/relationships/image" Target="media/image35.emf"/><Relationship Id="rId87" Type="http://schemas.openxmlformats.org/officeDocument/2006/relationships/hyperlink" Target="mailto:Glyn.Wittwer@vu.edu.au" TargetMode="External"/><Relationship Id="rId5" Type="http://schemas.openxmlformats.org/officeDocument/2006/relationships/webSettings" Target="webSettings.xml"/><Relationship Id="rId61" Type="http://schemas.openxmlformats.org/officeDocument/2006/relationships/image" Target="media/image26.wmf"/><Relationship Id="rId82" Type="http://schemas.openxmlformats.org/officeDocument/2006/relationships/image" Target="media/image38.emf"/><Relationship Id="rId90" Type="http://schemas.openxmlformats.org/officeDocument/2006/relationships/hyperlink" Target="https://papers.ssrn.com/sol3/papers.cfm?abstract_id=1599963" TargetMode="External"/><Relationship Id="rId19" Type="http://schemas.openxmlformats.org/officeDocument/2006/relationships/image" Target="media/image6.wmf"/><Relationship Id="rId14" Type="http://schemas.openxmlformats.org/officeDocument/2006/relationships/image" Target="media/image3.emf"/><Relationship Id="rId22" Type="http://schemas.openxmlformats.org/officeDocument/2006/relationships/oleObject" Target="embeddings/oleObject7.bin"/><Relationship Id="rId27" Type="http://schemas.openxmlformats.org/officeDocument/2006/relationships/oleObject" Target="embeddings/oleObject9.bin"/><Relationship Id="rId30" Type="http://schemas.openxmlformats.org/officeDocument/2006/relationships/image" Target="media/image11.wmf"/><Relationship Id="rId35" Type="http://schemas.openxmlformats.org/officeDocument/2006/relationships/image" Target="media/image13.wmf"/><Relationship Id="rId43" Type="http://schemas.openxmlformats.org/officeDocument/2006/relationships/image" Target="media/image17.wmf"/><Relationship Id="rId48" Type="http://schemas.openxmlformats.org/officeDocument/2006/relationships/oleObject" Target="embeddings/oleObject20.bin"/><Relationship Id="rId56" Type="http://schemas.openxmlformats.org/officeDocument/2006/relationships/oleObject" Target="embeddings/oleObject24.bin"/><Relationship Id="rId64" Type="http://schemas.openxmlformats.org/officeDocument/2006/relationships/oleObject" Target="embeddings/oleObject28.bin"/><Relationship Id="rId69" Type="http://schemas.openxmlformats.org/officeDocument/2006/relationships/image" Target="media/image30.wmf"/><Relationship Id="rId77" Type="http://schemas.openxmlformats.org/officeDocument/2006/relationships/image" Target="media/image33.emf"/><Relationship Id="rId8" Type="http://schemas.openxmlformats.org/officeDocument/2006/relationships/footer" Target="footer1.xml"/><Relationship Id="rId51" Type="http://schemas.openxmlformats.org/officeDocument/2006/relationships/image" Target="media/image21.wmf"/><Relationship Id="rId72" Type="http://schemas.openxmlformats.org/officeDocument/2006/relationships/oleObject" Target="embeddings/oleObject33.bin"/><Relationship Id="rId80" Type="http://schemas.openxmlformats.org/officeDocument/2006/relationships/image" Target="media/image36.emf"/><Relationship Id="rId85" Type="http://schemas.openxmlformats.org/officeDocument/2006/relationships/image" Target="media/image41.emf"/><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image" Target="media/image5.wmf"/><Relationship Id="rId25" Type="http://schemas.openxmlformats.org/officeDocument/2006/relationships/hyperlink" Target="http://www2.census.gov/acs2011_1yr/CD113/" TargetMode="External"/><Relationship Id="rId33" Type="http://schemas.openxmlformats.org/officeDocument/2006/relationships/image" Target="media/image12.wmf"/><Relationship Id="rId38" Type="http://schemas.openxmlformats.org/officeDocument/2006/relationships/oleObject" Target="embeddings/oleObject15.bin"/><Relationship Id="rId46" Type="http://schemas.openxmlformats.org/officeDocument/2006/relationships/oleObject" Target="embeddings/oleObject19.bin"/><Relationship Id="rId59" Type="http://schemas.openxmlformats.org/officeDocument/2006/relationships/image" Target="media/image25.wmf"/><Relationship Id="rId67" Type="http://schemas.openxmlformats.org/officeDocument/2006/relationships/image" Target="media/image29.wmf"/><Relationship Id="rId20" Type="http://schemas.openxmlformats.org/officeDocument/2006/relationships/oleObject" Target="embeddings/oleObject6.bin"/><Relationship Id="rId41" Type="http://schemas.openxmlformats.org/officeDocument/2006/relationships/image" Target="media/image16.wmf"/><Relationship Id="rId54" Type="http://schemas.openxmlformats.org/officeDocument/2006/relationships/oleObject" Target="embeddings/oleObject23.bin"/><Relationship Id="rId62" Type="http://schemas.openxmlformats.org/officeDocument/2006/relationships/oleObject" Target="embeddings/oleObject27.bin"/><Relationship Id="rId70" Type="http://schemas.openxmlformats.org/officeDocument/2006/relationships/oleObject" Target="embeddings/oleObject31.bin"/><Relationship Id="rId75" Type="http://schemas.openxmlformats.org/officeDocument/2006/relationships/image" Target="media/image31.emf"/><Relationship Id="rId83" Type="http://schemas.openxmlformats.org/officeDocument/2006/relationships/image" Target="media/image39.emf"/><Relationship Id="rId88" Type="http://schemas.openxmlformats.org/officeDocument/2006/relationships/hyperlink" Target="mailto:Michael.Jerie@vu.edu.au" TargetMode="External"/><Relationship Id="rId91" Type="http://schemas.openxmlformats.org/officeDocument/2006/relationships/hyperlink" Target="http://www.theglobalist.com/the-cost-of-a-human-life-statistically-speakin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image" Target="media/image10.wmf"/><Relationship Id="rId36" Type="http://schemas.openxmlformats.org/officeDocument/2006/relationships/oleObject" Target="embeddings/oleObject14.bin"/><Relationship Id="rId49" Type="http://schemas.openxmlformats.org/officeDocument/2006/relationships/image" Target="media/image20.wmf"/><Relationship Id="rId57" Type="http://schemas.openxmlformats.org/officeDocument/2006/relationships/image" Target="media/image24.wmf"/><Relationship Id="rId10" Type="http://schemas.openxmlformats.org/officeDocument/2006/relationships/oleObject" Target="embeddings/oleObject1.bin"/><Relationship Id="rId31" Type="http://schemas.openxmlformats.org/officeDocument/2006/relationships/oleObject" Target="embeddings/oleObject11.bin"/><Relationship Id="rId44" Type="http://schemas.openxmlformats.org/officeDocument/2006/relationships/oleObject" Target="embeddings/oleObject18.bin"/><Relationship Id="rId52" Type="http://schemas.openxmlformats.org/officeDocument/2006/relationships/oleObject" Target="embeddings/oleObject22.bin"/><Relationship Id="rId60" Type="http://schemas.openxmlformats.org/officeDocument/2006/relationships/oleObject" Target="embeddings/oleObject26.bin"/><Relationship Id="rId65" Type="http://schemas.openxmlformats.org/officeDocument/2006/relationships/image" Target="media/image28.wmf"/><Relationship Id="rId73" Type="http://schemas.openxmlformats.org/officeDocument/2006/relationships/oleObject" Target="embeddings/oleObject34.bin"/><Relationship Id="rId78" Type="http://schemas.openxmlformats.org/officeDocument/2006/relationships/image" Target="media/image34.emf"/><Relationship Id="rId81" Type="http://schemas.openxmlformats.org/officeDocument/2006/relationships/image" Target="media/image37.emf"/><Relationship Id="rId86" Type="http://schemas.openxmlformats.org/officeDocument/2006/relationships/image" Target="media/image42.emf"/><Relationship Id="rId4" Type="http://schemas.openxmlformats.org/officeDocument/2006/relationships/settings" Target="settings.xml"/><Relationship Id="rId9" Type="http://schemas.openxmlformats.org/officeDocument/2006/relationships/image" Target="media/image1.wmf"/></Relationships>
</file>

<file path=word/_rels/footnotes.xml.rels><?xml version="1.0" encoding="UTF-8" standalone="yes"?>
<Relationships xmlns="http://schemas.openxmlformats.org/package/2006/relationships"><Relationship Id="rId3" Type="http://schemas.openxmlformats.org/officeDocument/2006/relationships/hyperlink" Target="https://www.transportation.gov/sites/dot.gov/files/docs/VSL%20Guidance%202016.pdf" TargetMode="External"/><Relationship Id="rId2" Type="http://schemas.openxmlformats.org/officeDocument/2006/relationships/hyperlink" Target="https://www.federalregister.gov/documents/2011/02/11/2011-3044/discount-rates-for-cost-effectiveness-analysis-of-federal-programs" TargetMode="External"/><Relationship Id="rId1" Type="http://schemas.openxmlformats.org/officeDocument/2006/relationships/hyperlink" Target="http://www2.census.gov/econ2010/CBP_CSV/" TargetMode="External"/><Relationship Id="rId4" Type="http://schemas.openxmlformats.org/officeDocument/2006/relationships/hyperlink" Target="http://www.census.gov/geo/maps-data/data/gazetteer201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26D075-E0A6-4FC3-A3DE-389E3B14E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82</Pages>
  <Words>27120</Words>
  <Characters>169234</Characters>
  <Application>Microsoft Office Word</Application>
  <DocSecurity>0</DocSecurity>
  <Lines>6044</Lines>
  <Paragraphs>2310</Paragraphs>
  <ScaleCrop>false</ScaleCrop>
  <HeadingPairs>
    <vt:vector size="2" baseType="variant">
      <vt:variant>
        <vt:lpstr>Title</vt:lpstr>
      </vt:variant>
      <vt:variant>
        <vt:i4>1</vt:i4>
      </vt:variant>
    </vt:vector>
  </HeadingPairs>
  <TitlesOfParts>
    <vt:vector size="1" baseType="lpstr">
      <vt:lpstr/>
    </vt:vector>
  </TitlesOfParts>
  <Company>Victoria University</Company>
  <LinksUpToDate>false</LinksUpToDate>
  <CharactersWithSpaces>194044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 University</dc:creator>
  <cp:lastModifiedBy>Peter Dixon</cp:lastModifiedBy>
  <cp:revision>3</cp:revision>
  <cp:lastPrinted>2017-03-06T06:37:00Z</cp:lastPrinted>
  <dcterms:created xsi:type="dcterms:W3CDTF">2017-04-08T00:54:00Z</dcterms:created>
  <dcterms:modified xsi:type="dcterms:W3CDTF">2017-04-08T02:01:00Z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