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805" w:rsidRPr="001629C2" w:rsidRDefault="001629C2">
      <w:pPr>
        <w:rPr>
          <w:b/>
        </w:rPr>
      </w:pPr>
      <w:r w:rsidRPr="001629C2">
        <w:rPr>
          <w:b/>
        </w:rPr>
        <w:t xml:space="preserve">Policy drivers of </w:t>
      </w:r>
      <w:r>
        <w:rPr>
          <w:b/>
        </w:rPr>
        <w:t xml:space="preserve">agro-food </w:t>
      </w:r>
      <w:r w:rsidRPr="001629C2">
        <w:rPr>
          <w:b/>
        </w:rPr>
        <w:t>GVC participation</w:t>
      </w:r>
    </w:p>
    <w:p w:rsidR="001629C2" w:rsidRDefault="001629C2">
      <w:r>
        <w:t>J. Greenville, K. Kawasaki and D. Flaig</w:t>
      </w:r>
    </w:p>
    <w:p w:rsidR="001629C2" w:rsidRDefault="00F23E2D" w:rsidP="00B0069A">
      <w:pPr>
        <w:jc w:val="both"/>
      </w:pPr>
      <w:r>
        <w:t xml:space="preserve">Recent work </w:t>
      </w:r>
      <w:r w:rsidR="001629C2">
        <w:t>on agro-food global value chains (GVCs) has shown that there is significant variation in the participation both across agro-food sectors and across countries (Greenville</w:t>
      </w:r>
      <w:r w:rsidR="005A18B5">
        <w:t xml:space="preserve">, </w:t>
      </w:r>
      <w:r w:rsidR="005A18B5" w:rsidRPr="00030ADB">
        <w:t xml:space="preserve">Kawasaki </w:t>
      </w:r>
      <w:r w:rsidR="005A18B5" w:rsidRPr="00030ADB">
        <w:rPr>
          <w:lang w:eastAsia="ja-JP"/>
        </w:rPr>
        <w:t xml:space="preserve">and </w:t>
      </w:r>
      <w:proofErr w:type="spellStart"/>
      <w:r w:rsidR="005A18B5" w:rsidRPr="00030ADB">
        <w:t>Beaujeu</w:t>
      </w:r>
      <w:proofErr w:type="spellEnd"/>
      <w:r w:rsidR="001629C2">
        <w:t>, 2017a forthcoming). A large part of the observed differences is explained by structural and product characteristics, but not all. Large variations in regional participation and those within different sectors point to a strong influence of government policy on patterns of GVC engagement and the trade of agro-food products within GVCs.</w:t>
      </w:r>
    </w:p>
    <w:p w:rsidR="001629C2" w:rsidRDefault="00F23E2D" w:rsidP="00B0069A">
      <w:pPr>
        <w:jc w:val="both"/>
      </w:pPr>
      <w:r>
        <w:t xml:space="preserve">Greenville </w:t>
      </w:r>
      <w:r w:rsidR="00F740E5" w:rsidRPr="00030ADB">
        <w:t xml:space="preserve">Kawasaki </w:t>
      </w:r>
      <w:r w:rsidR="00F740E5" w:rsidRPr="00030ADB">
        <w:rPr>
          <w:lang w:eastAsia="ja-JP"/>
        </w:rPr>
        <w:t xml:space="preserve">and </w:t>
      </w:r>
      <w:proofErr w:type="spellStart"/>
      <w:r w:rsidR="00F740E5" w:rsidRPr="00030ADB">
        <w:t>Beaujeu</w:t>
      </w:r>
      <w:proofErr w:type="spellEnd"/>
      <w:r w:rsidR="00F740E5">
        <w:t xml:space="preserve">, </w:t>
      </w:r>
      <w:r>
        <w:t>(2017a) show</w:t>
      </w:r>
      <w:r w:rsidR="001629C2">
        <w:t xml:space="preserve"> that both trade and domestic agricultural policies influence participation and the benefits derived from that participation. Restrictive and distortive trade and domestic policies have negative influences on agro-food GVCs, including those in areas outside agriculture such as those related to services trade (</w:t>
      </w:r>
      <w:r w:rsidR="005A18B5">
        <w:t xml:space="preserve">Greenville, </w:t>
      </w:r>
      <w:r w:rsidR="005A18B5" w:rsidRPr="00030ADB">
        <w:t xml:space="preserve">Kawasaki </w:t>
      </w:r>
      <w:r w:rsidR="005A18B5" w:rsidRPr="00030ADB">
        <w:rPr>
          <w:lang w:eastAsia="ja-JP"/>
        </w:rPr>
        <w:t xml:space="preserve">and </w:t>
      </w:r>
      <w:proofErr w:type="spellStart"/>
      <w:r w:rsidR="005A18B5" w:rsidRPr="00030ADB">
        <w:t>Beaujeu</w:t>
      </w:r>
      <w:proofErr w:type="spellEnd"/>
      <w:r w:rsidR="001629C2">
        <w:t>, 2017</w:t>
      </w:r>
      <w:r w:rsidR="00F740E5">
        <w:t>a</w:t>
      </w:r>
      <w:r w:rsidR="001629C2">
        <w:t xml:space="preserve"> forthcoming). </w:t>
      </w:r>
      <w:r w:rsidR="001629C2" w:rsidRPr="001629C2">
        <w:t xml:space="preserve">However, </w:t>
      </w:r>
      <w:r>
        <w:t>the relation</w:t>
      </w:r>
      <w:r w:rsidR="00F740E5">
        <w:t>ship</w:t>
      </w:r>
      <w:r>
        <w:t xml:space="preserve"> between </w:t>
      </w:r>
      <w:r w:rsidR="001629C2" w:rsidRPr="004E43E5">
        <w:t xml:space="preserve">the effects of </w:t>
      </w:r>
      <w:r w:rsidR="001629C2" w:rsidRPr="004E43E5">
        <w:rPr>
          <w:i/>
        </w:rPr>
        <w:t>reforms</w:t>
      </w:r>
      <w:r w:rsidR="001629C2" w:rsidRPr="004E43E5">
        <w:t xml:space="preserve"> to agricultural trade and domestic policies </w:t>
      </w:r>
      <w:r>
        <w:t>and</w:t>
      </w:r>
      <w:r w:rsidRPr="004E43E5">
        <w:t xml:space="preserve"> </w:t>
      </w:r>
      <w:r w:rsidR="001629C2" w:rsidRPr="004E43E5">
        <w:t>GVC related outcomes</w:t>
      </w:r>
      <w:r>
        <w:t xml:space="preserve"> remains unclear</w:t>
      </w:r>
      <w:r w:rsidR="001629C2">
        <w:t xml:space="preserve">. </w:t>
      </w:r>
    </w:p>
    <w:p w:rsidR="00853E87" w:rsidRDefault="001629C2" w:rsidP="00B0069A">
      <w:pPr>
        <w:jc w:val="both"/>
      </w:pPr>
      <w:r>
        <w:t>Measuring policy reforms on agricultural trade and economies has been extensively studie</w:t>
      </w:r>
      <w:r w:rsidR="00196A2D">
        <w:t>d</w:t>
      </w:r>
      <w:r>
        <w:t xml:space="preserve"> through applications of various </w:t>
      </w:r>
      <w:r w:rsidRPr="00D46EE5">
        <w:t>computable general equilibrium (CGE) models</w:t>
      </w:r>
      <w:r>
        <w:t xml:space="preserve"> (see, for example but not limited to</w:t>
      </w:r>
      <w:r w:rsidR="005A18B5">
        <w:t xml:space="preserve">: </w:t>
      </w:r>
      <w:proofErr w:type="spellStart"/>
      <w:r w:rsidRPr="0051507E">
        <w:t>Bouët</w:t>
      </w:r>
      <w:proofErr w:type="spellEnd"/>
      <w:r w:rsidRPr="0051507E">
        <w:t xml:space="preserve"> et al.</w:t>
      </w:r>
      <w:r>
        <w:t>,</w:t>
      </w:r>
      <w:r w:rsidRPr="0051507E">
        <w:t xml:space="preserve"> 2005</w:t>
      </w:r>
      <w:r>
        <w:t xml:space="preserve">; </w:t>
      </w:r>
      <w:r w:rsidR="00853E87" w:rsidRPr="0051507E">
        <w:t>Franco</w:t>
      </w:r>
      <w:r w:rsidR="00853E87">
        <w:t xml:space="preserve">is, van </w:t>
      </w:r>
      <w:proofErr w:type="spellStart"/>
      <w:r w:rsidR="00853E87">
        <w:t>Meijl</w:t>
      </w:r>
      <w:proofErr w:type="spellEnd"/>
      <w:r w:rsidR="00853E87">
        <w:t xml:space="preserve"> and van </w:t>
      </w:r>
      <w:proofErr w:type="spellStart"/>
      <w:r w:rsidR="00853E87">
        <w:t>Tongeren</w:t>
      </w:r>
      <w:proofErr w:type="spellEnd"/>
      <w:r w:rsidR="00853E87">
        <w:t xml:space="preserve"> </w:t>
      </w:r>
      <w:r w:rsidR="00853E87" w:rsidRPr="0051507E">
        <w:t>2005</w:t>
      </w:r>
      <w:r w:rsidR="00853E87">
        <w:t xml:space="preserve">; </w:t>
      </w:r>
      <w:proofErr w:type="spellStart"/>
      <w:r w:rsidRPr="0051507E">
        <w:t>Tokarick</w:t>
      </w:r>
      <w:proofErr w:type="spellEnd"/>
      <w:r>
        <w:t>,</w:t>
      </w:r>
      <w:r w:rsidRPr="0051507E">
        <w:t xml:space="preserve"> 2008</w:t>
      </w:r>
      <w:r>
        <w:t>;</w:t>
      </w:r>
      <w:r w:rsidRPr="0051507E">
        <w:t xml:space="preserve"> </w:t>
      </w:r>
      <w:proofErr w:type="spellStart"/>
      <w:r w:rsidR="00853E87">
        <w:t>Bouët</w:t>
      </w:r>
      <w:proofErr w:type="spellEnd"/>
      <w:r w:rsidR="00853E87">
        <w:t xml:space="preserve"> and Laborde, </w:t>
      </w:r>
      <w:r w:rsidR="00853E87" w:rsidRPr="0051507E">
        <w:t>2009</w:t>
      </w:r>
      <w:r w:rsidR="00853E87">
        <w:t xml:space="preserve">; </w:t>
      </w:r>
      <w:r>
        <w:t>Anderson, Cockburn and Martin</w:t>
      </w:r>
      <w:r w:rsidR="00853E87">
        <w:t xml:space="preserve">, </w:t>
      </w:r>
      <w:r w:rsidRPr="0051507E">
        <w:t>2011</w:t>
      </w:r>
      <w:r w:rsidR="00853E87">
        <w:t xml:space="preserve">; </w:t>
      </w:r>
      <w:r w:rsidRPr="0051507E">
        <w:t>OECD, 20</w:t>
      </w:r>
      <w:r w:rsidR="00853E87">
        <w:t>1</w:t>
      </w:r>
      <w:r w:rsidRPr="0051507E">
        <w:t>6</w:t>
      </w:r>
      <w:r w:rsidR="005A18B5">
        <w:t>;</w:t>
      </w:r>
      <w:r w:rsidR="00853E87">
        <w:t xml:space="preserve">2006). However, the links between reforms of the way in which agro-food products are traded through GVCs and subsequent changes in GVC patterns have not been explored. </w:t>
      </w:r>
    </w:p>
    <w:p w:rsidR="001629C2" w:rsidRDefault="00853E87" w:rsidP="00B0069A">
      <w:pPr>
        <w:jc w:val="both"/>
      </w:pPr>
      <w:r>
        <w:t xml:space="preserve">Recent analysis by the OECD (2016) has shown that trade reforms can influence the agro-food GVC trade in aggregate, </w:t>
      </w:r>
      <w:r w:rsidR="00F23E2D">
        <w:t xml:space="preserve">but the effects differ </w:t>
      </w:r>
      <w:r w:rsidR="00CB7181">
        <w:t xml:space="preserve">at the country level. </w:t>
      </w:r>
      <w:r>
        <w:t xml:space="preserve">Assessments of various levels of trade reform found </w:t>
      </w:r>
      <w:r w:rsidRPr="00853E87">
        <w:t>that trade in intermediate products between developing countries is most hampered by current policies and thereby the development of GVCs in these countries could be significantly hampered in the absence of reform</w:t>
      </w:r>
      <w:r>
        <w:t xml:space="preserve"> (OECD, 2016)</w:t>
      </w:r>
      <w:r w:rsidRPr="00853E87">
        <w:t>.</w:t>
      </w:r>
    </w:p>
    <w:p w:rsidR="00853E87" w:rsidRDefault="00CB7181" w:rsidP="00F930A7">
      <w:pPr>
        <w:jc w:val="both"/>
      </w:pPr>
      <w:r>
        <w:t>T</w:t>
      </w:r>
      <w:r w:rsidR="00853E87">
        <w:t xml:space="preserve">his study seeks to explore the effects of policy reform on GVC participation and the benefits created from doing so across 18 agro-food sectors and across a range of different countries. </w:t>
      </w:r>
      <w:r w:rsidR="00F930A7">
        <w:t xml:space="preserve">To gain better insight into the impact of reform, while considering the general equilibrium effects created, this study </w:t>
      </w:r>
      <w:r w:rsidR="00196A2D">
        <w:t>uses</w:t>
      </w:r>
      <w:r w:rsidR="00F930A7">
        <w:t xml:space="preserve"> </w:t>
      </w:r>
      <w:r w:rsidR="00196A2D">
        <w:t>the</w:t>
      </w:r>
      <w:r>
        <w:t xml:space="preserve"> </w:t>
      </w:r>
      <w:r w:rsidR="00F930A7">
        <w:t xml:space="preserve">OECD METRO model </w:t>
      </w:r>
      <w:r>
        <w:t xml:space="preserve">(OECD, 2015) </w:t>
      </w:r>
      <w:r w:rsidR="00F930A7">
        <w:t>t</w:t>
      </w:r>
      <w:bookmarkStart w:id="0" w:name="_GoBack"/>
      <w:bookmarkEnd w:id="0"/>
      <w:r w:rsidR="00F930A7">
        <w:t xml:space="preserve">o explore the effects of agricultural trade and domestic policy reform on GVC participation, employment and domestic value added creation. The approach will be to construct various reform scenarios, evaluate them in the context of the CGE model, and using the updated trade and production results, determine the impact on GVC participation, employment and domestic value added by comparing the base ICIO with the post reform ICIO (constructing the ICIO following the approach set out in </w:t>
      </w:r>
      <w:r w:rsidR="005A18B5">
        <w:t xml:space="preserve">Greenville, </w:t>
      </w:r>
      <w:r w:rsidR="005A18B5" w:rsidRPr="00030ADB">
        <w:t xml:space="preserve">Kawasaki </w:t>
      </w:r>
      <w:r w:rsidR="005A18B5" w:rsidRPr="00030ADB">
        <w:rPr>
          <w:lang w:eastAsia="ja-JP"/>
        </w:rPr>
        <w:t xml:space="preserve">and </w:t>
      </w:r>
      <w:proofErr w:type="spellStart"/>
      <w:r w:rsidR="005A18B5" w:rsidRPr="00030ADB">
        <w:t>Beaujeu</w:t>
      </w:r>
      <w:proofErr w:type="spellEnd"/>
      <w:r w:rsidR="00F930A7">
        <w:t>, 2017b forthcoming).</w:t>
      </w:r>
    </w:p>
    <w:p w:rsidR="00F23E2D" w:rsidRDefault="00CB7181" w:rsidP="00F23E2D">
      <w:pPr>
        <w:jc w:val="both"/>
      </w:pPr>
      <w:r>
        <w:t xml:space="preserve">The analysis considers </w:t>
      </w:r>
      <w:r w:rsidR="00F23E2D">
        <w:t>a range of differing policy reforms</w:t>
      </w:r>
      <w:r>
        <w:t>,</w:t>
      </w:r>
      <w:r w:rsidR="00F23E2D">
        <w:t xml:space="preserve"> focus</w:t>
      </w:r>
      <w:r>
        <w:t>sing</w:t>
      </w:r>
      <w:r w:rsidR="00F23E2D">
        <w:t xml:space="preserve"> on reforms to agricultural trade and domestic support policies (a range from full liberalisation to partial reforms with varying degrees of developing country involvement)</w:t>
      </w:r>
      <w:r>
        <w:t>.</w:t>
      </w:r>
      <w:r w:rsidR="00F23E2D">
        <w:t xml:space="preserve"> Reforms to trade policies in other sectors of the economy </w:t>
      </w:r>
      <w:r w:rsidR="001F55EA">
        <w:t>are also included.</w:t>
      </w:r>
      <w:r w:rsidR="00F23E2D">
        <w:t xml:space="preserve"> These scenarios </w:t>
      </w:r>
      <w:r w:rsidR="001F55EA">
        <w:t>are</w:t>
      </w:r>
      <w:r w:rsidR="00F23E2D">
        <w:t xml:space="preserve"> explored as a combination of separate and additive reform </w:t>
      </w:r>
      <w:r w:rsidR="00F23E2D">
        <w:lastRenderedPageBreak/>
        <w:t>experiments</w:t>
      </w:r>
      <w:r w:rsidR="001F55EA">
        <w:t>, i</w:t>
      </w:r>
      <w:r w:rsidR="00F23E2D">
        <w:t xml:space="preserve">n particular, </w:t>
      </w:r>
      <w:r w:rsidR="001F55EA">
        <w:t>combining</w:t>
      </w:r>
      <w:r w:rsidR="00F23E2D">
        <w:t xml:space="preserve"> the agricultural trade and domestic support reform scenarios </w:t>
      </w:r>
      <w:r w:rsidR="001F55EA">
        <w:t>(</w:t>
      </w:r>
      <w:r w:rsidR="00F23E2D">
        <w:t>with and without trade reforms in sectors outside of agriculture</w:t>
      </w:r>
      <w:r w:rsidR="001F55EA">
        <w:t>)</w:t>
      </w:r>
      <w:r w:rsidR="00F23E2D">
        <w:t xml:space="preserve">. </w:t>
      </w:r>
    </w:p>
    <w:p w:rsidR="00196A2D" w:rsidRDefault="00196A2D" w:rsidP="00196A2D">
      <w:pPr>
        <w:jc w:val="both"/>
      </w:pPr>
      <w:r>
        <w:t xml:space="preserve">GVC participation is explored through estimates of </w:t>
      </w:r>
      <w:r w:rsidR="00F740E5">
        <w:t>‘</w:t>
      </w:r>
      <w:r>
        <w:t>vertical specialisation</w:t>
      </w:r>
      <w:r w:rsidR="00F740E5">
        <w:t>’</w:t>
      </w:r>
      <w:r>
        <w:t xml:space="preserve"> and domestic value added generation from GVC participation. To date, different approaches have been used to characterise the participation of a country in GVCs. The most commonly applied approach is that to calculate an indicator of vertical specialisation. This indicator was first described by </w:t>
      </w:r>
      <w:proofErr w:type="spellStart"/>
      <w:r>
        <w:t>Hummels</w:t>
      </w:r>
      <w:proofErr w:type="spellEnd"/>
      <w:r>
        <w:t xml:space="preserve"> et al. (2001) and later refined by </w:t>
      </w:r>
      <w:proofErr w:type="spellStart"/>
      <w:r>
        <w:t>Koopman</w:t>
      </w:r>
      <w:proofErr w:type="spellEnd"/>
      <w:r>
        <w:t xml:space="preserve"> et al. (2011). This approach defines value chain participation in terms of the origin of the value added embodied in exports both looking backward and forward from a reference country: backward when it comes to foreign value added embodied in exports; and forward when relates to domestic value added used as inputs to produce exports in the destination country. Such indicators have been calculated by using harmonised systems of inter-country input-output tables (ICIOs) (as in </w:t>
      </w:r>
      <w:proofErr w:type="spellStart"/>
      <w:r>
        <w:t>Timmer</w:t>
      </w:r>
      <w:proofErr w:type="spellEnd"/>
      <w:r>
        <w:t xml:space="preserve"> et al. 2012; OECD 2013a; OECD 2013b; and UNCTAD 2013). The OECD </w:t>
      </w:r>
      <w:proofErr w:type="spellStart"/>
      <w:r>
        <w:t>TiVA</w:t>
      </w:r>
      <w:proofErr w:type="spellEnd"/>
      <w:r>
        <w:t xml:space="preserve"> database released in 2013 and updated in 2015 is based on this approach and provides, amongst other indicators, a decomposition of gross trade flows into various types of foreign and domestic value added. These indicators, however, have limitations. They represent average results for industries with often very heterogeneous firm structures (or farm types) with some firms solely serving domestic markets and others specialising in exports. </w:t>
      </w:r>
    </w:p>
    <w:p w:rsidR="00196A2D" w:rsidRDefault="00196A2D" w:rsidP="00196A2D">
      <w:pPr>
        <w:jc w:val="both"/>
      </w:pPr>
      <w:r>
        <w:t>Broadly, the backward participation index is measured as the share of foreign value added that is included in the total export value of a country. The forward GVC participation index is measured as the share of a country’s value added arising from its own exports included in exports of other countries (both direct an</w:t>
      </w:r>
      <w:r w:rsidR="00F740E5">
        <w:t>d</w:t>
      </w:r>
      <w:r>
        <w:t xml:space="preserve"> indirect). The indexes measure very different forms of engagement. For example, a country that is predominantly assembling products into final goods and subsequently exporting these will have a strong backward participation index but a small forward participation measure. Conversely, a country which predominantly supplies intermediates to an assembler will have a strong forward participation indicator but a small backward participation measure. These participation measures therefore give us a metric of engagement in the form of buying from (backward participation) and selling to (forward participation) GVCs – in other words, the demand and supply sides of the value chain activity. Differences across countries in forward and backward participation can then be analysed to explore the structural and policy determinants that underpin engagement in GVCs.</w:t>
      </w:r>
    </w:p>
    <w:p w:rsidR="00287B5F" w:rsidRPr="00CA18A8" w:rsidRDefault="00287B5F" w:rsidP="00287B5F">
      <w:pPr>
        <w:spacing w:line="240" w:lineRule="auto"/>
        <w:jc w:val="both"/>
      </w:pPr>
      <w:r w:rsidRPr="00CA18A8">
        <w:rPr>
          <w:b/>
        </w:rPr>
        <w:t>References:</w:t>
      </w:r>
      <w:r w:rsidRPr="00CA18A8">
        <w:t xml:space="preserve"> </w:t>
      </w:r>
    </w:p>
    <w:p w:rsidR="00030ADB" w:rsidRPr="00030ADB" w:rsidRDefault="00030ADB" w:rsidP="00030ADB">
      <w:pPr>
        <w:pStyle w:val="Biblio-Entry"/>
        <w:spacing w:after="120"/>
        <w:rPr>
          <w:rFonts w:asciiTheme="minorHAnsi" w:hAnsiTheme="minorHAnsi"/>
        </w:rPr>
      </w:pPr>
      <w:r w:rsidRPr="00030ADB">
        <w:rPr>
          <w:rFonts w:asciiTheme="minorHAnsi" w:hAnsiTheme="minorHAnsi"/>
        </w:rPr>
        <w:t xml:space="preserve">Anderson, K., J. Cockburn and W. Martin (2011), “Would Freeing up World Trade Reduce Poverty and Inequality? The Vexed Role of Agricultural Distortions”, </w:t>
      </w:r>
      <w:proofErr w:type="gramStart"/>
      <w:r w:rsidRPr="00030ADB">
        <w:rPr>
          <w:rFonts w:asciiTheme="minorHAnsi" w:hAnsiTheme="minorHAnsi"/>
          <w:i/>
        </w:rPr>
        <w:t>The</w:t>
      </w:r>
      <w:proofErr w:type="gramEnd"/>
      <w:r w:rsidRPr="00030ADB">
        <w:rPr>
          <w:rFonts w:asciiTheme="minorHAnsi" w:hAnsiTheme="minorHAnsi"/>
          <w:i/>
        </w:rPr>
        <w:t xml:space="preserve"> World Economy</w:t>
      </w:r>
      <w:r w:rsidRPr="00030ADB">
        <w:rPr>
          <w:rFonts w:asciiTheme="minorHAnsi" w:hAnsiTheme="minorHAnsi"/>
        </w:rPr>
        <w:t>, Vol. 34/4, Wiley, New Jersey, pp. 487-515.</w:t>
      </w:r>
    </w:p>
    <w:p w:rsidR="00030ADB" w:rsidRPr="00030ADB" w:rsidRDefault="00030ADB" w:rsidP="00030ADB">
      <w:pPr>
        <w:pStyle w:val="Biblio-Entry"/>
        <w:spacing w:after="120"/>
        <w:rPr>
          <w:rFonts w:asciiTheme="minorHAnsi" w:hAnsiTheme="minorHAnsi"/>
        </w:rPr>
      </w:pPr>
      <w:proofErr w:type="spellStart"/>
      <w:proofErr w:type="gramStart"/>
      <w:r w:rsidRPr="00030ADB">
        <w:rPr>
          <w:rFonts w:asciiTheme="minorHAnsi" w:hAnsiTheme="minorHAnsi"/>
        </w:rPr>
        <w:t>Bouët</w:t>
      </w:r>
      <w:proofErr w:type="spellEnd"/>
      <w:r w:rsidRPr="00030ADB">
        <w:rPr>
          <w:rFonts w:asciiTheme="minorHAnsi" w:hAnsiTheme="minorHAnsi"/>
        </w:rPr>
        <w:t xml:space="preserve">, A. and D. </w:t>
      </w:r>
      <w:proofErr w:type="spellStart"/>
      <w:r w:rsidRPr="00030ADB">
        <w:rPr>
          <w:rFonts w:asciiTheme="minorHAnsi" w:hAnsiTheme="minorHAnsi"/>
        </w:rPr>
        <w:t>Larborde</w:t>
      </w:r>
      <w:proofErr w:type="spellEnd"/>
      <w:r w:rsidRPr="00030ADB">
        <w:rPr>
          <w:rFonts w:asciiTheme="minorHAnsi" w:hAnsiTheme="minorHAnsi"/>
        </w:rPr>
        <w:t xml:space="preserve"> (2009), “The Potential Cost of a Failed Doha Round”, </w:t>
      </w:r>
      <w:r w:rsidRPr="00030ADB">
        <w:rPr>
          <w:rFonts w:asciiTheme="minorHAnsi" w:hAnsiTheme="minorHAnsi"/>
          <w:i/>
        </w:rPr>
        <w:t>IFPRI Discussion Paper</w:t>
      </w:r>
      <w:r w:rsidRPr="00030ADB">
        <w:rPr>
          <w:rFonts w:asciiTheme="minorHAnsi" w:hAnsiTheme="minorHAnsi"/>
        </w:rPr>
        <w:t>, No. 00886, IFPRI, Washington, DC.</w:t>
      </w:r>
      <w:proofErr w:type="gramEnd"/>
    </w:p>
    <w:p w:rsidR="00030ADB" w:rsidRPr="00030ADB" w:rsidRDefault="00030ADB" w:rsidP="00030ADB">
      <w:pPr>
        <w:pStyle w:val="Biblio-Entry"/>
        <w:spacing w:after="120"/>
        <w:rPr>
          <w:rFonts w:asciiTheme="minorHAnsi" w:hAnsiTheme="minorHAnsi"/>
        </w:rPr>
      </w:pPr>
      <w:proofErr w:type="spellStart"/>
      <w:proofErr w:type="gramStart"/>
      <w:r w:rsidRPr="00030ADB">
        <w:rPr>
          <w:rFonts w:asciiTheme="minorHAnsi" w:hAnsiTheme="minorHAnsi"/>
        </w:rPr>
        <w:t>Bouët</w:t>
      </w:r>
      <w:proofErr w:type="spellEnd"/>
      <w:r w:rsidRPr="00030ADB">
        <w:rPr>
          <w:rFonts w:asciiTheme="minorHAnsi" w:hAnsiTheme="minorHAnsi"/>
        </w:rPr>
        <w:t>, A., J-C.</w:t>
      </w:r>
      <w:proofErr w:type="gramEnd"/>
      <w:r w:rsidRPr="00030ADB">
        <w:rPr>
          <w:rFonts w:asciiTheme="minorHAnsi" w:hAnsiTheme="minorHAnsi"/>
        </w:rPr>
        <w:t xml:space="preserve"> Bureau, Y. </w:t>
      </w:r>
      <w:proofErr w:type="spellStart"/>
      <w:r w:rsidRPr="00030ADB">
        <w:rPr>
          <w:rFonts w:asciiTheme="minorHAnsi" w:hAnsiTheme="minorHAnsi"/>
        </w:rPr>
        <w:t>Becreux</w:t>
      </w:r>
      <w:proofErr w:type="spellEnd"/>
      <w:r w:rsidRPr="00030ADB">
        <w:rPr>
          <w:rFonts w:asciiTheme="minorHAnsi" w:hAnsiTheme="minorHAnsi"/>
        </w:rPr>
        <w:t xml:space="preserve"> and S. Jean (2005), “Multilateral Agricultural Trade Liberalisation: The Contrasting Fortunes of Developing Countries in the Doha Round”, </w:t>
      </w:r>
      <w:proofErr w:type="gramStart"/>
      <w:r w:rsidRPr="00030ADB">
        <w:rPr>
          <w:rFonts w:asciiTheme="minorHAnsi" w:hAnsiTheme="minorHAnsi"/>
          <w:i/>
        </w:rPr>
        <w:t>The</w:t>
      </w:r>
      <w:proofErr w:type="gramEnd"/>
      <w:r w:rsidRPr="00030ADB">
        <w:rPr>
          <w:rFonts w:asciiTheme="minorHAnsi" w:hAnsiTheme="minorHAnsi"/>
          <w:i/>
        </w:rPr>
        <w:t xml:space="preserve"> World Economy, </w:t>
      </w:r>
      <w:r w:rsidRPr="00030ADB">
        <w:rPr>
          <w:rFonts w:asciiTheme="minorHAnsi" w:hAnsiTheme="minorHAnsi"/>
        </w:rPr>
        <w:t>Vol. 28/9, Wiley, New Jersey, pp. 1329-54.</w:t>
      </w:r>
    </w:p>
    <w:p w:rsidR="00030ADB" w:rsidRPr="00030ADB" w:rsidRDefault="00030ADB" w:rsidP="00030ADB">
      <w:pPr>
        <w:pStyle w:val="Biblio-Entry"/>
        <w:spacing w:after="120"/>
        <w:rPr>
          <w:rFonts w:asciiTheme="minorHAnsi" w:hAnsiTheme="minorHAnsi"/>
        </w:rPr>
      </w:pPr>
      <w:r w:rsidRPr="00030ADB">
        <w:rPr>
          <w:rFonts w:asciiTheme="minorHAnsi" w:hAnsiTheme="minorHAnsi"/>
        </w:rPr>
        <w:t xml:space="preserve">Francois, J., H. van </w:t>
      </w:r>
      <w:proofErr w:type="spellStart"/>
      <w:r w:rsidRPr="00030ADB">
        <w:rPr>
          <w:rFonts w:asciiTheme="minorHAnsi" w:hAnsiTheme="minorHAnsi"/>
        </w:rPr>
        <w:t>Meijl</w:t>
      </w:r>
      <w:proofErr w:type="spellEnd"/>
      <w:r w:rsidRPr="00030ADB">
        <w:rPr>
          <w:rFonts w:asciiTheme="minorHAnsi" w:hAnsiTheme="minorHAnsi"/>
        </w:rPr>
        <w:t xml:space="preserve"> and F. van </w:t>
      </w:r>
      <w:proofErr w:type="spellStart"/>
      <w:r w:rsidRPr="00030ADB">
        <w:rPr>
          <w:rFonts w:asciiTheme="minorHAnsi" w:hAnsiTheme="minorHAnsi"/>
        </w:rPr>
        <w:t>Tongeren</w:t>
      </w:r>
      <w:proofErr w:type="spellEnd"/>
      <w:r w:rsidRPr="00030ADB">
        <w:rPr>
          <w:rFonts w:asciiTheme="minorHAnsi" w:hAnsiTheme="minorHAnsi"/>
        </w:rPr>
        <w:t xml:space="preserve"> (2005), “Gauging the WTO Negotiation’s Potential Gains: Doha Round”, </w:t>
      </w:r>
      <w:r w:rsidRPr="00030ADB">
        <w:rPr>
          <w:rFonts w:asciiTheme="minorHAnsi" w:hAnsiTheme="minorHAnsi"/>
          <w:i/>
        </w:rPr>
        <w:t>Economic Policy</w:t>
      </w:r>
      <w:r w:rsidRPr="00030ADB">
        <w:rPr>
          <w:rFonts w:asciiTheme="minorHAnsi" w:hAnsiTheme="minorHAnsi"/>
        </w:rPr>
        <w:t>, Vol. 20/42, Oxford University Press, Oxford, pp. 349</w:t>
      </w:r>
      <w:r w:rsidRPr="00030ADB">
        <w:rPr>
          <w:rFonts w:asciiTheme="minorHAnsi" w:hAnsiTheme="minorHAnsi"/>
        </w:rPr>
        <w:noBreakHyphen/>
        <w:t>391.</w:t>
      </w:r>
    </w:p>
    <w:p w:rsidR="00030ADB" w:rsidRPr="00030ADB" w:rsidRDefault="00030ADB" w:rsidP="00030ADB">
      <w:pPr>
        <w:pStyle w:val="Biblio-Entry"/>
        <w:spacing w:after="120"/>
        <w:rPr>
          <w:rFonts w:asciiTheme="minorHAnsi" w:hAnsiTheme="minorHAnsi"/>
        </w:rPr>
      </w:pPr>
      <w:proofErr w:type="gramStart"/>
      <w:r w:rsidRPr="00030ADB">
        <w:rPr>
          <w:rFonts w:asciiTheme="minorHAnsi" w:hAnsiTheme="minorHAnsi"/>
        </w:rPr>
        <w:t xml:space="preserve">Greenville, J., K. Kawasaki </w:t>
      </w:r>
      <w:r w:rsidRPr="00030ADB">
        <w:rPr>
          <w:rFonts w:asciiTheme="minorHAnsi" w:hAnsiTheme="minorHAnsi"/>
          <w:lang w:eastAsia="ja-JP"/>
        </w:rPr>
        <w:t xml:space="preserve">and </w:t>
      </w:r>
      <w:r w:rsidRPr="00030ADB">
        <w:rPr>
          <w:rFonts w:asciiTheme="minorHAnsi" w:hAnsiTheme="minorHAnsi"/>
        </w:rPr>
        <w:t xml:space="preserve">R. </w:t>
      </w:r>
      <w:proofErr w:type="spellStart"/>
      <w:r w:rsidRPr="00030ADB">
        <w:rPr>
          <w:rFonts w:asciiTheme="minorHAnsi" w:hAnsiTheme="minorHAnsi"/>
        </w:rPr>
        <w:t>Beaujeu</w:t>
      </w:r>
      <w:proofErr w:type="spellEnd"/>
      <w:r w:rsidRPr="00030ADB">
        <w:rPr>
          <w:rFonts w:asciiTheme="minorHAnsi" w:hAnsiTheme="minorHAnsi"/>
        </w:rPr>
        <w:t xml:space="preserve"> (2017a, forthcoming), “GVC Participation in the Agriculture and Food Sectors”, </w:t>
      </w:r>
      <w:r w:rsidRPr="00030ADB">
        <w:rPr>
          <w:rFonts w:asciiTheme="minorHAnsi" w:hAnsiTheme="minorHAnsi"/>
          <w:i/>
        </w:rPr>
        <w:t>OECD Food, Agriculture and Fisheries Working Papers</w:t>
      </w:r>
      <w:r w:rsidRPr="00030ADB">
        <w:rPr>
          <w:rFonts w:asciiTheme="minorHAnsi" w:hAnsiTheme="minorHAnsi"/>
        </w:rPr>
        <w:t>, OECD Publishing, Paris.</w:t>
      </w:r>
      <w:proofErr w:type="gramEnd"/>
      <w:r w:rsidRPr="00030ADB">
        <w:rPr>
          <w:rFonts w:asciiTheme="minorHAnsi" w:hAnsiTheme="minorHAnsi"/>
        </w:rPr>
        <w:t xml:space="preserve"> </w:t>
      </w:r>
    </w:p>
    <w:p w:rsidR="00030ADB" w:rsidRPr="00030ADB" w:rsidRDefault="00030ADB" w:rsidP="00030ADB">
      <w:pPr>
        <w:pStyle w:val="Biblio-Entry"/>
        <w:spacing w:after="120"/>
        <w:rPr>
          <w:rFonts w:asciiTheme="minorHAnsi" w:hAnsiTheme="minorHAnsi"/>
        </w:rPr>
      </w:pPr>
      <w:proofErr w:type="gramStart"/>
      <w:r w:rsidRPr="00030ADB">
        <w:rPr>
          <w:rFonts w:asciiTheme="minorHAnsi" w:hAnsiTheme="minorHAnsi"/>
        </w:rPr>
        <w:t xml:space="preserve">Greenville, J., K. Kawasaki </w:t>
      </w:r>
      <w:r w:rsidRPr="00030ADB">
        <w:rPr>
          <w:rFonts w:asciiTheme="minorHAnsi" w:hAnsiTheme="minorHAnsi"/>
          <w:lang w:eastAsia="ja-JP"/>
        </w:rPr>
        <w:t xml:space="preserve">and </w:t>
      </w:r>
      <w:r w:rsidRPr="00030ADB">
        <w:rPr>
          <w:rFonts w:asciiTheme="minorHAnsi" w:hAnsiTheme="minorHAnsi"/>
        </w:rPr>
        <w:t xml:space="preserve">R. </w:t>
      </w:r>
      <w:proofErr w:type="spellStart"/>
      <w:r w:rsidRPr="00030ADB">
        <w:rPr>
          <w:rFonts w:asciiTheme="minorHAnsi" w:hAnsiTheme="minorHAnsi"/>
        </w:rPr>
        <w:t>Beaujeu</w:t>
      </w:r>
      <w:proofErr w:type="spellEnd"/>
      <w:r w:rsidRPr="00030ADB">
        <w:rPr>
          <w:rFonts w:asciiTheme="minorHAnsi" w:hAnsiTheme="minorHAnsi"/>
          <w:lang w:eastAsia="ja-JP"/>
        </w:rPr>
        <w:t xml:space="preserve"> </w:t>
      </w:r>
      <w:r w:rsidRPr="00030ADB">
        <w:rPr>
          <w:rFonts w:asciiTheme="minorHAnsi" w:hAnsiTheme="minorHAnsi"/>
        </w:rPr>
        <w:t xml:space="preserve">(2017b, forthcoming), “Estimating GVC Participation in the Agriculture and Food Sectors”, </w:t>
      </w:r>
      <w:r w:rsidRPr="00030ADB">
        <w:rPr>
          <w:rFonts w:asciiTheme="minorHAnsi" w:hAnsiTheme="minorHAnsi"/>
          <w:i/>
        </w:rPr>
        <w:t>OECD Food, Agriculture and Fisheries Working Papers</w:t>
      </w:r>
      <w:r w:rsidRPr="00030ADB">
        <w:rPr>
          <w:rFonts w:asciiTheme="minorHAnsi" w:hAnsiTheme="minorHAnsi"/>
        </w:rPr>
        <w:t>, OECD Publishing, Paris.</w:t>
      </w:r>
      <w:proofErr w:type="gramEnd"/>
    </w:p>
    <w:p w:rsidR="00030ADB" w:rsidRPr="00030ADB" w:rsidRDefault="00030ADB" w:rsidP="00030ADB">
      <w:pPr>
        <w:pStyle w:val="Biblio-Entry"/>
        <w:spacing w:after="120"/>
        <w:rPr>
          <w:rFonts w:asciiTheme="minorHAnsi" w:eastAsia="SimSun" w:hAnsiTheme="minorHAnsi"/>
        </w:rPr>
      </w:pPr>
      <w:proofErr w:type="spellStart"/>
      <w:proofErr w:type="gramStart"/>
      <w:r w:rsidRPr="00030ADB">
        <w:rPr>
          <w:rFonts w:asciiTheme="minorHAnsi" w:eastAsia="SimSun" w:hAnsiTheme="minorHAnsi"/>
        </w:rPr>
        <w:t>Hummels</w:t>
      </w:r>
      <w:proofErr w:type="spellEnd"/>
      <w:r w:rsidRPr="00030ADB">
        <w:rPr>
          <w:rFonts w:asciiTheme="minorHAnsi" w:eastAsia="SimSun" w:hAnsiTheme="minorHAnsi"/>
        </w:rPr>
        <w:t>, D., J. Ishii, and K.-M.</w:t>
      </w:r>
      <w:proofErr w:type="gramEnd"/>
      <w:r w:rsidRPr="00030ADB">
        <w:rPr>
          <w:rFonts w:asciiTheme="minorHAnsi" w:eastAsia="SimSun" w:hAnsiTheme="minorHAnsi"/>
        </w:rPr>
        <w:t xml:space="preserve"> Yi (2001), “The Nature and Growth of Vertical Specialization in</w:t>
      </w:r>
      <w:r w:rsidRPr="00030ADB">
        <w:rPr>
          <w:rFonts w:asciiTheme="minorHAnsi" w:hAnsiTheme="minorHAnsi"/>
          <w:lang w:eastAsia="ja-JP"/>
        </w:rPr>
        <w:t xml:space="preserve"> </w:t>
      </w:r>
      <w:r w:rsidRPr="00030ADB">
        <w:rPr>
          <w:rFonts w:asciiTheme="minorHAnsi" w:eastAsia="SimSun" w:hAnsiTheme="minorHAnsi"/>
        </w:rPr>
        <w:t xml:space="preserve">World Trade”, </w:t>
      </w:r>
      <w:r w:rsidRPr="00030ADB">
        <w:rPr>
          <w:rFonts w:asciiTheme="minorHAnsi" w:eastAsia="SimSun" w:hAnsiTheme="minorHAnsi"/>
          <w:i/>
        </w:rPr>
        <w:t>Journal of International Economics</w:t>
      </w:r>
      <w:r w:rsidRPr="00030ADB">
        <w:rPr>
          <w:rFonts w:asciiTheme="minorHAnsi" w:eastAsia="SimSun" w:hAnsiTheme="minorHAnsi"/>
        </w:rPr>
        <w:t>, Vol. 54(1), pp. 75–96.</w:t>
      </w:r>
    </w:p>
    <w:p w:rsidR="00030ADB" w:rsidRPr="00030ADB" w:rsidRDefault="00030ADB" w:rsidP="00030ADB">
      <w:pPr>
        <w:pStyle w:val="Biblio-Entry"/>
        <w:spacing w:after="120"/>
        <w:rPr>
          <w:rFonts w:asciiTheme="minorHAnsi" w:eastAsia="SimSun" w:hAnsiTheme="minorHAnsi"/>
        </w:rPr>
      </w:pPr>
      <w:proofErr w:type="spellStart"/>
      <w:proofErr w:type="gramStart"/>
      <w:r w:rsidRPr="00030ADB">
        <w:rPr>
          <w:rFonts w:asciiTheme="minorHAnsi" w:eastAsia="SimSun" w:hAnsiTheme="minorHAnsi"/>
        </w:rPr>
        <w:t>Koopman</w:t>
      </w:r>
      <w:proofErr w:type="spellEnd"/>
      <w:r w:rsidRPr="00030ADB">
        <w:rPr>
          <w:rFonts w:asciiTheme="minorHAnsi" w:eastAsia="SimSun" w:hAnsiTheme="minorHAnsi"/>
        </w:rPr>
        <w:t>, R., W. Powers, Z. Wang and S.-J.</w:t>
      </w:r>
      <w:proofErr w:type="gramEnd"/>
      <w:r w:rsidRPr="00030ADB">
        <w:rPr>
          <w:rFonts w:asciiTheme="minorHAnsi" w:eastAsia="SimSun" w:hAnsiTheme="minorHAnsi"/>
        </w:rPr>
        <w:t xml:space="preserve"> Wei (2011), “Give Credit Where Credit Is Due:</w:t>
      </w:r>
      <w:r w:rsidRPr="00030ADB">
        <w:rPr>
          <w:rFonts w:asciiTheme="minorHAnsi" w:hAnsiTheme="minorHAnsi"/>
          <w:lang w:eastAsia="ja-JP"/>
        </w:rPr>
        <w:t xml:space="preserve"> </w:t>
      </w:r>
      <w:r w:rsidRPr="00030ADB">
        <w:rPr>
          <w:rFonts w:asciiTheme="minorHAnsi" w:eastAsia="SimSun" w:hAnsiTheme="minorHAnsi"/>
        </w:rPr>
        <w:t xml:space="preserve">Tracing Value Added in Global Production Chains”, </w:t>
      </w:r>
      <w:r w:rsidRPr="00030ADB">
        <w:rPr>
          <w:rFonts w:asciiTheme="minorHAnsi" w:eastAsia="SimSun" w:hAnsiTheme="minorHAnsi"/>
          <w:i/>
        </w:rPr>
        <w:t>NBER Working Paper</w:t>
      </w:r>
      <w:r w:rsidRPr="00030ADB">
        <w:rPr>
          <w:rFonts w:asciiTheme="minorHAnsi" w:eastAsia="SimSun" w:hAnsiTheme="minorHAnsi"/>
        </w:rPr>
        <w:t>, No. 16426.</w:t>
      </w:r>
    </w:p>
    <w:p w:rsidR="00030ADB" w:rsidRPr="00030ADB" w:rsidRDefault="00030ADB" w:rsidP="00030ADB">
      <w:pPr>
        <w:pStyle w:val="Biblio-Entry"/>
        <w:spacing w:after="120"/>
        <w:rPr>
          <w:rFonts w:asciiTheme="minorHAnsi" w:hAnsiTheme="minorHAnsi"/>
        </w:rPr>
      </w:pPr>
      <w:r w:rsidRPr="00030ADB">
        <w:rPr>
          <w:rFonts w:asciiTheme="minorHAnsi" w:hAnsiTheme="minorHAnsi"/>
        </w:rPr>
        <w:t xml:space="preserve">OECD (2006), </w:t>
      </w:r>
      <w:r w:rsidRPr="00030ADB">
        <w:rPr>
          <w:rFonts w:asciiTheme="minorHAnsi" w:hAnsiTheme="minorHAnsi"/>
          <w:i/>
        </w:rPr>
        <w:t>Agricultural Policy and Trade Reform: Potential Effects at Global, National and Household Levels</w:t>
      </w:r>
      <w:r w:rsidRPr="00030ADB">
        <w:rPr>
          <w:rFonts w:asciiTheme="minorHAnsi" w:hAnsiTheme="minorHAnsi"/>
        </w:rPr>
        <w:t xml:space="preserve">, OECD Publishing, Paris, </w:t>
      </w:r>
      <w:hyperlink r:id="rId8" w:history="1">
        <w:r w:rsidRPr="00030ADB">
          <w:rPr>
            <w:rStyle w:val="Hyperlink"/>
            <w:rFonts w:asciiTheme="minorHAnsi" w:hAnsiTheme="minorHAnsi"/>
          </w:rPr>
          <w:t>http://dx.doi.org/10.1787/9789264025745-en</w:t>
        </w:r>
      </w:hyperlink>
      <w:r w:rsidRPr="00030ADB">
        <w:rPr>
          <w:rFonts w:asciiTheme="minorHAnsi" w:hAnsiTheme="minorHAnsi"/>
        </w:rPr>
        <w:t>.</w:t>
      </w:r>
    </w:p>
    <w:p w:rsidR="00030ADB" w:rsidRPr="00030ADB" w:rsidRDefault="00030ADB" w:rsidP="00030ADB">
      <w:pPr>
        <w:pStyle w:val="Biblio-Entry"/>
        <w:spacing w:after="120"/>
        <w:rPr>
          <w:rStyle w:val="Hyperlink"/>
          <w:rFonts w:asciiTheme="minorHAnsi" w:eastAsia="SimSun" w:hAnsiTheme="minorHAnsi"/>
        </w:rPr>
      </w:pPr>
      <w:r w:rsidRPr="00030ADB">
        <w:rPr>
          <w:rFonts w:asciiTheme="minorHAnsi" w:eastAsia="SimSun" w:hAnsiTheme="minorHAnsi"/>
        </w:rPr>
        <w:t xml:space="preserve">OECD (2013a), </w:t>
      </w:r>
      <w:r w:rsidRPr="00030ADB">
        <w:rPr>
          <w:rFonts w:asciiTheme="minorHAnsi" w:eastAsia="SimSun" w:hAnsiTheme="minorHAnsi"/>
          <w:i/>
        </w:rPr>
        <w:t>Interconnected Economies: Benefiting from Global Value Chains</w:t>
      </w:r>
      <w:r w:rsidRPr="00030ADB">
        <w:rPr>
          <w:rFonts w:asciiTheme="minorHAnsi" w:eastAsia="SimSun" w:hAnsiTheme="minorHAnsi"/>
        </w:rPr>
        <w:t xml:space="preserve">, OECD Publishing, </w:t>
      </w:r>
      <w:proofErr w:type="gramStart"/>
      <w:r w:rsidRPr="00030ADB">
        <w:rPr>
          <w:rFonts w:asciiTheme="minorHAnsi" w:eastAsia="SimSun" w:hAnsiTheme="minorHAnsi"/>
        </w:rPr>
        <w:t>Paris</w:t>
      </w:r>
      <w:proofErr w:type="gramEnd"/>
      <w:r w:rsidRPr="00030ADB">
        <w:rPr>
          <w:rFonts w:asciiTheme="minorHAnsi" w:eastAsia="SimSun" w:hAnsiTheme="minorHAnsi"/>
        </w:rPr>
        <w:t>.</w:t>
      </w:r>
      <w:r w:rsidRPr="00030ADB">
        <w:rPr>
          <w:rFonts w:asciiTheme="minorHAnsi" w:eastAsia="SimSun" w:hAnsiTheme="minorHAnsi"/>
        </w:rPr>
        <w:br/>
        <w:t xml:space="preserve">DOI: </w:t>
      </w:r>
      <w:hyperlink r:id="rId9" w:history="1">
        <w:r w:rsidRPr="00030ADB">
          <w:rPr>
            <w:rStyle w:val="Hyperlink"/>
            <w:rFonts w:asciiTheme="minorHAnsi" w:eastAsia="SimSun" w:hAnsiTheme="minorHAnsi"/>
          </w:rPr>
          <w:t>http://dx.doi.org/10.1787/9789264189560-en</w:t>
        </w:r>
      </w:hyperlink>
      <w:r w:rsidRPr="00030ADB">
        <w:rPr>
          <w:rStyle w:val="Hyperlink"/>
          <w:rFonts w:asciiTheme="minorHAnsi" w:eastAsia="SimSun" w:hAnsiTheme="minorHAnsi"/>
        </w:rPr>
        <w:t>.</w:t>
      </w:r>
    </w:p>
    <w:p w:rsidR="00030ADB" w:rsidRDefault="00030ADB" w:rsidP="00030ADB">
      <w:pPr>
        <w:pStyle w:val="Biblio-Entry"/>
        <w:spacing w:after="120"/>
        <w:rPr>
          <w:rFonts w:asciiTheme="minorHAnsi" w:eastAsia="SimSun" w:hAnsiTheme="minorHAnsi"/>
        </w:rPr>
      </w:pPr>
      <w:r w:rsidRPr="00030ADB">
        <w:rPr>
          <w:rFonts w:asciiTheme="minorHAnsi" w:eastAsia="SimSun" w:hAnsiTheme="minorHAnsi"/>
        </w:rPr>
        <w:t>OECD (2013b), “Mapping Global Value Chains”, by De Backer, K. and S. </w:t>
      </w:r>
      <w:proofErr w:type="spellStart"/>
      <w:r w:rsidRPr="00030ADB">
        <w:rPr>
          <w:rFonts w:asciiTheme="minorHAnsi" w:eastAsia="SimSun" w:hAnsiTheme="minorHAnsi"/>
        </w:rPr>
        <w:t>Miroudot</w:t>
      </w:r>
      <w:proofErr w:type="spellEnd"/>
      <w:r w:rsidRPr="00030ADB">
        <w:rPr>
          <w:rFonts w:asciiTheme="minorHAnsi" w:eastAsia="SimSun" w:hAnsiTheme="minorHAnsi"/>
        </w:rPr>
        <w:t>, in</w:t>
      </w:r>
      <w:r w:rsidRPr="00030ADB">
        <w:rPr>
          <w:rFonts w:asciiTheme="minorHAnsi" w:eastAsia="SimSun" w:hAnsiTheme="minorHAnsi"/>
          <w:i/>
        </w:rPr>
        <w:t xml:space="preserve"> OECD Trade Policy</w:t>
      </w:r>
      <w:r w:rsidRPr="00030ADB">
        <w:rPr>
          <w:rFonts w:asciiTheme="minorHAnsi" w:hAnsiTheme="minorHAnsi"/>
          <w:i/>
          <w:lang w:eastAsia="ja-JP"/>
        </w:rPr>
        <w:t xml:space="preserve"> </w:t>
      </w:r>
      <w:r w:rsidRPr="00030ADB">
        <w:rPr>
          <w:rFonts w:asciiTheme="minorHAnsi" w:eastAsia="SimSun" w:hAnsiTheme="minorHAnsi"/>
          <w:i/>
        </w:rPr>
        <w:t>Papers,</w:t>
      </w:r>
      <w:r w:rsidRPr="00030ADB">
        <w:rPr>
          <w:rFonts w:asciiTheme="minorHAnsi" w:eastAsia="SimSun" w:hAnsiTheme="minorHAnsi"/>
        </w:rPr>
        <w:t xml:space="preserve"> No. 159, OECD Publishing, Paris.</w:t>
      </w:r>
      <w:r w:rsidRPr="00030ADB">
        <w:rPr>
          <w:rFonts w:asciiTheme="minorHAnsi" w:eastAsia="SimSun" w:hAnsiTheme="minorHAnsi"/>
        </w:rPr>
        <w:br/>
        <w:t xml:space="preserve">DOI: </w:t>
      </w:r>
      <w:hyperlink r:id="rId10" w:history="1">
        <w:r w:rsidRPr="00030ADB">
          <w:rPr>
            <w:rStyle w:val="Hyperlink"/>
            <w:rFonts w:asciiTheme="minorHAnsi" w:eastAsia="SimSun" w:hAnsiTheme="minorHAnsi"/>
          </w:rPr>
          <w:t>http://dx.doi.org/10.1787/5k3v1trgnbr4-en</w:t>
        </w:r>
      </w:hyperlink>
      <w:r w:rsidRPr="00030ADB">
        <w:rPr>
          <w:rFonts w:asciiTheme="minorHAnsi" w:eastAsia="SimSun" w:hAnsiTheme="minorHAnsi"/>
        </w:rPr>
        <w:t>.</w:t>
      </w:r>
    </w:p>
    <w:p w:rsidR="00CB7181" w:rsidRPr="00BF38C7" w:rsidRDefault="00CB7181" w:rsidP="00CB7181">
      <w:pPr>
        <w:pStyle w:val="Biblio-Entry"/>
        <w:spacing w:after="0"/>
        <w:rPr>
          <w:rFonts w:asciiTheme="minorHAnsi" w:hAnsiTheme="minorHAnsi"/>
          <w:sz w:val="20"/>
          <w:lang w:val="fr-FR"/>
        </w:rPr>
      </w:pPr>
      <w:r w:rsidRPr="00EC79C0">
        <w:rPr>
          <w:rFonts w:asciiTheme="minorHAnsi" w:hAnsiTheme="minorHAnsi"/>
          <w:sz w:val="20"/>
          <w:lang w:val="it-IT"/>
        </w:rPr>
        <w:t xml:space="preserve">OECD (2015), METRO v1 Model </w:t>
      </w:r>
      <w:proofErr w:type="spellStart"/>
      <w:r w:rsidRPr="00EC79C0">
        <w:rPr>
          <w:rFonts w:asciiTheme="minorHAnsi" w:hAnsiTheme="minorHAnsi"/>
          <w:sz w:val="20"/>
          <w:lang w:val="it-IT"/>
        </w:rPr>
        <w:t>Documentation</w:t>
      </w:r>
      <w:proofErr w:type="spellEnd"/>
      <w:r w:rsidRPr="00EC79C0">
        <w:rPr>
          <w:rFonts w:asciiTheme="minorHAnsi" w:hAnsiTheme="minorHAnsi"/>
          <w:sz w:val="20"/>
          <w:lang w:val="it-IT"/>
        </w:rPr>
        <w:t>.</w:t>
      </w:r>
      <w:r>
        <w:rPr>
          <w:rFonts w:asciiTheme="minorHAnsi" w:hAnsiTheme="minorHAnsi"/>
          <w:sz w:val="20"/>
          <w:lang w:val="it-IT"/>
        </w:rPr>
        <w:t xml:space="preserve"> </w:t>
      </w:r>
      <w:r w:rsidRPr="00BF38C7">
        <w:rPr>
          <w:rFonts w:asciiTheme="minorHAnsi" w:hAnsiTheme="minorHAnsi"/>
          <w:sz w:val="20"/>
          <w:lang w:val="it-IT"/>
        </w:rPr>
        <w:t>http://www2.oecd.org/oecdinfo/info.aspx?app=OLIScoteEN&amp;Ref=TAD/TC/WP</w:t>
      </w:r>
      <w:proofErr w:type="gramStart"/>
      <w:r w:rsidRPr="00BF38C7">
        <w:rPr>
          <w:rFonts w:asciiTheme="minorHAnsi" w:hAnsiTheme="minorHAnsi"/>
          <w:sz w:val="20"/>
          <w:lang w:val="it-IT"/>
        </w:rPr>
        <w:t>(</w:t>
      </w:r>
      <w:proofErr w:type="gramEnd"/>
      <w:r w:rsidRPr="00BF38C7">
        <w:rPr>
          <w:rFonts w:asciiTheme="minorHAnsi" w:hAnsiTheme="minorHAnsi"/>
          <w:sz w:val="20"/>
          <w:lang w:val="it-IT"/>
        </w:rPr>
        <w:t>2014)24/FINAL</w:t>
      </w:r>
      <w:r w:rsidRPr="00EC79C0">
        <w:rPr>
          <w:rFonts w:asciiTheme="minorHAnsi" w:hAnsiTheme="minorHAnsi"/>
          <w:sz w:val="20"/>
          <w:lang w:val="it-IT"/>
        </w:rPr>
        <w:t xml:space="preserve"> </w:t>
      </w:r>
    </w:p>
    <w:p w:rsidR="00030ADB" w:rsidRPr="00030ADB" w:rsidRDefault="00030ADB" w:rsidP="00030ADB">
      <w:pPr>
        <w:pStyle w:val="Biblio-Entry"/>
        <w:spacing w:after="120"/>
        <w:rPr>
          <w:rFonts w:asciiTheme="minorHAnsi" w:hAnsiTheme="minorHAnsi"/>
        </w:rPr>
      </w:pPr>
      <w:r w:rsidRPr="00030ADB">
        <w:rPr>
          <w:rFonts w:asciiTheme="minorHAnsi" w:hAnsiTheme="minorHAnsi"/>
        </w:rPr>
        <w:t xml:space="preserve">OECD (2016), </w:t>
      </w:r>
      <w:r w:rsidRPr="00030ADB">
        <w:rPr>
          <w:rFonts w:asciiTheme="minorHAnsi" w:hAnsiTheme="minorHAnsi"/>
          <w:i/>
        </w:rPr>
        <w:t>Evolving Agricultural Policies and Markets: Implications for Multilateral Trade Reform</w:t>
      </w:r>
      <w:r w:rsidRPr="00030ADB">
        <w:rPr>
          <w:rFonts w:asciiTheme="minorHAnsi" w:hAnsiTheme="minorHAnsi"/>
        </w:rPr>
        <w:t xml:space="preserve">, OECD Publishing, </w:t>
      </w:r>
      <w:proofErr w:type="gramStart"/>
      <w:r w:rsidRPr="00030ADB">
        <w:rPr>
          <w:rFonts w:asciiTheme="minorHAnsi" w:hAnsiTheme="minorHAnsi"/>
        </w:rPr>
        <w:t>Paris</w:t>
      </w:r>
      <w:proofErr w:type="gramEnd"/>
      <w:r w:rsidRPr="00030ADB">
        <w:rPr>
          <w:rFonts w:asciiTheme="minorHAnsi" w:hAnsiTheme="minorHAnsi"/>
        </w:rPr>
        <w:t>.</w:t>
      </w:r>
    </w:p>
    <w:p w:rsidR="00030ADB" w:rsidRPr="00030ADB" w:rsidRDefault="00030ADB" w:rsidP="00030ADB">
      <w:pPr>
        <w:pStyle w:val="Biblio-Entry"/>
        <w:spacing w:after="120"/>
        <w:rPr>
          <w:rFonts w:asciiTheme="minorHAnsi" w:eastAsia="SimSun" w:hAnsiTheme="minorHAnsi"/>
        </w:rPr>
      </w:pPr>
      <w:proofErr w:type="spellStart"/>
      <w:r w:rsidRPr="00030ADB">
        <w:rPr>
          <w:rFonts w:asciiTheme="minorHAnsi" w:eastAsia="SimSun" w:hAnsiTheme="minorHAnsi"/>
        </w:rPr>
        <w:t>Timmer</w:t>
      </w:r>
      <w:proofErr w:type="spellEnd"/>
      <w:r w:rsidRPr="00030ADB">
        <w:rPr>
          <w:rFonts w:asciiTheme="minorHAnsi" w:eastAsia="SimSun" w:hAnsiTheme="minorHAnsi"/>
        </w:rPr>
        <w:t xml:space="preserve">, M., A.A. </w:t>
      </w:r>
      <w:proofErr w:type="spellStart"/>
      <w:r w:rsidRPr="00030ADB">
        <w:rPr>
          <w:rFonts w:asciiTheme="minorHAnsi" w:eastAsia="SimSun" w:hAnsiTheme="minorHAnsi"/>
        </w:rPr>
        <w:t>Erumban</w:t>
      </w:r>
      <w:proofErr w:type="spellEnd"/>
      <w:r w:rsidRPr="00030ADB">
        <w:rPr>
          <w:rFonts w:asciiTheme="minorHAnsi" w:eastAsia="SimSun" w:hAnsiTheme="minorHAnsi"/>
        </w:rPr>
        <w:t xml:space="preserve">, R. </w:t>
      </w:r>
      <w:proofErr w:type="spellStart"/>
      <w:r w:rsidRPr="00030ADB">
        <w:rPr>
          <w:rFonts w:asciiTheme="minorHAnsi" w:eastAsia="SimSun" w:hAnsiTheme="minorHAnsi"/>
        </w:rPr>
        <w:t>Gouma</w:t>
      </w:r>
      <w:proofErr w:type="spellEnd"/>
      <w:r w:rsidRPr="00030ADB">
        <w:rPr>
          <w:rFonts w:asciiTheme="minorHAnsi" w:eastAsia="SimSun" w:hAnsiTheme="minorHAnsi"/>
        </w:rPr>
        <w:t xml:space="preserve">, B. Los, U. </w:t>
      </w:r>
      <w:proofErr w:type="spellStart"/>
      <w:r w:rsidRPr="00030ADB">
        <w:rPr>
          <w:rFonts w:asciiTheme="minorHAnsi" w:eastAsia="SimSun" w:hAnsiTheme="minorHAnsi"/>
        </w:rPr>
        <w:t>Temurshoev</w:t>
      </w:r>
      <w:proofErr w:type="spellEnd"/>
      <w:r w:rsidRPr="00030ADB">
        <w:rPr>
          <w:rFonts w:asciiTheme="minorHAnsi" w:eastAsia="SimSun" w:hAnsiTheme="minorHAnsi"/>
        </w:rPr>
        <w:t xml:space="preserve">, G.J. de </w:t>
      </w:r>
      <w:proofErr w:type="spellStart"/>
      <w:r w:rsidRPr="00030ADB">
        <w:rPr>
          <w:rFonts w:asciiTheme="minorHAnsi" w:eastAsia="SimSun" w:hAnsiTheme="minorHAnsi"/>
        </w:rPr>
        <w:t>Vries</w:t>
      </w:r>
      <w:proofErr w:type="spellEnd"/>
      <w:r w:rsidRPr="00030ADB">
        <w:rPr>
          <w:rFonts w:asciiTheme="minorHAnsi" w:eastAsia="SimSun" w:hAnsiTheme="minorHAnsi"/>
        </w:rPr>
        <w:t xml:space="preserve">, I. </w:t>
      </w:r>
      <w:proofErr w:type="spellStart"/>
      <w:r w:rsidRPr="00030ADB">
        <w:rPr>
          <w:rFonts w:asciiTheme="minorHAnsi" w:eastAsia="SimSun" w:hAnsiTheme="minorHAnsi"/>
        </w:rPr>
        <w:t>Arto</w:t>
      </w:r>
      <w:proofErr w:type="spellEnd"/>
      <w:r w:rsidRPr="00030ADB">
        <w:rPr>
          <w:rFonts w:asciiTheme="minorHAnsi" w:eastAsia="SimSun" w:hAnsiTheme="minorHAnsi"/>
        </w:rPr>
        <w:t xml:space="preserve">, V.A.A. </w:t>
      </w:r>
      <w:proofErr w:type="spellStart"/>
      <w:r w:rsidRPr="00030ADB">
        <w:rPr>
          <w:rFonts w:asciiTheme="minorHAnsi" w:eastAsia="SimSun" w:hAnsiTheme="minorHAnsi"/>
        </w:rPr>
        <w:t>Genty</w:t>
      </w:r>
      <w:proofErr w:type="spellEnd"/>
      <w:r w:rsidRPr="00030ADB">
        <w:rPr>
          <w:rFonts w:asciiTheme="minorHAnsi" w:eastAsia="SimSun" w:hAnsiTheme="minorHAnsi"/>
        </w:rPr>
        <w:t>, F. </w:t>
      </w:r>
      <w:proofErr w:type="spellStart"/>
      <w:r w:rsidRPr="00030ADB">
        <w:rPr>
          <w:rFonts w:asciiTheme="minorHAnsi" w:eastAsia="SimSun" w:hAnsiTheme="minorHAnsi"/>
        </w:rPr>
        <w:t>Neuwahl</w:t>
      </w:r>
      <w:proofErr w:type="spellEnd"/>
      <w:r w:rsidRPr="00030ADB">
        <w:rPr>
          <w:rFonts w:asciiTheme="minorHAnsi" w:eastAsia="SimSun" w:hAnsiTheme="minorHAnsi"/>
        </w:rPr>
        <w:t>, J.M. Rueda-</w:t>
      </w:r>
      <w:proofErr w:type="spellStart"/>
      <w:r w:rsidRPr="00030ADB">
        <w:rPr>
          <w:rFonts w:asciiTheme="minorHAnsi" w:eastAsia="SimSun" w:hAnsiTheme="minorHAnsi"/>
        </w:rPr>
        <w:t>Cantuche</w:t>
      </w:r>
      <w:proofErr w:type="spellEnd"/>
      <w:r w:rsidRPr="00030ADB">
        <w:rPr>
          <w:rFonts w:asciiTheme="minorHAnsi" w:eastAsia="SimSun" w:hAnsiTheme="minorHAnsi"/>
        </w:rPr>
        <w:t xml:space="preserve">, A. Villanueva, J. Francois, O. </w:t>
      </w:r>
      <w:proofErr w:type="spellStart"/>
      <w:r w:rsidRPr="00030ADB">
        <w:rPr>
          <w:rFonts w:asciiTheme="minorHAnsi" w:eastAsia="SimSun" w:hAnsiTheme="minorHAnsi"/>
        </w:rPr>
        <w:t>Pindyuk</w:t>
      </w:r>
      <w:proofErr w:type="spellEnd"/>
      <w:r w:rsidRPr="00030ADB">
        <w:rPr>
          <w:rFonts w:asciiTheme="minorHAnsi" w:eastAsia="SimSun" w:hAnsiTheme="minorHAnsi"/>
        </w:rPr>
        <w:t xml:space="preserve">, J. </w:t>
      </w:r>
      <w:proofErr w:type="spellStart"/>
      <w:r w:rsidRPr="00030ADB">
        <w:rPr>
          <w:rFonts w:asciiTheme="minorHAnsi" w:eastAsia="SimSun" w:hAnsiTheme="minorHAnsi"/>
        </w:rPr>
        <w:t>Pöschl</w:t>
      </w:r>
      <w:proofErr w:type="spellEnd"/>
      <w:r w:rsidRPr="00030ADB">
        <w:rPr>
          <w:rFonts w:asciiTheme="minorHAnsi" w:eastAsia="SimSun" w:hAnsiTheme="minorHAnsi"/>
        </w:rPr>
        <w:t>, R. </w:t>
      </w:r>
      <w:proofErr w:type="spellStart"/>
      <w:r w:rsidRPr="00030ADB">
        <w:rPr>
          <w:rFonts w:asciiTheme="minorHAnsi" w:eastAsia="SimSun" w:hAnsiTheme="minorHAnsi"/>
        </w:rPr>
        <w:t>Stehrer</w:t>
      </w:r>
      <w:proofErr w:type="spellEnd"/>
      <w:r w:rsidRPr="00030ADB">
        <w:rPr>
          <w:rFonts w:asciiTheme="minorHAnsi" w:eastAsia="SimSun" w:hAnsiTheme="minorHAnsi"/>
        </w:rPr>
        <w:t xml:space="preserve"> and G. </w:t>
      </w:r>
      <w:proofErr w:type="spellStart"/>
      <w:r w:rsidRPr="00030ADB">
        <w:rPr>
          <w:rFonts w:asciiTheme="minorHAnsi" w:eastAsia="SimSun" w:hAnsiTheme="minorHAnsi"/>
        </w:rPr>
        <w:t>Streicher</w:t>
      </w:r>
      <w:proofErr w:type="spellEnd"/>
      <w:r w:rsidRPr="00030ADB">
        <w:rPr>
          <w:rFonts w:asciiTheme="minorHAnsi" w:eastAsia="SimSun" w:hAnsiTheme="minorHAnsi"/>
        </w:rPr>
        <w:t xml:space="preserve"> (2012), </w:t>
      </w:r>
      <w:r w:rsidRPr="00030ADB">
        <w:rPr>
          <w:rFonts w:asciiTheme="minorHAnsi" w:eastAsia="SimSun" w:hAnsiTheme="minorHAnsi"/>
          <w:i/>
        </w:rPr>
        <w:t>The World Input-Output Database (WIOD): Contents, Sources and Methods</w:t>
      </w:r>
      <w:r w:rsidRPr="00030ADB">
        <w:rPr>
          <w:rFonts w:asciiTheme="minorHAnsi" w:eastAsia="SimSun" w:hAnsiTheme="minorHAnsi"/>
        </w:rPr>
        <w:t>,</w:t>
      </w:r>
      <w:r w:rsidRPr="00030ADB">
        <w:rPr>
          <w:rFonts w:asciiTheme="minorHAnsi" w:hAnsiTheme="minorHAnsi"/>
          <w:lang w:eastAsia="ja-JP"/>
        </w:rPr>
        <w:t xml:space="preserve"> Version 0.9, April 2012, </w:t>
      </w:r>
      <w:r w:rsidRPr="00030ADB">
        <w:rPr>
          <w:rFonts w:asciiTheme="minorHAnsi" w:eastAsia="SimSun" w:hAnsiTheme="minorHAnsi"/>
        </w:rPr>
        <w:t xml:space="preserve">WIOD Background document, </w:t>
      </w:r>
      <w:hyperlink r:id="rId11" w:history="1">
        <w:r w:rsidRPr="00030ADB">
          <w:rPr>
            <w:rStyle w:val="Hyperlink"/>
            <w:rFonts w:asciiTheme="minorHAnsi" w:eastAsia="SimSun" w:hAnsiTheme="minorHAnsi"/>
          </w:rPr>
          <w:t>www.wiod.org</w:t>
        </w:r>
      </w:hyperlink>
      <w:r w:rsidRPr="00030ADB">
        <w:rPr>
          <w:rFonts w:asciiTheme="minorHAnsi" w:eastAsia="SimSun" w:hAnsiTheme="minorHAnsi"/>
        </w:rPr>
        <w:t>.</w:t>
      </w:r>
    </w:p>
    <w:p w:rsidR="00030ADB" w:rsidRPr="00030ADB" w:rsidRDefault="00030ADB" w:rsidP="00030ADB">
      <w:pPr>
        <w:pStyle w:val="Biblio-Entry"/>
        <w:spacing w:after="120"/>
        <w:rPr>
          <w:rFonts w:asciiTheme="minorHAnsi" w:hAnsiTheme="minorHAnsi"/>
        </w:rPr>
      </w:pPr>
      <w:proofErr w:type="spellStart"/>
      <w:r w:rsidRPr="00030ADB">
        <w:rPr>
          <w:rFonts w:asciiTheme="minorHAnsi" w:hAnsiTheme="minorHAnsi"/>
        </w:rPr>
        <w:t>Tokarick</w:t>
      </w:r>
      <w:proofErr w:type="spellEnd"/>
      <w:r w:rsidRPr="00030ADB">
        <w:rPr>
          <w:rFonts w:asciiTheme="minorHAnsi" w:hAnsiTheme="minorHAnsi"/>
        </w:rPr>
        <w:t xml:space="preserve">, S. (2008), “Dispelling Some Misconceptions </w:t>
      </w:r>
      <w:proofErr w:type="gramStart"/>
      <w:r w:rsidRPr="00030ADB">
        <w:rPr>
          <w:rFonts w:asciiTheme="minorHAnsi" w:hAnsiTheme="minorHAnsi"/>
        </w:rPr>
        <w:t>About</w:t>
      </w:r>
      <w:proofErr w:type="gramEnd"/>
      <w:r w:rsidRPr="00030ADB">
        <w:rPr>
          <w:rFonts w:asciiTheme="minorHAnsi" w:hAnsiTheme="minorHAnsi"/>
        </w:rPr>
        <w:t xml:space="preserve"> Agricultural Trade Liberalization”, </w:t>
      </w:r>
      <w:r w:rsidRPr="00030ADB">
        <w:rPr>
          <w:rFonts w:asciiTheme="minorHAnsi" w:hAnsiTheme="minorHAnsi"/>
          <w:i/>
        </w:rPr>
        <w:t>Journal of Economic Perspectives</w:t>
      </w:r>
      <w:r w:rsidRPr="00030ADB">
        <w:rPr>
          <w:rFonts w:asciiTheme="minorHAnsi" w:hAnsiTheme="minorHAnsi"/>
        </w:rPr>
        <w:t xml:space="preserve">, Vol. 22/1, AEA Publications, Pittsburgh, pp. 199-216. </w:t>
      </w:r>
    </w:p>
    <w:p w:rsidR="00287B5F" w:rsidRDefault="00030ADB" w:rsidP="00F740E5">
      <w:pPr>
        <w:pStyle w:val="Biblio-Entry"/>
        <w:spacing w:after="120"/>
      </w:pPr>
      <w:r w:rsidRPr="00030ADB">
        <w:rPr>
          <w:rFonts w:asciiTheme="minorHAnsi" w:eastAsia="SimSun" w:hAnsiTheme="minorHAnsi"/>
        </w:rPr>
        <w:t xml:space="preserve">UNCTAD (2013), </w:t>
      </w:r>
      <w:r w:rsidRPr="00030ADB">
        <w:rPr>
          <w:rFonts w:asciiTheme="minorHAnsi" w:eastAsia="SimSun" w:hAnsiTheme="minorHAnsi"/>
          <w:i/>
        </w:rPr>
        <w:t>World Investment Report 2013: Global Value Chains: Investment and Trade</w:t>
      </w:r>
      <w:r w:rsidRPr="00030ADB">
        <w:rPr>
          <w:rFonts w:asciiTheme="minorHAnsi" w:hAnsiTheme="minorHAnsi"/>
          <w:i/>
          <w:lang w:eastAsia="ja-JP"/>
        </w:rPr>
        <w:t xml:space="preserve"> </w:t>
      </w:r>
      <w:r w:rsidRPr="00030ADB">
        <w:rPr>
          <w:rFonts w:asciiTheme="minorHAnsi" w:eastAsia="SimSun" w:hAnsiTheme="minorHAnsi"/>
          <w:i/>
        </w:rPr>
        <w:t>for Development</w:t>
      </w:r>
      <w:r w:rsidRPr="00030ADB">
        <w:rPr>
          <w:rFonts w:asciiTheme="minorHAnsi" w:eastAsia="SimSun" w:hAnsiTheme="minorHAnsi"/>
        </w:rPr>
        <w:t>, United Nations Conference on Trade and Development.</w:t>
      </w:r>
    </w:p>
    <w:sectPr w:rsidR="00287B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B5F" w:rsidRDefault="00287B5F" w:rsidP="00287B5F">
      <w:pPr>
        <w:spacing w:after="0" w:line="240" w:lineRule="auto"/>
      </w:pPr>
      <w:r>
        <w:separator/>
      </w:r>
    </w:p>
  </w:endnote>
  <w:endnote w:type="continuationSeparator" w:id="0">
    <w:p w:rsidR="00287B5F" w:rsidRDefault="00287B5F" w:rsidP="00287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B5F" w:rsidRDefault="00287B5F" w:rsidP="00287B5F">
      <w:pPr>
        <w:spacing w:after="0" w:line="240" w:lineRule="auto"/>
      </w:pPr>
      <w:r>
        <w:separator/>
      </w:r>
    </w:p>
  </w:footnote>
  <w:footnote w:type="continuationSeparator" w:id="0">
    <w:p w:rsidR="00287B5F" w:rsidRDefault="00287B5F" w:rsidP="00287B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90F62"/>
    <w:multiLevelType w:val="singleLevel"/>
    <w:tmpl w:val="41606694"/>
    <w:name w:val="templateBullet1"/>
    <w:lvl w:ilvl="0">
      <w:start w:val="1"/>
      <w:numFmt w:val="bullet"/>
      <w:pStyle w:val="ListBullet"/>
      <w:lvlText w:val="·"/>
      <w:lvlJc w:val="left"/>
      <w:pPr>
        <w:tabs>
          <w:tab w:val="num" w:pos="850"/>
        </w:tabs>
        <w:ind w:left="850" w:hanging="408"/>
      </w:pPr>
      <w:rPr>
        <w:rFonts w:ascii="Symbol" w:hAnsi="Symbol" w:cs="Times New Roman" w:hint="default"/>
        <w:b w:val="0"/>
        <w:i w:val="0"/>
        <w:sz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AMO_UniqueIdentifier" w:val="Empty"/>
  </w:docVars>
  <w:rsids>
    <w:rsidRoot w:val="001629C2"/>
    <w:rsid w:val="00030ADB"/>
    <w:rsid w:val="001629C2"/>
    <w:rsid w:val="00196A2D"/>
    <w:rsid w:val="001F55EA"/>
    <w:rsid w:val="00287B5F"/>
    <w:rsid w:val="004E01C2"/>
    <w:rsid w:val="005A18B5"/>
    <w:rsid w:val="00853E87"/>
    <w:rsid w:val="008A1F77"/>
    <w:rsid w:val="00B0069A"/>
    <w:rsid w:val="00CB7181"/>
    <w:rsid w:val="00F15805"/>
    <w:rsid w:val="00F23E2D"/>
    <w:rsid w:val="00F740E5"/>
    <w:rsid w:val="00F930A7"/>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um-DocParagraph"/>
    <w:link w:val="Heading3Char"/>
    <w:qFormat/>
    <w:rsid w:val="00287B5F"/>
    <w:pPr>
      <w:keepNext/>
      <w:tabs>
        <w:tab w:val="left" w:pos="850"/>
        <w:tab w:val="left" w:pos="1191"/>
        <w:tab w:val="left" w:pos="1531"/>
      </w:tabs>
      <w:spacing w:before="240" w:after="240" w:line="240" w:lineRule="auto"/>
      <w:jc w:val="both"/>
      <w:outlineLvl w:val="2"/>
    </w:pPr>
    <w:rPr>
      <w:rFonts w:ascii="Times New Roman" w:eastAsia="MS Mincho" w:hAnsi="Times New Roman" w:cs="Times New Roman"/>
      <w:b/>
      <w:bCs/>
      <w:i/>
      <w:i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7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287B5F"/>
    <w:rPr>
      <w:rFonts w:ascii="Times New Roman" w:eastAsia="MS Mincho" w:hAnsi="Times New Roman" w:cs="Times New Roman"/>
      <w:b/>
      <w:bCs/>
      <w:i/>
      <w:iCs/>
      <w:lang w:eastAsia="zh-CN"/>
    </w:rPr>
  </w:style>
  <w:style w:type="paragraph" w:styleId="ListBullet">
    <w:name w:val="List Bullet"/>
    <w:basedOn w:val="Normal"/>
    <w:rsid w:val="00287B5F"/>
    <w:pPr>
      <w:numPr>
        <w:numId w:val="1"/>
      </w:numPr>
      <w:spacing w:after="240" w:line="240" w:lineRule="auto"/>
      <w:jc w:val="both"/>
    </w:pPr>
    <w:rPr>
      <w:rFonts w:ascii="Times New Roman" w:eastAsia="MS Mincho" w:hAnsi="Times New Roman" w:cs="Times New Roman"/>
      <w:lang w:eastAsia="zh-CN"/>
    </w:rPr>
  </w:style>
  <w:style w:type="paragraph" w:customStyle="1" w:styleId="Num-DocParagraph">
    <w:name w:val="Num-Doc Paragraph"/>
    <w:basedOn w:val="BodyText"/>
    <w:link w:val="Num-DocParagraphChar"/>
    <w:rsid w:val="00287B5F"/>
    <w:pPr>
      <w:tabs>
        <w:tab w:val="left" w:pos="850"/>
        <w:tab w:val="left" w:pos="1191"/>
        <w:tab w:val="left" w:pos="1531"/>
      </w:tabs>
      <w:spacing w:after="240" w:line="240" w:lineRule="auto"/>
      <w:jc w:val="both"/>
    </w:pPr>
    <w:rPr>
      <w:rFonts w:ascii="Times New Roman" w:eastAsia="MS Mincho" w:hAnsi="Times New Roman" w:cs="Times New Roman"/>
      <w:lang w:eastAsia="zh-CN"/>
    </w:rPr>
  </w:style>
  <w:style w:type="character" w:customStyle="1" w:styleId="Num-DocParagraphChar">
    <w:name w:val="Num-Doc Paragraph Char"/>
    <w:basedOn w:val="DefaultParagraphFont"/>
    <w:link w:val="Num-DocParagraph"/>
    <w:rsid w:val="00287B5F"/>
    <w:rPr>
      <w:rFonts w:ascii="Times New Roman" w:eastAsia="MS Mincho" w:hAnsi="Times New Roman" w:cs="Times New Roman"/>
      <w:lang w:eastAsia="zh-CN"/>
    </w:rPr>
  </w:style>
  <w:style w:type="paragraph" w:styleId="BodyText">
    <w:name w:val="Body Text"/>
    <w:basedOn w:val="Normal"/>
    <w:link w:val="BodyTextChar"/>
    <w:uiPriority w:val="99"/>
    <w:semiHidden/>
    <w:unhideWhenUsed/>
    <w:rsid w:val="00287B5F"/>
    <w:pPr>
      <w:spacing w:after="120"/>
    </w:pPr>
  </w:style>
  <w:style w:type="character" w:customStyle="1" w:styleId="BodyTextChar">
    <w:name w:val="Body Text Char"/>
    <w:basedOn w:val="DefaultParagraphFont"/>
    <w:link w:val="BodyText"/>
    <w:uiPriority w:val="99"/>
    <w:semiHidden/>
    <w:rsid w:val="00287B5F"/>
  </w:style>
  <w:style w:type="paragraph" w:customStyle="1" w:styleId="FigureSub-title">
    <w:name w:val="Figure Sub-title"/>
    <w:basedOn w:val="Normal"/>
    <w:rsid w:val="00287B5F"/>
    <w:pPr>
      <w:keepNext/>
      <w:tabs>
        <w:tab w:val="left" w:pos="850"/>
        <w:tab w:val="left" w:pos="1191"/>
        <w:tab w:val="left" w:pos="1531"/>
      </w:tabs>
      <w:spacing w:after="120" w:line="240" w:lineRule="auto"/>
      <w:jc w:val="center"/>
    </w:pPr>
    <w:rPr>
      <w:rFonts w:ascii="Arial" w:eastAsia="MS Mincho" w:hAnsi="Arial" w:cs="Arial"/>
      <w:sz w:val="18"/>
      <w:lang w:eastAsia="zh-CN"/>
    </w:rPr>
  </w:style>
  <w:style w:type="paragraph" w:customStyle="1" w:styleId="FigureTitle">
    <w:name w:val="Figure Title"/>
    <w:basedOn w:val="Normal"/>
    <w:next w:val="FigureSub-title"/>
    <w:rsid w:val="00287B5F"/>
    <w:pPr>
      <w:keepNext/>
      <w:tabs>
        <w:tab w:val="left" w:pos="850"/>
        <w:tab w:val="left" w:pos="1191"/>
        <w:tab w:val="left" w:pos="1531"/>
      </w:tabs>
      <w:spacing w:after="240" w:line="240" w:lineRule="auto"/>
      <w:jc w:val="center"/>
    </w:pPr>
    <w:rPr>
      <w:rFonts w:ascii="Arial" w:eastAsia="MS Mincho" w:hAnsi="Arial" w:cs="Arial"/>
      <w:b/>
      <w:bCs/>
      <w:sz w:val="18"/>
      <w:lang w:eastAsia="zh-CN"/>
    </w:rPr>
  </w:style>
  <w:style w:type="character" w:styleId="FootnoteReference">
    <w:name w:val="footnote reference"/>
    <w:basedOn w:val="DefaultParagraphFont"/>
    <w:semiHidden/>
    <w:rsid w:val="00287B5F"/>
    <w:rPr>
      <w:vertAlign w:val="superscript"/>
    </w:rPr>
  </w:style>
  <w:style w:type="paragraph" w:styleId="FootnoteText">
    <w:name w:val="footnote text"/>
    <w:basedOn w:val="Normal"/>
    <w:link w:val="FootnoteTextChar"/>
    <w:semiHidden/>
    <w:rsid w:val="00287B5F"/>
    <w:pPr>
      <w:tabs>
        <w:tab w:val="left" w:pos="850"/>
        <w:tab w:val="left" w:pos="1191"/>
        <w:tab w:val="left" w:pos="1531"/>
      </w:tabs>
      <w:spacing w:after="120" w:line="240" w:lineRule="auto"/>
      <w:ind w:left="850" w:hanging="850"/>
      <w:jc w:val="both"/>
    </w:pPr>
    <w:rPr>
      <w:rFonts w:ascii="Times New Roman" w:eastAsia="MS Mincho" w:hAnsi="Times New Roman" w:cs="Times New Roman"/>
      <w:sz w:val="20"/>
      <w:szCs w:val="20"/>
      <w:lang w:eastAsia="zh-CN"/>
    </w:rPr>
  </w:style>
  <w:style w:type="character" w:customStyle="1" w:styleId="FootnoteTextChar">
    <w:name w:val="Footnote Text Char"/>
    <w:basedOn w:val="DefaultParagraphFont"/>
    <w:link w:val="FootnoteText"/>
    <w:semiHidden/>
    <w:rsid w:val="00287B5F"/>
    <w:rPr>
      <w:rFonts w:ascii="Times New Roman" w:eastAsia="MS Mincho" w:hAnsi="Times New Roman" w:cs="Times New Roman"/>
      <w:sz w:val="20"/>
      <w:szCs w:val="20"/>
      <w:lang w:eastAsia="zh-CN"/>
    </w:rPr>
  </w:style>
  <w:style w:type="paragraph" w:customStyle="1" w:styleId="Graphic">
    <w:name w:val="Graphic"/>
    <w:basedOn w:val="Normal"/>
    <w:next w:val="BodyText"/>
    <w:rsid w:val="00287B5F"/>
    <w:pPr>
      <w:tabs>
        <w:tab w:val="left" w:pos="850"/>
        <w:tab w:val="left" w:pos="1191"/>
        <w:tab w:val="left" w:pos="1531"/>
      </w:tabs>
      <w:spacing w:after="240" w:line="240" w:lineRule="auto"/>
      <w:jc w:val="center"/>
    </w:pPr>
    <w:rPr>
      <w:rFonts w:ascii="Times New Roman" w:eastAsia="MS Mincho" w:hAnsi="Times New Roman" w:cs="Times New Roman"/>
      <w:lang w:eastAsia="zh-CN"/>
    </w:rPr>
  </w:style>
  <w:style w:type="paragraph" w:customStyle="1" w:styleId="SourceDescription">
    <w:name w:val="Source Description"/>
    <w:basedOn w:val="Normal"/>
    <w:next w:val="BodyText"/>
    <w:rsid w:val="00287B5F"/>
    <w:pPr>
      <w:tabs>
        <w:tab w:val="left" w:pos="850"/>
        <w:tab w:val="left" w:pos="1191"/>
        <w:tab w:val="left" w:pos="1531"/>
      </w:tabs>
      <w:spacing w:after="360" w:line="240" w:lineRule="auto"/>
      <w:jc w:val="both"/>
    </w:pPr>
    <w:rPr>
      <w:rFonts w:ascii="Arial" w:eastAsia="MS Mincho" w:hAnsi="Arial" w:cs="Arial"/>
      <w:sz w:val="16"/>
      <w:szCs w:val="18"/>
      <w:lang w:eastAsia="zh-CN"/>
    </w:rPr>
  </w:style>
  <w:style w:type="paragraph" w:styleId="BalloonText">
    <w:name w:val="Balloon Text"/>
    <w:basedOn w:val="Normal"/>
    <w:link w:val="BalloonTextChar"/>
    <w:uiPriority w:val="99"/>
    <w:semiHidden/>
    <w:unhideWhenUsed/>
    <w:rsid w:val="00287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B5F"/>
    <w:rPr>
      <w:rFonts w:ascii="Tahoma" w:hAnsi="Tahoma" w:cs="Tahoma"/>
      <w:sz w:val="16"/>
      <w:szCs w:val="16"/>
    </w:rPr>
  </w:style>
  <w:style w:type="paragraph" w:customStyle="1" w:styleId="Biblio-Entry">
    <w:name w:val="Biblio-Entry"/>
    <w:basedOn w:val="BodyText"/>
    <w:rsid w:val="00030ADB"/>
    <w:pPr>
      <w:tabs>
        <w:tab w:val="left" w:pos="850"/>
        <w:tab w:val="left" w:pos="1191"/>
        <w:tab w:val="left" w:pos="1531"/>
      </w:tabs>
      <w:spacing w:after="240" w:line="240" w:lineRule="auto"/>
      <w:ind w:left="567" w:hanging="567"/>
    </w:pPr>
    <w:rPr>
      <w:rFonts w:ascii="Times New Roman" w:eastAsia="MS Mincho" w:hAnsi="Times New Roman" w:cs="Times New Roman"/>
      <w:lang w:eastAsia="zh-CN"/>
    </w:rPr>
  </w:style>
  <w:style w:type="character" w:styleId="Hyperlink">
    <w:name w:val="Hyperlink"/>
    <w:basedOn w:val="DefaultParagraphFont"/>
    <w:uiPriority w:val="99"/>
    <w:unhideWhenUsed/>
    <w:rsid w:val="00030ADB"/>
    <w:rPr>
      <w:color w:val="0000FF" w:themeColor="hyperlink"/>
      <w:u w:val="single"/>
    </w:rPr>
  </w:style>
  <w:style w:type="character" w:styleId="CommentReference">
    <w:name w:val="annotation reference"/>
    <w:basedOn w:val="DefaultParagraphFont"/>
    <w:uiPriority w:val="99"/>
    <w:semiHidden/>
    <w:unhideWhenUsed/>
    <w:rsid w:val="00F23E2D"/>
    <w:rPr>
      <w:sz w:val="16"/>
      <w:szCs w:val="16"/>
    </w:rPr>
  </w:style>
  <w:style w:type="paragraph" w:styleId="CommentText">
    <w:name w:val="annotation text"/>
    <w:basedOn w:val="Normal"/>
    <w:link w:val="CommentTextChar"/>
    <w:uiPriority w:val="99"/>
    <w:semiHidden/>
    <w:unhideWhenUsed/>
    <w:rsid w:val="00F23E2D"/>
    <w:pPr>
      <w:spacing w:line="240" w:lineRule="auto"/>
    </w:pPr>
    <w:rPr>
      <w:sz w:val="20"/>
      <w:szCs w:val="20"/>
    </w:rPr>
  </w:style>
  <w:style w:type="character" w:customStyle="1" w:styleId="CommentTextChar">
    <w:name w:val="Comment Text Char"/>
    <w:basedOn w:val="DefaultParagraphFont"/>
    <w:link w:val="CommentText"/>
    <w:uiPriority w:val="99"/>
    <w:semiHidden/>
    <w:rsid w:val="00F23E2D"/>
    <w:rPr>
      <w:sz w:val="20"/>
      <w:szCs w:val="20"/>
    </w:rPr>
  </w:style>
  <w:style w:type="paragraph" w:styleId="CommentSubject">
    <w:name w:val="annotation subject"/>
    <w:basedOn w:val="CommentText"/>
    <w:next w:val="CommentText"/>
    <w:link w:val="CommentSubjectChar"/>
    <w:uiPriority w:val="99"/>
    <w:semiHidden/>
    <w:unhideWhenUsed/>
    <w:rsid w:val="00F23E2D"/>
    <w:rPr>
      <w:b/>
      <w:bCs/>
    </w:rPr>
  </w:style>
  <w:style w:type="character" w:customStyle="1" w:styleId="CommentSubjectChar">
    <w:name w:val="Comment Subject Char"/>
    <w:basedOn w:val="CommentTextChar"/>
    <w:link w:val="CommentSubject"/>
    <w:uiPriority w:val="99"/>
    <w:semiHidden/>
    <w:rsid w:val="00F23E2D"/>
    <w:rPr>
      <w:b/>
      <w:bCs/>
      <w:sz w:val="20"/>
      <w:szCs w:val="20"/>
    </w:rPr>
  </w:style>
  <w:style w:type="paragraph" w:styleId="Revision">
    <w:name w:val="Revision"/>
    <w:hidden/>
    <w:uiPriority w:val="99"/>
    <w:semiHidden/>
    <w:rsid w:val="00F23E2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787/9789264025745-e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iod.org" TargetMode="External"/><Relationship Id="rId5" Type="http://schemas.openxmlformats.org/officeDocument/2006/relationships/webSettings" Target="webSettings.xml"/><Relationship Id="rId10" Type="http://schemas.openxmlformats.org/officeDocument/2006/relationships/hyperlink" Target="http://dx.doi.org/10.1787/5k3v1trgnbr4-en" TargetMode="External"/><Relationship Id="rId4" Type="http://schemas.openxmlformats.org/officeDocument/2006/relationships/settings" Target="settings.xml"/><Relationship Id="rId9" Type="http://schemas.openxmlformats.org/officeDocument/2006/relationships/hyperlink" Target="http://dx.doi.org/10.1787/9789264189560-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6E1CD1DB.dotm</Template>
  <TotalTime>6</TotalTime>
  <Pages>3</Pages>
  <Words>1406</Words>
  <Characters>8017</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9405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GREENVILLE Jared</dc:creator>
  <cp:lastModifiedBy>GREENVILLE Jared</cp:lastModifiedBy>
  <cp:revision>2</cp:revision>
  <cp:lastPrinted>2017-01-12T14:23:00Z</cp:lastPrinted>
  <dcterms:created xsi:type="dcterms:W3CDTF">2017-01-12T16:10:00Z</dcterms:created>
  <dcterms:modified xsi:type="dcterms:W3CDTF">2017-01-12T16:10:00Z</dcterms:modified>
</cp:coreProperties>
</file>