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39B2F" w14:textId="2BBD1803" w:rsidR="007B0888" w:rsidRDefault="004A321F" w:rsidP="004A321F">
      <w:pPr>
        <w:jc w:val="center"/>
        <w:rPr>
          <w:rFonts w:ascii="Times New Roman" w:hAnsi="Times New Roman" w:cs="Times New Roman"/>
          <w:sz w:val="24"/>
        </w:rPr>
      </w:pPr>
      <w:r w:rsidRPr="004A321F">
        <w:rPr>
          <w:rFonts w:ascii="Times New Roman" w:hAnsi="Times New Roman" w:cs="Times New Roman"/>
          <w:b/>
          <w:sz w:val="24"/>
        </w:rPr>
        <w:t>The Economic Case for Renewable Energy: a Recursive Dynamic Model Analysis for the Nicaraguan Economy</w:t>
      </w:r>
    </w:p>
    <w:p w14:paraId="14954F0A" w14:textId="7A715060" w:rsidR="00BC034F" w:rsidRDefault="004A7C53" w:rsidP="00822B21">
      <w:pPr>
        <w:jc w:val="both"/>
        <w:rPr>
          <w:rFonts w:ascii="Times New Roman" w:hAnsi="Times New Roman" w:cs="Times New Roman"/>
          <w:sz w:val="24"/>
        </w:rPr>
      </w:pPr>
      <w:r>
        <w:rPr>
          <w:rFonts w:ascii="Times New Roman" w:hAnsi="Times New Roman" w:cs="Times New Roman"/>
          <w:sz w:val="24"/>
        </w:rPr>
        <w:t>Extended Abstract</w:t>
      </w:r>
    </w:p>
    <w:p w14:paraId="3F05FADD" w14:textId="77777777" w:rsidR="001107BB" w:rsidRDefault="001107BB" w:rsidP="00822B21">
      <w:pPr>
        <w:jc w:val="both"/>
        <w:rPr>
          <w:rFonts w:ascii="Times New Roman" w:hAnsi="Times New Roman" w:cs="Times New Roman"/>
          <w:sz w:val="24"/>
        </w:rPr>
      </w:pPr>
    </w:p>
    <w:p w14:paraId="6375CE05" w14:textId="77777777" w:rsidR="00D113AB" w:rsidRDefault="001107BB" w:rsidP="00D113AB">
      <w:pPr>
        <w:pStyle w:val="NoSpacing"/>
        <w:jc w:val="both"/>
        <w:rPr>
          <w:rFonts w:ascii="Times New Roman" w:hAnsi="Times New Roman" w:cs="Times New Roman"/>
          <w:sz w:val="24"/>
        </w:rPr>
      </w:pPr>
      <w:bookmarkStart w:id="0" w:name="_GoBack"/>
      <w:r>
        <w:rPr>
          <w:rFonts w:ascii="Times New Roman" w:hAnsi="Times New Roman" w:cs="Times New Roman"/>
          <w:sz w:val="24"/>
        </w:rPr>
        <w:t xml:space="preserve">Central America </w:t>
      </w:r>
      <w:r w:rsidR="00887413">
        <w:rPr>
          <w:rFonts w:ascii="Times New Roman" w:hAnsi="Times New Roman" w:cs="Times New Roman"/>
          <w:sz w:val="24"/>
        </w:rPr>
        <w:t xml:space="preserve">has the highest penetration of non-large hydro renewable energy capacity installed in the Western Hemisphere </w:t>
      </w:r>
      <w:r w:rsidR="00887413" w:rsidRPr="00887413">
        <w:rPr>
          <w:rFonts w:ascii="Times New Roman" w:hAnsi="Times New Roman" w:cs="Times New Roman"/>
          <w:sz w:val="24"/>
        </w:rPr>
        <w:t>(Bloomberg New Energy Finance and Multilateral Investment Fund 2014, Bloomberg New Energy Finance/Multilateral Investment Fund 2012, 2013, W</w:t>
      </w:r>
      <w:r w:rsidR="00785A41">
        <w:rPr>
          <w:rFonts w:ascii="Times New Roman" w:hAnsi="Times New Roman" w:cs="Times New Roman"/>
          <w:sz w:val="24"/>
        </w:rPr>
        <w:t>orld Bank</w:t>
      </w:r>
      <w:r w:rsidR="00887413" w:rsidRPr="00887413">
        <w:rPr>
          <w:rFonts w:ascii="Times New Roman" w:hAnsi="Times New Roman" w:cs="Times New Roman"/>
          <w:sz w:val="24"/>
        </w:rPr>
        <w:t xml:space="preserve"> 2015a, 2015b</w:t>
      </w:r>
      <w:r w:rsidR="00887413">
        <w:rPr>
          <w:rFonts w:ascii="Times New Roman" w:hAnsi="Times New Roman" w:cs="Times New Roman"/>
          <w:sz w:val="24"/>
        </w:rPr>
        <w:t>)</w:t>
      </w:r>
      <w:r w:rsidR="00C111C9">
        <w:rPr>
          <w:rFonts w:ascii="Times New Roman" w:hAnsi="Times New Roman" w:cs="Times New Roman"/>
          <w:sz w:val="24"/>
        </w:rPr>
        <w:t>,</w:t>
      </w:r>
      <w:r w:rsidR="00887413" w:rsidRPr="00887413">
        <w:rPr>
          <w:rFonts w:ascii="Times New Roman" w:hAnsi="Times New Roman" w:cs="Times New Roman"/>
          <w:sz w:val="24"/>
        </w:rPr>
        <w:t xml:space="preserve"> </w:t>
      </w:r>
      <w:r w:rsidR="00185022">
        <w:rPr>
          <w:rFonts w:ascii="Times New Roman" w:hAnsi="Times New Roman" w:cs="Times New Roman"/>
          <w:sz w:val="24"/>
        </w:rPr>
        <w:t>h</w:t>
      </w:r>
      <w:r w:rsidR="00887413" w:rsidRPr="00887413">
        <w:rPr>
          <w:rFonts w:ascii="Times New Roman" w:hAnsi="Times New Roman" w:cs="Times New Roman"/>
          <w:sz w:val="24"/>
        </w:rPr>
        <w:t>igher than the regional</w:t>
      </w:r>
      <w:r w:rsidR="00785A41">
        <w:rPr>
          <w:rFonts w:ascii="Times New Roman" w:hAnsi="Times New Roman" w:cs="Times New Roman"/>
          <w:sz w:val="24"/>
        </w:rPr>
        <w:t xml:space="preserve"> </w:t>
      </w:r>
      <w:r w:rsidR="00E707C8">
        <w:rPr>
          <w:rFonts w:ascii="Times New Roman" w:hAnsi="Times New Roman" w:cs="Times New Roman"/>
          <w:sz w:val="24"/>
        </w:rPr>
        <w:t>Latin American</w:t>
      </w:r>
      <w:r w:rsidR="00887413" w:rsidRPr="00887413">
        <w:rPr>
          <w:rFonts w:ascii="Times New Roman" w:hAnsi="Times New Roman" w:cs="Times New Roman"/>
          <w:sz w:val="24"/>
        </w:rPr>
        <w:t xml:space="preserve"> average of 14%, and on par with developed nations such as </w:t>
      </w:r>
      <w:r w:rsidR="00185022" w:rsidRPr="00887413">
        <w:rPr>
          <w:rFonts w:ascii="Times New Roman" w:hAnsi="Times New Roman" w:cs="Times New Roman"/>
          <w:sz w:val="24"/>
        </w:rPr>
        <w:t>Denmark</w:t>
      </w:r>
      <w:r w:rsidR="00887413" w:rsidRPr="00887413">
        <w:rPr>
          <w:rFonts w:ascii="Times New Roman" w:hAnsi="Times New Roman" w:cs="Times New Roman"/>
          <w:sz w:val="24"/>
        </w:rPr>
        <w:t xml:space="preserve">. </w:t>
      </w:r>
      <w:r w:rsidR="00F40ACE">
        <w:rPr>
          <w:rFonts w:ascii="Times New Roman" w:hAnsi="Times New Roman" w:cs="Times New Roman"/>
          <w:sz w:val="24"/>
        </w:rPr>
        <w:t xml:space="preserve">Nicaragua is an especially interesting case, since </w:t>
      </w:r>
      <w:r w:rsidR="003B4CDA">
        <w:rPr>
          <w:rFonts w:ascii="Times New Roman" w:hAnsi="Times New Roman" w:cs="Times New Roman"/>
          <w:sz w:val="24"/>
        </w:rPr>
        <w:t xml:space="preserve">it is making great progress toward more sustainable energy sources, </w:t>
      </w:r>
      <w:r w:rsidR="00F30E31">
        <w:rPr>
          <w:rFonts w:ascii="Times New Roman" w:hAnsi="Times New Roman" w:cs="Times New Roman"/>
          <w:sz w:val="24"/>
        </w:rPr>
        <w:t>going from 40% of its electricity from non-hydro renewable energy in 2013 to 50% of its generation coming from wind power alone in 2014</w:t>
      </w:r>
      <w:r w:rsidR="00D8753B">
        <w:rPr>
          <w:rFonts w:ascii="Times New Roman" w:hAnsi="Times New Roman" w:cs="Times New Roman"/>
          <w:sz w:val="24"/>
        </w:rPr>
        <w:t xml:space="preserve"> (CNDC</w:t>
      </w:r>
      <w:r w:rsidR="00185022">
        <w:rPr>
          <w:rFonts w:ascii="Times New Roman" w:hAnsi="Times New Roman" w:cs="Times New Roman"/>
          <w:sz w:val="24"/>
        </w:rPr>
        <w:t xml:space="preserve"> 2014)</w:t>
      </w:r>
      <w:r w:rsidR="00F30E31">
        <w:rPr>
          <w:rFonts w:ascii="Times New Roman" w:hAnsi="Times New Roman" w:cs="Times New Roman"/>
          <w:sz w:val="24"/>
        </w:rPr>
        <w:t xml:space="preserve">. </w:t>
      </w:r>
      <w:r w:rsidR="00D8753B">
        <w:rPr>
          <w:rFonts w:ascii="Times New Roman" w:hAnsi="Times New Roman" w:cs="Times New Roman"/>
          <w:sz w:val="24"/>
        </w:rPr>
        <w:t xml:space="preserve">Moreover, the country had a great dependence on oil related imports, accounting for 1/3 of </w:t>
      </w:r>
      <w:r w:rsidR="00785A41">
        <w:rPr>
          <w:rFonts w:ascii="Times New Roman" w:hAnsi="Times New Roman" w:cs="Times New Roman"/>
          <w:sz w:val="24"/>
        </w:rPr>
        <w:t>total import bill</w:t>
      </w:r>
      <w:r w:rsidR="00D8753B">
        <w:rPr>
          <w:rFonts w:ascii="Times New Roman" w:hAnsi="Times New Roman" w:cs="Times New Roman"/>
          <w:sz w:val="24"/>
        </w:rPr>
        <w:t xml:space="preserve"> of the country. </w:t>
      </w:r>
      <w:r w:rsidR="00D113AB">
        <w:rPr>
          <w:rFonts w:ascii="Times New Roman" w:hAnsi="Times New Roman" w:cs="Times New Roman"/>
          <w:sz w:val="24"/>
        </w:rPr>
        <w:t>The country has been able to reduce considerably the dependence on oil and has set very ambitious goals of reaching 90%</w:t>
      </w:r>
      <w:r w:rsidR="002526F8">
        <w:rPr>
          <w:rFonts w:ascii="Times New Roman" w:hAnsi="Times New Roman" w:cs="Times New Roman"/>
          <w:sz w:val="24"/>
        </w:rPr>
        <w:t xml:space="preserve"> of generation coming from renewable sources</w:t>
      </w:r>
      <w:r w:rsidR="00D113AB">
        <w:rPr>
          <w:rFonts w:ascii="Times New Roman" w:hAnsi="Times New Roman" w:cs="Times New Roman"/>
          <w:sz w:val="24"/>
        </w:rPr>
        <w:t xml:space="preserve"> by 2020. </w:t>
      </w:r>
    </w:p>
    <w:p w14:paraId="396D7893" w14:textId="2475CA7E" w:rsidR="001107BB" w:rsidRDefault="001107BB" w:rsidP="00822B21">
      <w:pPr>
        <w:jc w:val="both"/>
        <w:rPr>
          <w:rFonts w:ascii="Times New Roman" w:hAnsi="Times New Roman" w:cs="Times New Roman"/>
          <w:sz w:val="24"/>
        </w:rPr>
      </w:pPr>
    </w:p>
    <w:p w14:paraId="1DA6D434" w14:textId="77777777" w:rsidR="006A291F" w:rsidRDefault="004A7C53" w:rsidP="00822B21">
      <w:pPr>
        <w:pStyle w:val="NoSpacing"/>
        <w:jc w:val="both"/>
        <w:rPr>
          <w:rFonts w:ascii="Times New Roman" w:hAnsi="Times New Roman" w:cs="Times New Roman"/>
          <w:sz w:val="24"/>
        </w:rPr>
      </w:pPr>
      <w:r>
        <w:rPr>
          <w:rFonts w:ascii="Times New Roman" w:hAnsi="Times New Roman" w:cs="Times New Roman"/>
          <w:sz w:val="24"/>
        </w:rPr>
        <w:t>The</w:t>
      </w:r>
      <w:r>
        <w:rPr>
          <w:rFonts w:ascii="Times New Roman" w:hAnsi="Times New Roman" w:cs="Times New Roman"/>
          <w:sz w:val="24"/>
        </w:rPr>
        <w:t xml:space="preserve"> model to be used is the</w:t>
      </w:r>
      <w:r>
        <w:rPr>
          <w:rFonts w:ascii="Times New Roman" w:hAnsi="Times New Roman" w:cs="Times New Roman"/>
          <w:sz w:val="24"/>
        </w:rPr>
        <w:t xml:space="preserve"> Mitigation, Adaptation and New Technologies Applied General Equilibrium (MANAGE) Model. MANAGE is a recursive dynamic single country computable general equilibrium (CGE) model designed to focus on energy, emissions and climate change. The model is a single country CGE model, that will allow us to have a detailed specification for the energy sector that allows for capital/labor/energy substitution in production, as well as intra-fuel energy substitution across all demand agents with multi-output and multi-production structure. In the model, labor growth is exogenous and it is divided into (employed and self employed and skilled and unskilled labor). </w:t>
      </w:r>
    </w:p>
    <w:p w14:paraId="1AAD02BA" w14:textId="77777777" w:rsidR="006A291F" w:rsidRDefault="006A291F" w:rsidP="00822B21">
      <w:pPr>
        <w:pStyle w:val="NoSpacing"/>
        <w:jc w:val="both"/>
        <w:rPr>
          <w:rFonts w:ascii="Times New Roman" w:hAnsi="Times New Roman" w:cs="Times New Roman"/>
          <w:sz w:val="24"/>
        </w:rPr>
      </w:pPr>
    </w:p>
    <w:p w14:paraId="4DA5ED6E" w14:textId="77777777" w:rsidR="006A291F" w:rsidRDefault="006A291F" w:rsidP="006A291F">
      <w:pPr>
        <w:pStyle w:val="NoSpacing"/>
        <w:jc w:val="both"/>
        <w:rPr>
          <w:rFonts w:ascii="Times New Roman" w:hAnsi="Times New Roman" w:cs="Times New Roman"/>
          <w:sz w:val="24"/>
        </w:rPr>
      </w:pPr>
      <w:r>
        <w:rPr>
          <w:rFonts w:ascii="Times New Roman" w:hAnsi="Times New Roman" w:cs="Times New Roman"/>
          <w:sz w:val="24"/>
        </w:rPr>
        <w:t>MANAGE also includes specifications for margins (trade and transport), for taxes (direct, indirect and subsidies). In the short run, energy is assumed to be near complement with capita, but not in the long run. Hence, when the prices of energy rises, it leads to higher production costs in the short run, when the substitution is low, but it would lead  to energy-savings technologies in the long run.</w:t>
      </w:r>
    </w:p>
    <w:p w14:paraId="7192626F" w14:textId="77777777" w:rsidR="006A291F" w:rsidRDefault="006A291F" w:rsidP="006A291F">
      <w:pPr>
        <w:pStyle w:val="NoSpacing"/>
        <w:jc w:val="both"/>
        <w:rPr>
          <w:rFonts w:ascii="Times New Roman" w:hAnsi="Times New Roman" w:cs="Times New Roman"/>
          <w:sz w:val="24"/>
        </w:rPr>
      </w:pPr>
    </w:p>
    <w:p w14:paraId="17D7357C" w14:textId="10A6A781" w:rsidR="006A291F" w:rsidRDefault="0086439B" w:rsidP="006A291F">
      <w:pPr>
        <w:pStyle w:val="NoSpacing"/>
        <w:jc w:val="both"/>
        <w:rPr>
          <w:rFonts w:ascii="Times New Roman" w:hAnsi="Times New Roman" w:cs="Times New Roman"/>
          <w:sz w:val="24"/>
        </w:rPr>
      </w:pPr>
      <w:r>
        <w:rPr>
          <w:rFonts w:ascii="Times New Roman" w:hAnsi="Times New Roman" w:cs="Times New Roman"/>
          <w:sz w:val="24"/>
        </w:rPr>
        <w:t>The model</w:t>
      </w:r>
      <w:r w:rsidR="006A291F">
        <w:rPr>
          <w:rFonts w:ascii="Times New Roman" w:hAnsi="Times New Roman" w:cs="Times New Roman"/>
          <w:sz w:val="24"/>
        </w:rPr>
        <w:t xml:space="preserve"> allows for both multi-input and multi-output production, for example, in the case of electricity supply comes from multiple activities: thermal, hydro, wind, solar and biomass. </w:t>
      </w:r>
    </w:p>
    <w:p w14:paraId="362BA4F3" w14:textId="77777777" w:rsidR="006A291F" w:rsidRDefault="006A291F" w:rsidP="006A291F">
      <w:pPr>
        <w:pStyle w:val="NoSpacing"/>
        <w:jc w:val="both"/>
        <w:rPr>
          <w:rFonts w:ascii="Times New Roman" w:hAnsi="Times New Roman" w:cs="Times New Roman"/>
          <w:sz w:val="24"/>
        </w:rPr>
      </w:pPr>
    </w:p>
    <w:p w14:paraId="4363BC05" w14:textId="77777777" w:rsidR="006A291F" w:rsidRDefault="006A291F" w:rsidP="006A291F">
      <w:pPr>
        <w:pStyle w:val="NoSpacing"/>
        <w:jc w:val="both"/>
        <w:rPr>
          <w:rFonts w:ascii="Times New Roman" w:hAnsi="Times New Roman" w:cs="Times New Roman"/>
          <w:sz w:val="24"/>
        </w:rPr>
      </w:pPr>
      <w:r>
        <w:rPr>
          <w:rFonts w:ascii="Times New Roman" w:hAnsi="Times New Roman" w:cs="Times New Roman"/>
          <w:sz w:val="24"/>
        </w:rPr>
        <w:t xml:space="preserve">Labor and capital income is in greater part allocated to households with pass-through accounts to enterprises (in our case called sociedades). The government revenue comes from the different and detailed taxes minus the subsidies given by the government. </w:t>
      </w:r>
    </w:p>
    <w:p w14:paraId="6430D911" w14:textId="77777777" w:rsidR="006A291F" w:rsidRDefault="006A291F" w:rsidP="006A291F">
      <w:pPr>
        <w:pStyle w:val="NoSpacing"/>
        <w:jc w:val="both"/>
        <w:rPr>
          <w:rFonts w:ascii="Times New Roman" w:hAnsi="Times New Roman" w:cs="Times New Roman"/>
          <w:sz w:val="24"/>
        </w:rPr>
      </w:pPr>
    </w:p>
    <w:p w14:paraId="5BE86826" w14:textId="2C8ECCFE" w:rsidR="006A291F" w:rsidRDefault="006A291F" w:rsidP="006A291F">
      <w:pPr>
        <w:pStyle w:val="NoSpacing"/>
        <w:jc w:val="both"/>
        <w:rPr>
          <w:rFonts w:ascii="Times New Roman" w:hAnsi="Times New Roman" w:cs="Times New Roman"/>
          <w:sz w:val="24"/>
        </w:rPr>
      </w:pPr>
      <w:r>
        <w:rPr>
          <w:rFonts w:ascii="Times New Roman" w:hAnsi="Times New Roman" w:cs="Times New Roman"/>
          <w:sz w:val="24"/>
        </w:rPr>
        <w:t xml:space="preserve">Just like in the case of GTAP, the household demand is modeled using constant-differences-in elasticity (CDE). For the specific case of the energy demand, there is a single commodity and disaggregated by energy type using a CES structure that allows for inter-fuel substitution. Import demand also assumes the familiar Armington assumption, where goods are differentiated based on region of origin. </w:t>
      </w:r>
    </w:p>
    <w:p w14:paraId="7DF055D0" w14:textId="77777777" w:rsidR="006A291F" w:rsidRDefault="006A291F" w:rsidP="006A291F">
      <w:pPr>
        <w:pStyle w:val="NoSpacing"/>
        <w:jc w:val="both"/>
        <w:rPr>
          <w:rFonts w:ascii="Times New Roman" w:hAnsi="Times New Roman" w:cs="Times New Roman"/>
          <w:sz w:val="24"/>
        </w:rPr>
      </w:pPr>
      <w:r>
        <w:rPr>
          <w:rFonts w:ascii="Times New Roman" w:hAnsi="Times New Roman" w:cs="Times New Roman"/>
          <w:sz w:val="24"/>
        </w:rPr>
        <w:lastRenderedPageBreak/>
        <w:t xml:space="preserve">The assumption of small country for export and import’s country prices are exogenous, but it allows implementation of an export demand schedule and an import supply schedule, with endogenous terms of trade (TOT). </w:t>
      </w:r>
    </w:p>
    <w:p w14:paraId="08190EDE" w14:textId="77777777" w:rsidR="006A291F" w:rsidRDefault="006A291F" w:rsidP="006A291F">
      <w:pPr>
        <w:pStyle w:val="NoSpacing"/>
        <w:jc w:val="both"/>
        <w:rPr>
          <w:rFonts w:ascii="Times New Roman" w:hAnsi="Times New Roman" w:cs="Times New Roman"/>
          <w:sz w:val="24"/>
        </w:rPr>
      </w:pPr>
    </w:p>
    <w:p w14:paraId="445C0954" w14:textId="6AA60A50" w:rsidR="006A291F" w:rsidRDefault="006A291F" w:rsidP="006A291F">
      <w:pPr>
        <w:pStyle w:val="NoSpacing"/>
        <w:jc w:val="both"/>
        <w:rPr>
          <w:rFonts w:ascii="Times New Roman" w:hAnsi="Times New Roman" w:cs="Times New Roman"/>
          <w:sz w:val="24"/>
        </w:rPr>
      </w:pPr>
      <w:r>
        <w:rPr>
          <w:rFonts w:ascii="Times New Roman" w:hAnsi="Times New Roman" w:cs="Times New Roman"/>
          <w:sz w:val="24"/>
        </w:rPr>
        <w:t>There are different closures that are available, depending on the nature of the simulation. If we have comparative static simulations, then the capital behave</w:t>
      </w:r>
      <w:r>
        <w:rPr>
          <w:rFonts w:ascii="Times New Roman" w:hAnsi="Times New Roman" w:cs="Times New Roman"/>
          <w:sz w:val="24"/>
        </w:rPr>
        <w:t>s</w:t>
      </w:r>
      <w:r>
        <w:rPr>
          <w:rFonts w:ascii="Times New Roman" w:hAnsi="Times New Roman" w:cs="Times New Roman"/>
          <w:sz w:val="24"/>
        </w:rPr>
        <w:t xml:space="preserve"> </w:t>
      </w:r>
      <w:r>
        <w:rPr>
          <w:rFonts w:ascii="Times New Roman" w:hAnsi="Times New Roman" w:cs="Times New Roman"/>
          <w:sz w:val="24"/>
        </w:rPr>
        <w:t>like</w:t>
      </w:r>
      <w:r>
        <w:rPr>
          <w:rFonts w:ascii="Times New Roman" w:hAnsi="Times New Roman" w:cs="Times New Roman"/>
          <w:sz w:val="24"/>
        </w:rPr>
        <w:t xml:space="preserve"> labor markets </w:t>
      </w:r>
      <w:r>
        <w:rPr>
          <w:rFonts w:ascii="Times New Roman" w:hAnsi="Times New Roman" w:cs="Times New Roman"/>
          <w:sz w:val="24"/>
        </w:rPr>
        <w:t>“</w:t>
      </w:r>
      <w:r>
        <w:rPr>
          <w:rFonts w:ascii="Times New Roman" w:hAnsi="Times New Roman" w:cs="Times New Roman"/>
          <w:sz w:val="24"/>
        </w:rPr>
        <w:t xml:space="preserve">with upward sloping supply schedule </w:t>
      </w:r>
      <w:r>
        <w:rPr>
          <w:rFonts w:ascii="Times New Roman" w:hAnsi="Times New Roman" w:cs="Times New Roman"/>
          <w:sz w:val="24"/>
        </w:rPr>
        <w:t xml:space="preserve">for aggregate capital supply and inter-sectoral capital mobility that depends on a CET transformation elasticity”. If we have a dynamic scenario, then new capital </w:t>
      </w:r>
      <w:r w:rsidR="00FA02C2">
        <w:rPr>
          <w:rFonts w:ascii="Times New Roman" w:hAnsi="Times New Roman" w:cs="Times New Roman"/>
          <w:sz w:val="24"/>
        </w:rPr>
        <w:t>“is</w:t>
      </w:r>
      <w:r>
        <w:rPr>
          <w:rFonts w:ascii="Times New Roman" w:hAnsi="Times New Roman" w:cs="Times New Roman"/>
          <w:sz w:val="24"/>
        </w:rPr>
        <w:t xml:space="preserve"> allocated across sectors”.</w:t>
      </w:r>
    </w:p>
    <w:p w14:paraId="4739E2A5" w14:textId="12B8A5D7" w:rsidR="006A291F" w:rsidRDefault="006A291F" w:rsidP="006A291F">
      <w:pPr>
        <w:pStyle w:val="NoSpacing"/>
        <w:jc w:val="both"/>
        <w:rPr>
          <w:rFonts w:ascii="Times New Roman" w:hAnsi="Times New Roman" w:cs="Times New Roman"/>
          <w:sz w:val="24"/>
        </w:rPr>
      </w:pPr>
    </w:p>
    <w:p w14:paraId="2D300605" w14:textId="05947D12" w:rsidR="006A291F" w:rsidRDefault="006A291F" w:rsidP="00822B21">
      <w:pPr>
        <w:pStyle w:val="NoSpacing"/>
        <w:jc w:val="both"/>
        <w:rPr>
          <w:rFonts w:ascii="Times New Roman" w:hAnsi="Times New Roman" w:cs="Times New Roman"/>
          <w:sz w:val="24"/>
        </w:rPr>
      </w:pPr>
      <w:r>
        <w:rPr>
          <w:rFonts w:ascii="Times New Roman" w:hAnsi="Times New Roman" w:cs="Times New Roman"/>
          <w:sz w:val="24"/>
        </w:rPr>
        <w:t xml:space="preserve">Like other models, the dynamics of MANAGE are composed of population and labor stock growth that are exogenous, aggregate capital that grows according to the savings, and labor productivity in services </w:t>
      </w:r>
      <w:r w:rsidR="00FA02C2">
        <w:rPr>
          <w:rFonts w:ascii="Times New Roman" w:hAnsi="Times New Roman" w:cs="Times New Roman"/>
          <w:sz w:val="24"/>
        </w:rPr>
        <w:t>that is</w:t>
      </w:r>
      <w:r>
        <w:rPr>
          <w:rFonts w:ascii="Times New Roman" w:hAnsi="Times New Roman" w:cs="Times New Roman"/>
          <w:sz w:val="24"/>
        </w:rPr>
        <w:t xml:space="preserve"> assumed exogenous (and labor </w:t>
      </w:r>
      <w:r w:rsidR="00FA02C2">
        <w:rPr>
          <w:rFonts w:ascii="Times New Roman" w:hAnsi="Times New Roman" w:cs="Times New Roman"/>
          <w:sz w:val="24"/>
        </w:rPr>
        <w:t>productivity</w:t>
      </w:r>
      <w:r>
        <w:rPr>
          <w:rFonts w:ascii="Times New Roman" w:hAnsi="Times New Roman" w:cs="Times New Roman"/>
          <w:sz w:val="24"/>
        </w:rPr>
        <w:t xml:space="preserve"> for other sectors is </w:t>
      </w:r>
      <w:r w:rsidR="00FA02C2">
        <w:rPr>
          <w:rFonts w:ascii="Times New Roman" w:hAnsi="Times New Roman" w:cs="Times New Roman"/>
          <w:sz w:val="24"/>
        </w:rPr>
        <w:t xml:space="preserve">relative to labor productivity in services and calibrated to historical trends). </w:t>
      </w:r>
    </w:p>
    <w:p w14:paraId="58C7B98D" w14:textId="77777777" w:rsidR="006A291F" w:rsidRDefault="006A291F" w:rsidP="00822B21">
      <w:pPr>
        <w:pStyle w:val="NoSpacing"/>
        <w:jc w:val="both"/>
        <w:rPr>
          <w:rFonts w:ascii="Times New Roman" w:hAnsi="Times New Roman" w:cs="Times New Roman"/>
          <w:sz w:val="24"/>
        </w:rPr>
      </w:pPr>
    </w:p>
    <w:p w14:paraId="18799CEB" w14:textId="5F72FFDE" w:rsidR="00FA02C2" w:rsidRDefault="004A7C53" w:rsidP="00FA02C2">
      <w:pPr>
        <w:pStyle w:val="NoSpacing"/>
        <w:jc w:val="both"/>
        <w:rPr>
          <w:rFonts w:ascii="Times New Roman" w:hAnsi="Times New Roman" w:cs="Times New Roman"/>
          <w:sz w:val="24"/>
        </w:rPr>
      </w:pPr>
      <w:r>
        <w:rPr>
          <w:rFonts w:ascii="Times New Roman" w:hAnsi="Times New Roman" w:cs="Times New Roman"/>
          <w:sz w:val="24"/>
        </w:rPr>
        <w:t xml:space="preserve">MANAGE allow us to analyze </w:t>
      </w:r>
      <w:r w:rsidR="00BC034F" w:rsidRPr="00822B21">
        <w:rPr>
          <w:rFonts w:ascii="Times New Roman" w:hAnsi="Times New Roman" w:cs="Times New Roman"/>
          <w:sz w:val="24"/>
        </w:rPr>
        <w:t xml:space="preserve">the effects on the Nicaraguan economy of the change in the energy matrix by using the Nicaraguan </w:t>
      </w:r>
      <w:r w:rsidR="00785A41">
        <w:rPr>
          <w:rFonts w:ascii="Times New Roman" w:hAnsi="Times New Roman" w:cs="Times New Roman"/>
          <w:sz w:val="24"/>
        </w:rPr>
        <w:t>social accounting matrix (</w:t>
      </w:r>
      <w:r w:rsidR="00BC034F" w:rsidRPr="00822B21">
        <w:rPr>
          <w:rFonts w:ascii="Times New Roman" w:hAnsi="Times New Roman" w:cs="Times New Roman"/>
          <w:sz w:val="24"/>
        </w:rPr>
        <w:t>SAM</w:t>
      </w:r>
      <w:r w:rsidR="00785A41">
        <w:rPr>
          <w:rFonts w:ascii="Times New Roman" w:hAnsi="Times New Roman" w:cs="Times New Roman"/>
          <w:sz w:val="24"/>
        </w:rPr>
        <w:t>)</w:t>
      </w:r>
      <w:r w:rsidR="00FA02C2">
        <w:rPr>
          <w:rFonts w:ascii="Times New Roman" w:hAnsi="Times New Roman" w:cs="Times New Roman"/>
          <w:sz w:val="24"/>
        </w:rPr>
        <w:t xml:space="preserve">. The </w:t>
      </w:r>
      <w:r w:rsidR="00FA02C2">
        <w:rPr>
          <w:rFonts w:ascii="Times New Roman" w:hAnsi="Times New Roman" w:cs="Times New Roman"/>
          <w:sz w:val="24"/>
        </w:rPr>
        <w:t xml:space="preserve">SAM of Nicaragua is provided by the Central Bank of Nicaragua. It consists of 115 activities(agriculture, mineral mining, thermal public generation, hydroelectric public generation, thermal private generation, geothermal private generation, hydroelectric private generation, biomass private generation, wind private generation, transmission services, distribution services, processed foods, textile and apparel, other manufacturing, refined oil, construction, private services, public services) 118 commodities(agriculture, mineral mining, crude oil and gas, electricity, processed foods, textile and wearing apparel, other manufacturing, refined oil, construction, private services and public services) and factors such as the capital, labor(self employed and employed), land, natural resources. </w:t>
      </w:r>
    </w:p>
    <w:p w14:paraId="00A89689" w14:textId="77777777" w:rsidR="00FA02C2" w:rsidRDefault="00FA02C2" w:rsidP="00822B21">
      <w:pPr>
        <w:pStyle w:val="NoSpacing"/>
        <w:jc w:val="both"/>
        <w:rPr>
          <w:rFonts w:ascii="Times New Roman" w:hAnsi="Times New Roman" w:cs="Times New Roman"/>
          <w:sz w:val="24"/>
        </w:rPr>
      </w:pPr>
    </w:p>
    <w:p w14:paraId="37B76250" w14:textId="3576A8A3" w:rsidR="00BC034F" w:rsidRDefault="00FA02C2" w:rsidP="00822B21">
      <w:pPr>
        <w:pStyle w:val="NoSpacing"/>
        <w:jc w:val="both"/>
        <w:rPr>
          <w:rFonts w:ascii="Times New Roman" w:hAnsi="Times New Roman" w:cs="Times New Roman"/>
          <w:sz w:val="24"/>
        </w:rPr>
      </w:pPr>
      <w:r>
        <w:rPr>
          <w:rFonts w:ascii="Times New Roman" w:hAnsi="Times New Roman" w:cs="Times New Roman"/>
          <w:sz w:val="24"/>
        </w:rPr>
        <w:t xml:space="preserve">By using MANAGE and the latest SAM of Nicaragua, </w:t>
      </w:r>
      <w:r w:rsidR="00822B21" w:rsidRPr="00822B21">
        <w:rPr>
          <w:rFonts w:ascii="Times New Roman" w:hAnsi="Times New Roman" w:cs="Times New Roman"/>
          <w:sz w:val="24"/>
        </w:rPr>
        <w:t xml:space="preserve">as well as updated the </w:t>
      </w:r>
      <w:r w:rsidR="00822B21">
        <w:rPr>
          <w:rFonts w:ascii="Times New Roman" w:hAnsi="Times New Roman" w:cs="Times New Roman"/>
          <w:sz w:val="24"/>
        </w:rPr>
        <w:t xml:space="preserve">energy matrix and the </w:t>
      </w:r>
      <w:r w:rsidR="00785A41" w:rsidRPr="00785A41">
        <w:rPr>
          <w:rFonts w:ascii="Times New Roman" w:hAnsi="Times New Roman" w:cs="Times New Roman"/>
          <w:sz w:val="24"/>
        </w:rPr>
        <w:t>levelized cost of electricity (</w:t>
      </w:r>
      <w:r w:rsidR="007B0888" w:rsidRPr="00785A41">
        <w:rPr>
          <w:rFonts w:ascii="Times New Roman" w:hAnsi="Times New Roman" w:cs="Times New Roman"/>
          <w:sz w:val="24"/>
        </w:rPr>
        <w:t>LCOE)</w:t>
      </w:r>
      <w:r w:rsidR="007B0888">
        <w:rPr>
          <w:rFonts w:ascii="Times New Roman" w:hAnsi="Times New Roman" w:cs="Times New Roman"/>
          <w:sz w:val="24"/>
        </w:rPr>
        <w:t xml:space="preserve"> that</w:t>
      </w:r>
      <w:r w:rsidR="00822B21">
        <w:rPr>
          <w:rFonts w:ascii="Times New Roman" w:hAnsi="Times New Roman" w:cs="Times New Roman"/>
          <w:sz w:val="24"/>
        </w:rPr>
        <w:t xml:space="preserve"> feed</w:t>
      </w:r>
      <w:r w:rsidR="00785A41">
        <w:rPr>
          <w:rFonts w:ascii="Times New Roman" w:hAnsi="Times New Roman" w:cs="Times New Roman"/>
          <w:sz w:val="24"/>
        </w:rPr>
        <w:t>s</w:t>
      </w:r>
      <w:r w:rsidR="00822B21">
        <w:rPr>
          <w:rFonts w:ascii="Times New Roman" w:hAnsi="Times New Roman" w:cs="Times New Roman"/>
          <w:sz w:val="24"/>
        </w:rPr>
        <w:t xml:space="preserve"> </w:t>
      </w:r>
      <w:r>
        <w:rPr>
          <w:rFonts w:ascii="Times New Roman" w:hAnsi="Times New Roman" w:cs="Times New Roman"/>
          <w:sz w:val="24"/>
        </w:rPr>
        <w:t>MANAGE model on energy generation</w:t>
      </w:r>
      <w:r w:rsidR="00822B21">
        <w:rPr>
          <w:rFonts w:ascii="Times New Roman" w:hAnsi="Times New Roman" w:cs="Times New Roman"/>
          <w:sz w:val="24"/>
        </w:rPr>
        <w:t xml:space="preserve">. </w:t>
      </w:r>
      <w:r w:rsidR="00785A41">
        <w:rPr>
          <w:rFonts w:ascii="Times New Roman" w:hAnsi="Times New Roman" w:cs="Times New Roman"/>
          <w:sz w:val="24"/>
        </w:rPr>
        <w:t xml:space="preserve">The paper will elucidate some of the key macroeconomic aspects of Nicaragua’s energy plan, for example potentially short-run balance of payments constraints as Nicaragua invests in new (imported) renewable energy capacity, but long-term relief due to lower oil imports. Nicaragua’s potential output could exceed domestic </w:t>
      </w:r>
      <w:r w:rsidR="007B0888">
        <w:rPr>
          <w:rFonts w:ascii="Times New Roman" w:hAnsi="Times New Roman" w:cs="Times New Roman"/>
          <w:sz w:val="24"/>
        </w:rPr>
        <w:t>capacity;</w:t>
      </w:r>
      <w:r w:rsidR="00785A41">
        <w:rPr>
          <w:rFonts w:ascii="Times New Roman" w:hAnsi="Times New Roman" w:cs="Times New Roman"/>
          <w:sz w:val="24"/>
        </w:rPr>
        <w:t xml:space="preserve"> thus an additional long-term benefit could be the potential to export surplus output. This potential could be limited if investments in cross-border transmission fails to materialize.</w:t>
      </w:r>
    </w:p>
    <w:p w14:paraId="114378C6" w14:textId="77777777" w:rsidR="00785A41" w:rsidRDefault="00785A41" w:rsidP="00822B21">
      <w:pPr>
        <w:pStyle w:val="NoSpacing"/>
        <w:jc w:val="both"/>
        <w:rPr>
          <w:rFonts w:ascii="Times New Roman" w:hAnsi="Times New Roman" w:cs="Times New Roman"/>
          <w:sz w:val="24"/>
        </w:rPr>
      </w:pPr>
    </w:p>
    <w:bookmarkEnd w:id="0"/>
    <w:p w14:paraId="3054FBB1" w14:textId="47487477" w:rsidR="00971993" w:rsidRDefault="00971993" w:rsidP="00822B21">
      <w:pPr>
        <w:pStyle w:val="NoSpacing"/>
        <w:jc w:val="both"/>
        <w:rPr>
          <w:rFonts w:ascii="Times New Roman" w:hAnsi="Times New Roman" w:cs="Times New Roman"/>
          <w:sz w:val="24"/>
        </w:rPr>
      </w:pPr>
    </w:p>
    <w:p w14:paraId="26718079" w14:textId="77777777" w:rsidR="00AD494D" w:rsidRDefault="00AD494D" w:rsidP="00822B21">
      <w:pPr>
        <w:pStyle w:val="NoSpacing"/>
        <w:jc w:val="both"/>
        <w:rPr>
          <w:rFonts w:ascii="Times New Roman" w:hAnsi="Times New Roman" w:cs="Times New Roman"/>
          <w:sz w:val="24"/>
        </w:rPr>
      </w:pPr>
    </w:p>
    <w:p w14:paraId="005A03FD" w14:textId="4C3D0C8B" w:rsidR="000E322B" w:rsidRDefault="000E322B" w:rsidP="00822B21">
      <w:pPr>
        <w:pStyle w:val="NoSpacing"/>
        <w:jc w:val="both"/>
        <w:rPr>
          <w:rFonts w:ascii="Times New Roman" w:hAnsi="Times New Roman" w:cs="Times New Roman"/>
          <w:sz w:val="24"/>
        </w:rPr>
      </w:pPr>
    </w:p>
    <w:p w14:paraId="5D17022B" w14:textId="56BB0502" w:rsidR="000E5B6F" w:rsidRDefault="000E5B6F" w:rsidP="00822B21">
      <w:pPr>
        <w:pStyle w:val="NoSpacing"/>
        <w:jc w:val="both"/>
        <w:rPr>
          <w:rFonts w:ascii="Times New Roman" w:hAnsi="Times New Roman" w:cs="Times New Roman"/>
          <w:sz w:val="24"/>
        </w:rPr>
      </w:pPr>
    </w:p>
    <w:p w14:paraId="5FBC1250" w14:textId="4D17792E" w:rsidR="000E5B6F" w:rsidRDefault="000E5B6F" w:rsidP="00822B21">
      <w:pPr>
        <w:pStyle w:val="NoSpacing"/>
        <w:jc w:val="both"/>
        <w:rPr>
          <w:rFonts w:ascii="Times New Roman" w:hAnsi="Times New Roman" w:cs="Times New Roman"/>
          <w:sz w:val="24"/>
        </w:rPr>
      </w:pPr>
    </w:p>
    <w:p w14:paraId="1890A5B1" w14:textId="003131D3" w:rsidR="000E5B6F" w:rsidRDefault="000E5B6F" w:rsidP="00822B21">
      <w:pPr>
        <w:pStyle w:val="NoSpacing"/>
        <w:jc w:val="both"/>
        <w:rPr>
          <w:rFonts w:ascii="Times New Roman" w:hAnsi="Times New Roman" w:cs="Times New Roman"/>
          <w:sz w:val="24"/>
        </w:rPr>
      </w:pPr>
    </w:p>
    <w:p w14:paraId="7A5119CE" w14:textId="1457EFD9" w:rsidR="000E5B6F" w:rsidRDefault="000E5B6F" w:rsidP="00822B21">
      <w:pPr>
        <w:pStyle w:val="NoSpacing"/>
        <w:jc w:val="both"/>
        <w:rPr>
          <w:rFonts w:ascii="Times New Roman" w:hAnsi="Times New Roman" w:cs="Times New Roman"/>
          <w:sz w:val="24"/>
        </w:rPr>
      </w:pPr>
    </w:p>
    <w:p w14:paraId="0C990B03" w14:textId="664827E3" w:rsidR="000E5B6F" w:rsidRDefault="000E5B6F" w:rsidP="00822B21">
      <w:pPr>
        <w:pStyle w:val="NoSpacing"/>
        <w:jc w:val="both"/>
        <w:rPr>
          <w:rFonts w:ascii="Times New Roman" w:hAnsi="Times New Roman" w:cs="Times New Roman"/>
          <w:sz w:val="24"/>
        </w:rPr>
      </w:pPr>
    </w:p>
    <w:p w14:paraId="792F1956" w14:textId="77777777" w:rsidR="000E5B6F" w:rsidRDefault="000E5B6F" w:rsidP="00822B21">
      <w:pPr>
        <w:pStyle w:val="NoSpacing"/>
        <w:jc w:val="both"/>
        <w:rPr>
          <w:rFonts w:ascii="Times New Roman" w:hAnsi="Times New Roman" w:cs="Times New Roman"/>
          <w:sz w:val="24"/>
        </w:rPr>
      </w:pPr>
    </w:p>
    <w:p w14:paraId="7853E443" w14:textId="77777777" w:rsidR="000E322B" w:rsidRDefault="000E322B" w:rsidP="00822B21">
      <w:pPr>
        <w:pStyle w:val="NoSpacing"/>
        <w:jc w:val="both"/>
        <w:rPr>
          <w:rFonts w:ascii="Times New Roman" w:hAnsi="Times New Roman" w:cs="Times New Roman"/>
          <w:sz w:val="24"/>
        </w:rPr>
      </w:pPr>
    </w:p>
    <w:p w14:paraId="06DB4F0C" w14:textId="77777777" w:rsidR="000E5B6F" w:rsidRPr="001C6A43" w:rsidRDefault="000E5B6F" w:rsidP="000E5B6F">
      <w:pPr>
        <w:spacing w:line="240" w:lineRule="auto"/>
        <w:rPr>
          <w:rFonts w:ascii="Times New Roman" w:hAnsi="Times New Roman" w:cs="Times New Roman"/>
          <w:b/>
          <w:sz w:val="24"/>
          <w:szCs w:val="24"/>
        </w:rPr>
      </w:pPr>
      <w:r w:rsidRPr="001C6A43">
        <w:rPr>
          <w:rFonts w:ascii="Times New Roman" w:hAnsi="Times New Roman" w:cs="Times New Roman"/>
          <w:b/>
          <w:sz w:val="24"/>
          <w:szCs w:val="24"/>
        </w:rPr>
        <w:lastRenderedPageBreak/>
        <w:t xml:space="preserve">References: </w:t>
      </w:r>
    </w:p>
    <w:p w14:paraId="26743443" w14:textId="77777777" w:rsidR="000E5B6F" w:rsidRPr="001C6A43" w:rsidRDefault="000E5B6F" w:rsidP="000E5B6F">
      <w:pPr>
        <w:spacing w:line="240" w:lineRule="auto"/>
        <w:rPr>
          <w:rFonts w:ascii="Times New Roman" w:hAnsi="Times New Roman" w:cs="Times New Roman"/>
          <w:sz w:val="24"/>
          <w:szCs w:val="24"/>
        </w:rPr>
      </w:pPr>
      <w:r w:rsidRPr="001C6A43">
        <w:rPr>
          <w:rFonts w:ascii="Times New Roman" w:hAnsi="Times New Roman" w:cs="Times New Roman"/>
          <w:sz w:val="24"/>
          <w:szCs w:val="24"/>
        </w:rPr>
        <w:t xml:space="preserve">The AWEA blog (2017,August 25). </w:t>
      </w:r>
      <w:r w:rsidRPr="001C6A43">
        <w:rPr>
          <w:rFonts w:ascii="Times New Roman" w:hAnsi="Times New Roman" w:cs="Times New Roman"/>
          <w:i/>
          <w:sz w:val="24"/>
          <w:szCs w:val="24"/>
        </w:rPr>
        <w:t xml:space="preserve">Wind power cost: another 50 percent reduction possible by 2030. </w:t>
      </w:r>
      <w:r w:rsidRPr="001C6A43">
        <w:rPr>
          <w:rFonts w:ascii="Times New Roman" w:hAnsi="Times New Roman" w:cs="Times New Roman"/>
          <w:sz w:val="24"/>
          <w:szCs w:val="24"/>
        </w:rPr>
        <w:t xml:space="preserve">Retrieved from </w:t>
      </w:r>
      <w:hyperlink r:id="rId6" w:history="1">
        <w:r w:rsidRPr="001C6A43">
          <w:rPr>
            <w:rStyle w:val="Hyperlink"/>
            <w:rFonts w:ascii="Times New Roman" w:hAnsi="Times New Roman" w:cs="Times New Roman"/>
            <w:sz w:val="24"/>
            <w:szCs w:val="24"/>
          </w:rPr>
          <w:t>http://www.aweablog.org/wind-power-costs-50-percent-reduction-possible-2030/</w:t>
        </w:r>
      </w:hyperlink>
      <w:r w:rsidRPr="001C6A43">
        <w:rPr>
          <w:rFonts w:ascii="Times New Roman" w:hAnsi="Times New Roman" w:cs="Times New Roman"/>
          <w:sz w:val="24"/>
          <w:szCs w:val="24"/>
        </w:rPr>
        <w:t xml:space="preserve"> </w:t>
      </w:r>
    </w:p>
    <w:p w14:paraId="5305AAF5" w14:textId="77777777" w:rsidR="000E5B6F" w:rsidRDefault="000E5B6F" w:rsidP="000E5B6F">
      <w:pPr>
        <w:spacing w:line="240" w:lineRule="auto"/>
        <w:rPr>
          <w:rFonts w:ascii="Times New Roman" w:hAnsi="Times New Roman" w:cs="Times New Roman"/>
          <w:sz w:val="24"/>
          <w:szCs w:val="24"/>
        </w:rPr>
      </w:pPr>
    </w:p>
    <w:p w14:paraId="1B7C50D3" w14:textId="77777777" w:rsidR="000E5B6F" w:rsidRPr="001C6A43" w:rsidRDefault="000E5B6F" w:rsidP="000E5B6F">
      <w:pPr>
        <w:spacing w:line="240" w:lineRule="auto"/>
        <w:rPr>
          <w:rStyle w:val="selectable"/>
          <w:rFonts w:ascii="Times New Roman" w:hAnsi="Times New Roman" w:cs="Times New Roman"/>
          <w:color w:val="666666"/>
          <w:sz w:val="24"/>
          <w:szCs w:val="24"/>
          <w:shd w:val="clear" w:color="auto" w:fill="FFFFFF"/>
        </w:rPr>
      </w:pPr>
      <w:r w:rsidRPr="001C6A43">
        <w:rPr>
          <w:rStyle w:val="Strong"/>
          <w:rFonts w:ascii="Arial" w:hAnsi="Arial" w:cs="Arial"/>
          <w:color w:val="666666"/>
          <w:sz w:val="24"/>
          <w:szCs w:val="24"/>
          <w:shd w:val="clear" w:color="auto" w:fill="FFFFFF"/>
        </w:rPr>
        <w:t> </w:t>
      </w:r>
      <w:r w:rsidRPr="001C6A43">
        <w:rPr>
          <w:rStyle w:val="selectable"/>
          <w:rFonts w:ascii="Times New Roman" w:hAnsi="Times New Roman" w:cs="Times New Roman"/>
          <w:color w:val="666666"/>
          <w:sz w:val="24"/>
          <w:szCs w:val="24"/>
          <w:shd w:val="clear" w:color="auto" w:fill="FFFFFF"/>
        </w:rPr>
        <w:t xml:space="preserve">Frankfurt School of Finance &amp; Management (2015). Global Trends in Renewable Energy Invesment 2016. [online] Frankfurt: Bloomberg New Energy Finance. Available at: </w:t>
      </w:r>
      <w:hyperlink r:id="rId7" w:history="1">
        <w:r w:rsidRPr="001C6A43">
          <w:rPr>
            <w:rStyle w:val="Hyperlink"/>
            <w:rFonts w:ascii="Times New Roman" w:hAnsi="Times New Roman" w:cs="Times New Roman"/>
            <w:sz w:val="24"/>
            <w:szCs w:val="24"/>
            <w:shd w:val="clear" w:color="auto" w:fill="FFFFFF"/>
          </w:rPr>
          <w:t>http://fs-unepcentre.org/sites/default/files/publications/globaltrendsinrenewableenergyinvestment2016lowres_0.pdf</w:t>
        </w:r>
      </w:hyperlink>
    </w:p>
    <w:p w14:paraId="0B355DA3" w14:textId="77777777" w:rsidR="000E5B6F" w:rsidRPr="001C6A43" w:rsidRDefault="000E5B6F" w:rsidP="000E5B6F">
      <w:pPr>
        <w:spacing w:line="240" w:lineRule="auto"/>
        <w:rPr>
          <w:rFonts w:ascii="Times New Roman" w:hAnsi="Times New Roman" w:cs="Times New Roman"/>
          <w:sz w:val="24"/>
          <w:szCs w:val="24"/>
        </w:rPr>
      </w:pPr>
    </w:p>
    <w:p w14:paraId="1955E56C" w14:textId="77777777" w:rsidR="000E5B6F" w:rsidRDefault="000E5B6F" w:rsidP="000E5B6F">
      <w:pPr>
        <w:spacing w:line="240" w:lineRule="auto"/>
        <w:rPr>
          <w:rFonts w:ascii="Times New Roman" w:hAnsi="Times New Roman" w:cs="Times New Roman"/>
          <w:sz w:val="24"/>
          <w:szCs w:val="24"/>
        </w:rPr>
      </w:pPr>
      <w:r>
        <w:rPr>
          <w:rFonts w:ascii="Times New Roman" w:hAnsi="Times New Roman" w:cs="Times New Roman"/>
          <w:sz w:val="24"/>
          <w:szCs w:val="24"/>
        </w:rPr>
        <w:t xml:space="preserve">Lazards (2017). </w:t>
      </w:r>
      <w:r w:rsidRPr="008C3163">
        <w:rPr>
          <w:rFonts w:ascii="Times New Roman" w:hAnsi="Times New Roman" w:cs="Times New Roman"/>
          <w:i/>
          <w:sz w:val="24"/>
          <w:szCs w:val="24"/>
        </w:rPr>
        <w:t>Lazard’s Levelized Cost of Energy Analysis- Version 10.0</w:t>
      </w:r>
      <w:r>
        <w:rPr>
          <w:rFonts w:ascii="Times New Roman" w:hAnsi="Times New Roman" w:cs="Times New Roman"/>
          <w:sz w:val="24"/>
          <w:szCs w:val="24"/>
        </w:rPr>
        <w:t xml:space="preserve">. Retrieved from </w:t>
      </w:r>
      <w:hyperlink r:id="rId8" w:history="1">
        <w:r w:rsidRPr="00F96BBB">
          <w:rPr>
            <w:rStyle w:val="Hyperlink"/>
            <w:rFonts w:ascii="Times New Roman" w:hAnsi="Times New Roman" w:cs="Times New Roman"/>
            <w:sz w:val="24"/>
            <w:szCs w:val="24"/>
          </w:rPr>
          <w:t>https://www.lazard.com/media/438038/levelized-cost-of-energy-v100.pdf</w:t>
        </w:r>
      </w:hyperlink>
    </w:p>
    <w:p w14:paraId="0F4F2459" w14:textId="77777777" w:rsidR="000E5B6F" w:rsidRPr="001C6A43" w:rsidRDefault="000E5B6F" w:rsidP="000E5B6F">
      <w:pPr>
        <w:spacing w:line="240" w:lineRule="auto"/>
        <w:rPr>
          <w:rFonts w:ascii="Times New Roman" w:hAnsi="Times New Roman" w:cs="Times New Roman"/>
          <w:sz w:val="24"/>
          <w:szCs w:val="24"/>
        </w:rPr>
      </w:pPr>
    </w:p>
    <w:p w14:paraId="6A322214" w14:textId="77777777" w:rsidR="000E5B6F" w:rsidRDefault="000E5B6F" w:rsidP="000E5B6F">
      <w:pPr>
        <w:spacing w:line="240" w:lineRule="auto"/>
        <w:rPr>
          <w:rFonts w:ascii="Times New Roman" w:hAnsi="Times New Roman" w:cs="Times New Roman"/>
          <w:sz w:val="24"/>
          <w:szCs w:val="24"/>
        </w:rPr>
      </w:pPr>
      <w:r w:rsidRPr="001C6A43">
        <w:rPr>
          <w:rFonts w:ascii="Times New Roman" w:hAnsi="Times New Roman" w:cs="Times New Roman"/>
          <w:sz w:val="24"/>
          <w:szCs w:val="24"/>
        </w:rPr>
        <w:t xml:space="preserve">Next Era Energy Resources (2016). </w:t>
      </w:r>
      <w:r w:rsidRPr="001C6A43">
        <w:rPr>
          <w:rFonts w:ascii="Times New Roman" w:hAnsi="Times New Roman" w:cs="Times New Roman"/>
          <w:i/>
          <w:sz w:val="24"/>
          <w:szCs w:val="24"/>
        </w:rPr>
        <w:t>Annual Report.</w:t>
      </w:r>
      <w:r w:rsidRPr="001C6A43">
        <w:rPr>
          <w:rFonts w:ascii="Times New Roman" w:hAnsi="Times New Roman" w:cs="Times New Roman"/>
          <w:sz w:val="24"/>
          <w:szCs w:val="24"/>
        </w:rPr>
        <w:t xml:space="preserve"> Retrieved from </w:t>
      </w:r>
      <w:hyperlink r:id="rId9" w:history="1">
        <w:r w:rsidRPr="001C6A43">
          <w:rPr>
            <w:rStyle w:val="Hyperlink"/>
            <w:rFonts w:ascii="Times New Roman" w:hAnsi="Times New Roman" w:cs="Times New Roman"/>
            <w:sz w:val="24"/>
            <w:szCs w:val="24"/>
          </w:rPr>
          <w:t>http://www.nexteraenergy.com/pdf/annual.pdf</w:t>
        </w:r>
      </w:hyperlink>
    </w:p>
    <w:p w14:paraId="20523880" w14:textId="77777777" w:rsidR="000E5B6F" w:rsidRPr="001C6A43" w:rsidRDefault="000E5B6F" w:rsidP="000E5B6F">
      <w:pPr>
        <w:spacing w:line="240" w:lineRule="auto"/>
        <w:rPr>
          <w:rFonts w:ascii="Times New Roman" w:hAnsi="Times New Roman" w:cs="Times New Roman"/>
          <w:sz w:val="24"/>
          <w:szCs w:val="24"/>
        </w:rPr>
      </w:pPr>
    </w:p>
    <w:p w14:paraId="0D4E5B2C" w14:textId="1EEBEB56" w:rsidR="000E5B6F" w:rsidRDefault="000E5B6F" w:rsidP="000E5B6F">
      <w:pPr>
        <w:spacing w:line="240" w:lineRule="auto"/>
        <w:rPr>
          <w:rStyle w:val="Hyperlink"/>
          <w:rFonts w:ascii="Times New Roman" w:hAnsi="Times New Roman" w:cs="Times New Roman"/>
          <w:sz w:val="24"/>
          <w:szCs w:val="24"/>
        </w:rPr>
      </w:pPr>
      <w:r w:rsidRPr="001C6A43">
        <w:rPr>
          <w:rFonts w:ascii="Times New Roman" w:hAnsi="Times New Roman" w:cs="Times New Roman"/>
          <w:sz w:val="24"/>
          <w:szCs w:val="24"/>
        </w:rPr>
        <w:t>Peters, J. (2016). </w:t>
      </w:r>
      <w:r w:rsidRPr="001C6A43">
        <w:rPr>
          <w:rFonts w:ascii="Times New Roman" w:hAnsi="Times New Roman" w:cs="Times New Roman"/>
          <w:i/>
          <w:iCs/>
          <w:sz w:val="24"/>
          <w:szCs w:val="24"/>
        </w:rPr>
        <w:t>GTAP-E-Power: An electricity-detailed extension of the GTAP-E model</w:t>
      </w:r>
      <w:r w:rsidRPr="001C6A43">
        <w:rPr>
          <w:rFonts w:ascii="Times New Roman" w:hAnsi="Times New Roman" w:cs="Times New Roman"/>
          <w:sz w:val="24"/>
          <w:szCs w:val="24"/>
        </w:rPr>
        <w:t>(Presented at the 19th Annual Conference on Global Economic Analysis, Washington DC, USA). Purdue University, West Lafayette, IN: Global Trade Analysis Project (GTAP). Retrieved from</w:t>
      </w:r>
      <w:r>
        <w:rPr>
          <w:rFonts w:ascii="Times New Roman" w:hAnsi="Times New Roman" w:cs="Times New Roman"/>
          <w:sz w:val="24"/>
          <w:szCs w:val="24"/>
        </w:rPr>
        <w:t xml:space="preserve"> </w:t>
      </w:r>
      <w:hyperlink r:id="rId10" w:history="1">
        <w:r w:rsidRPr="00F96BBB">
          <w:rPr>
            <w:rStyle w:val="Hyperlink"/>
            <w:rFonts w:ascii="Times New Roman" w:hAnsi="Times New Roman" w:cs="Times New Roman"/>
            <w:sz w:val="24"/>
            <w:szCs w:val="24"/>
          </w:rPr>
          <w:t>https://www.gtap.agecon.purdue.edu/resources/res_display.asp?RecordID=4891</w:t>
        </w:r>
      </w:hyperlink>
    </w:p>
    <w:p w14:paraId="5BAFF5B7" w14:textId="08726585" w:rsidR="000E5B6F" w:rsidRDefault="000E5B6F" w:rsidP="000E5B6F">
      <w:pPr>
        <w:spacing w:line="240" w:lineRule="auto"/>
        <w:rPr>
          <w:rFonts w:ascii="Times New Roman" w:hAnsi="Times New Roman" w:cs="Times New Roman"/>
          <w:sz w:val="24"/>
          <w:szCs w:val="24"/>
        </w:rPr>
      </w:pPr>
    </w:p>
    <w:p w14:paraId="27AD5258" w14:textId="44E353F8" w:rsidR="000E5B6F" w:rsidRDefault="000E5B6F" w:rsidP="000E5B6F">
      <w:pPr>
        <w:spacing w:line="240" w:lineRule="auto"/>
        <w:rPr>
          <w:rFonts w:ascii="Times New Roman" w:hAnsi="Times New Roman" w:cs="Times New Roman"/>
          <w:sz w:val="24"/>
          <w:szCs w:val="24"/>
        </w:rPr>
      </w:pPr>
      <w:r>
        <w:rPr>
          <w:rFonts w:ascii="Times New Roman" w:hAnsi="Times New Roman" w:cs="Times New Roman"/>
          <w:sz w:val="24"/>
          <w:szCs w:val="24"/>
        </w:rPr>
        <w:t xml:space="preserve">van der Mensbrugghe (2018). </w:t>
      </w:r>
      <w:r w:rsidR="00137A85">
        <w:rPr>
          <w:rFonts w:ascii="Times New Roman" w:hAnsi="Times New Roman" w:cs="Times New Roman"/>
          <w:sz w:val="24"/>
          <w:szCs w:val="24"/>
        </w:rPr>
        <w:t>“</w:t>
      </w:r>
      <w:r>
        <w:rPr>
          <w:rFonts w:ascii="Times New Roman" w:hAnsi="Times New Roman" w:cs="Times New Roman"/>
          <w:sz w:val="24"/>
          <w:szCs w:val="24"/>
        </w:rPr>
        <w:t>Mitigation, Adaptation and New Technologies Applied General Equilibrium (MANAGE) Model – Version 2.0g.</w:t>
      </w:r>
      <w:r w:rsidR="00137A85">
        <w:rPr>
          <w:rFonts w:ascii="Times New Roman" w:hAnsi="Times New Roman" w:cs="Times New Roman"/>
          <w:sz w:val="24"/>
          <w:szCs w:val="24"/>
        </w:rPr>
        <w:t>”</w:t>
      </w:r>
    </w:p>
    <w:p w14:paraId="192C5976" w14:textId="5570CBB9" w:rsidR="00B674E3" w:rsidRDefault="00B674E3" w:rsidP="000E5B6F">
      <w:pPr>
        <w:pStyle w:val="NoSpacing"/>
        <w:jc w:val="both"/>
        <w:rPr>
          <w:rFonts w:ascii="Times New Roman" w:hAnsi="Times New Roman" w:cs="Times New Roman"/>
          <w:sz w:val="24"/>
        </w:rPr>
      </w:pPr>
    </w:p>
    <w:p w14:paraId="63445976" w14:textId="77777777" w:rsidR="00B674E3" w:rsidRDefault="00B674E3" w:rsidP="000E5B6F">
      <w:pPr>
        <w:pStyle w:val="NoSpacing"/>
        <w:jc w:val="both"/>
        <w:rPr>
          <w:rFonts w:ascii="Times New Roman" w:hAnsi="Times New Roman" w:cs="Times New Roman"/>
          <w:sz w:val="24"/>
        </w:rPr>
      </w:pPr>
    </w:p>
    <w:p w14:paraId="203C0F34" w14:textId="3B200C7E" w:rsidR="00916502" w:rsidRDefault="00916502" w:rsidP="000E5B6F">
      <w:pPr>
        <w:pStyle w:val="NoSpacing"/>
        <w:jc w:val="both"/>
        <w:rPr>
          <w:rFonts w:ascii="Times New Roman" w:hAnsi="Times New Roman" w:cs="Times New Roman"/>
          <w:sz w:val="24"/>
        </w:rPr>
      </w:pPr>
    </w:p>
    <w:p w14:paraId="08161116" w14:textId="77777777" w:rsidR="00916502" w:rsidRDefault="00916502" w:rsidP="000E5B6F">
      <w:pPr>
        <w:pStyle w:val="NoSpacing"/>
        <w:jc w:val="both"/>
        <w:rPr>
          <w:rFonts w:ascii="Times New Roman" w:hAnsi="Times New Roman" w:cs="Times New Roman"/>
          <w:sz w:val="24"/>
        </w:rPr>
      </w:pPr>
    </w:p>
    <w:p w14:paraId="6826AE36" w14:textId="77777777" w:rsidR="001B02D6" w:rsidRPr="00822B21" w:rsidRDefault="001B02D6" w:rsidP="000E5B6F">
      <w:pPr>
        <w:pStyle w:val="NoSpacing"/>
        <w:jc w:val="both"/>
        <w:rPr>
          <w:rFonts w:ascii="Times New Roman" w:hAnsi="Times New Roman" w:cs="Times New Roman"/>
          <w:sz w:val="24"/>
        </w:rPr>
      </w:pPr>
    </w:p>
    <w:sectPr w:rsidR="001B02D6" w:rsidRPr="00822B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DACF75" w14:textId="77777777" w:rsidR="00646A6D" w:rsidRDefault="00646A6D" w:rsidP="001107BB">
      <w:pPr>
        <w:spacing w:after="0" w:line="240" w:lineRule="auto"/>
      </w:pPr>
      <w:r>
        <w:separator/>
      </w:r>
    </w:p>
  </w:endnote>
  <w:endnote w:type="continuationSeparator" w:id="0">
    <w:p w14:paraId="5DB878F2" w14:textId="77777777" w:rsidR="00646A6D" w:rsidRDefault="00646A6D" w:rsidP="00110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0ED04" w14:textId="77777777" w:rsidR="00646A6D" w:rsidRDefault="00646A6D" w:rsidP="001107BB">
      <w:pPr>
        <w:spacing w:after="0" w:line="240" w:lineRule="auto"/>
      </w:pPr>
      <w:r>
        <w:separator/>
      </w:r>
    </w:p>
  </w:footnote>
  <w:footnote w:type="continuationSeparator" w:id="0">
    <w:p w14:paraId="13CC01BD" w14:textId="77777777" w:rsidR="00646A6D" w:rsidRDefault="00646A6D" w:rsidP="001107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34F"/>
    <w:rsid w:val="000335F2"/>
    <w:rsid w:val="00081C5C"/>
    <w:rsid w:val="000B0E4F"/>
    <w:rsid w:val="000E322B"/>
    <w:rsid w:val="000E5B6F"/>
    <w:rsid w:val="00106B85"/>
    <w:rsid w:val="001107BB"/>
    <w:rsid w:val="00122E48"/>
    <w:rsid w:val="00137A85"/>
    <w:rsid w:val="00181CCC"/>
    <w:rsid w:val="00185022"/>
    <w:rsid w:val="001B02D6"/>
    <w:rsid w:val="002526F8"/>
    <w:rsid w:val="00300BC4"/>
    <w:rsid w:val="00312698"/>
    <w:rsid w:val="00331D66"/>
    <w:rsid w:val="00390EF3"/>
    <w:rsid w:val="003B4CDA"/>
    <w:rsid w:val="00412DDF"/>
    <w:rsid w:val="00450731"/>
    <w:rsid w:val="004A321F"/>
    <w:rsid w:val="004A7C53"/>
    <w:rsid w:val="004B7929"/>
    <w:rsid w:val="004C252D"/>
    <w:rsid w:val="005E623E"/>
    <w:rsid w:val="005F447C"/>
    <w:rsid w:val="00605C54"/>
    <w:rsid w:val="006207B5"/>
    <w:rsid w:val="00646A6D"/>
    <w:rsid w:val="00670F61"/>
    <w:rsid w:val="00685C88"/>
    <w:rsid w:val="006A291F"/>
    <w:rsid w:val="006A4D29"/>
    <w:rsid w:val="00785A41"/>
    <w:rsid w:val="007B0888"/>
    <w:rsid w:val="007B0D57"/>
    <w:rsid w:val="00822B21"/>
    <w:rsid w:val="00826DF2"/>
    <w:rsid w:val="00827F64"/>
    <w:rsid w:val="00833888"/>
    <w:rsid w:val="0086439B"/>
    <w:rsid w:val="00887413"/>
    <w:rsid w:val="00916502"/>
    <w:rsid w:val="00971993"/>
    <w:rsid w:val="00995161"/>
    <w:rsid w:val="009C0FAB"/>
    <w:rsid w:val="009E25F0"/>
    <w:rsid w:val="00AD494D"/>
    <w:rsid w:val="00B674E3"/>
    <w:rsid w:val="00B87A62"/>
    <w:rsid w:val="00BC034F"/>
    <w:rsid w:val="00C03BEB"/>
    <w:rsid w:val="00C111C9"/>
    <w:rsid w:val="00C73F63"/>
    <w:rsid w:val="00CF76F5"/>
    <w:rsid w:val="00D113AB"/>
    <w:rsid w:val="00D8753B"/>
    <w:rsid w:val="00D9386E"/>
    <w:rsid w:val="00DA50C3"/>
    <w:rsid w:val="00DF0558"/>
    <w:rsid w:val="00E42152"/>
    <w:rsid w:val="00E47812"/>
    <w:rsid w:val="00E707C8"/>
    <w:rsid w:val="00F30E31"/>
    <w:rsid w:val="00F40ACE"/>
    <w:rsid w:val="00F728D3"/>
    <w:rsid w:val="00F8762A"/>
    <w:rsid w:val="00FA0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D4E63"/>
  <w15:chartTrackingRefBased/>
  <w15:docId w15:val="{9325D2A2-352F-466B-B66A-E531698B3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034F"/>
    <w:pPr>
      <w:spacing w:after="0" w:line="240" w:lineRule="auto"/>
    </w:pPr>
  </w:style>
  <w:style w:type="paragraph" w:styleId="Header">
    <w:name w:val="header"/>
    <w:basedOn w:val="Normal"/>
    <w:link w:val="HeaderChar"/>
    <w:uiPriority w:val="99"/>
    <w:unhideWhenUsed/>
    <w:rsid w:val="00110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7BB"/>
  </w:style>
  <w:style w:type="paragraph" w:styleId="Footer">
    <w:name w:val="footer"/>
    <w:basedOn w:val="Normal"/>
    <w:link w:val="FooterChar"/>
    <w:uiPriority w:val="99"/>
    <w:unhideWhenUsed/>
    <w:rsid w:val="00110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7BB"/>
  </w:style>
  <w:style w:type="character" w:styleId="Strong">
    <w:name w:val="Strong"/>
    <w:basedOn w:val="DefaultParagraphFont"/>
    <w:uiPriority w:val="22"/>
    <w:qFormat/>
    <w:rsid w:val="00DF0558"/>
    <w:rPr>
      <w:b/>
      <w:bCs/>
    </w:rPr>
  </w:style>
  <w:style w:type="character" w:styleId="Emphasis">
    <w:name w:val="Emphasis"/>
    <w:basedOn w:val="DefaultParagraphFont"/>
    <w:uiPriority w:val="20"/>
    <w:qFormat/>
    <w:rsid w:val="00DF0558"/>
    <w:rPr>
      <w:i/>
      <w:iCs/>
    </w:rPr>
  </w:style>
  <w:style w:type="character" w:styleId="Hyperlink">
    <w:name w:val="Hyperlink"/>
    <w:basedOn w:val="DefaultParagraphFont"/>
    <w:uiPriority w:val="99"/>
    <w:unhideWhenUsed/>
    <w:rsid w:val="000E5B6F"/>
    <w:rPr>
      <w:color w:val="0563C1" w:themeColor="hyperlink"/>
      <w:u w:val="single"/>
    </w:rPr>
  </w:style>
  <w:style w:type="character" w:customStyle="1" w:styleId="selectable">
    <w:name w:val="selectable"/>
    <w:basedOn w:val="DefaultParagraphFont"/>
    <w:rsid w:val="000E5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zard.com/media/438038/levelized-cost-of-energy-v100.pdf" TargetMode="External"/><Relationship Id="rId3" Type="http://schemas.openxmlformats.org/officeDocument/2006/relationships/webSettings" Target="webSettings.xml"/><Relationship Id="rId7" Type="http://schemas.openxmlformats.org/officeDocument/2006/relationships/hyperlink" Target="http://fs-unepcentre.org/sites/default/files/publications/globaltrendsinrenewableenergyinvestment2016lowres_0.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weablog.org/wind-power-costs-50-percent-reduction-possible-203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gtap.agecon.purdue.edu/resources/res_display.asp?RecordID=4891" TargetMode="External"/><Relationship Id="rId4" Type="http://schemas.openxmlformats.org/officeDocument/2006/relationships/footnotes" Target="footnotes.xml"/><Relationship Id="rId9" Type="http://schemas.openxmlformats.org/officeDocument/2006/relationships/hyperlink" Target="http://www.nexteraenergy.com/pdf/annu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1098</Words>
  <Characters>6262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Cortes Selva</dc:creator>
  <cp:keywords/>
  <dc:description/>
  <cp:lastModifiedBy>Alma Cortes</cp:lastModifiedBy>
  <cp:revision>7</cp:revision>
  <dcterms:created xsi:type="dcterms:W3CDTF">2018-04-15T00:46:00Z</dcterms:created>
  <dcterms:modified xsi:type="dcterms:W3CDTF">2018-04-15T00:57:00Z</dcterms:modified>
</cp:coreProperties>
</file>