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9B6" w:rsidRPr="008E71DA" w:rsidRDefault="001D5515" w:rsidP="00257243">
      <w:pPr>
        <w:jc w:val="center"/>
        <w:rPr>
          <w:b/>
          <w:lang w:val="en-CA"/>
        </w:rPr>
      </w:pPr>
      <w:r>
        <w:rPr>
          <w:rFonts w:hint="eastAsia"/>
          <w:b/>
          <w:lang w:val="en-CA"/>
        </w:rPr>
        <w:t xml:space="preserve">A </w:t>
      </w:r>
      <w:proofErr w:type="spellStart"/>
      <w:r w:rsidR="001C60F7">
        <w:rPr>
          <w:b/>
          <w:lang w:val="en-CA"/>
        </w:rPr>
        <w:t>GDyn</w:t>
      </w:r>
      <w:proofErr w:type="spellEnd"/>
      <w:r w:rsidR="00B72194" w:rsidRPr="008E71DA">
        <w:rPr>
          <w:b/>
          <w:lang w:val="en-CA"/>
        </w:rPr>
        <w:t xml:space="preserve"> model</w:t>
      </w:r>
      <w:r w:rsidR="004712E2">
        <w:rPr>
          <w:b/>
          <w:lang w:val="en-CA"/>
        </w:rPr>
        <w:t xml:space="preserve"> with </w:t>
      </w:r>
      <w:r w:rsidR="001C60F7">
        <w:rPr>
          <w:b/>
          <w:lang w:val="en-CA"/>
        </w:rPr>
        <w:t>USAGE-type</w:t>
      </w:r>
      <w:r w:rsidR="0073762A">
        <w:rPr>
          <w:b/>
          <w:lang w:val="en-CA"/>
        </w:rPr>
        <w:t xml:space="preserve"> (Logistic)</w:t>
      </w:r>
      <w:r w:rsidR="001C60F7">
        <w:rPr>
          <w:b/>
          <w:lang w:val="en-CA"/>
        </w:rPr>
        <w:t xml:space="preserve"> </w:t>
      </w:r>
      <w:r w:rsidR="004712E2">
        <w:rPr>
          <w:b/>
          <w:lang w:val="en-CA"/>
        </w:rPr>
        <w:t>Investment Function</w:t>
      </w:r>
      <w:r w:rsidR="001C60F7">
        <w:rPr>
          <w:b/>
          <w:lang w:val="en-CA"/>
        </w:rPr>
        <w:t xml:space="preserve"> and Labor Market Mechanism</w:t>
      </w:r>
    </w:p>
    <w:p w:rsidR="00B72194" w:rsidRDefault="00B72194">
      <w:pPr>
        <w:rPr>
          <w:lang w:val="en-CA"/>
        </w:rPr>
      </w:pPr>
    </w:p>
    <w:p w:rsidR="00B72194" w:rsidRDefault="00B72194" w:rsidP="008E71DA">
      <w:pPr>
        <w:jc w:val="center"/>
        <w:rPr>
          <w:lang w:val="en-CA"/>
        </w:rPr>
      </w:pPr>
      <w:proofErr w:type="spellStart"/>
      <w:r>
        <w:rPr>
          <w:lang w:val="en-CA"/>
        </w:rPr>
        <w:t>Jingliang</w:t>
      </w:r>
      <w:proofErr w:type="spellEnd"/>
      <w:r>
        <w:rPr>
          <w:lang w:val="en-CA"/>
        </w:rPr>
        <w:t xml:space="preserve"> Xiao</w:t>
      </w:r>
      <w:r w:rsidR="00FE206D">
        <w:rPr>
          <w:rStyle w:val="FootnoteReference"/>
          <w:lang w:val="en-CA"/>
        </w:rPr>
        <w:footnoteReference w:id="1"/>
      </w:r>
    </w:p>
    <w:p w:rsidR="00B72194" w:rsidRDefault="00B72194" w:rsidP="008E71DA">
      <w:pPr>
        <w:jc w:val="center"/>
        <w:rPr>
          <w:lang w:val="en-CA"/>
        </w:rPr>
      </w:pPr>
      <w:r>
        <w:rPr>
          <w:lang w:val="en-CA"/>
        </w:rPr>
        <w:t>Infinite-Sum Modeling Inc.</w:t>
      </w:r>
    </w:p>
    <w:p w:rsidR="00B72194" w:rsidRDefault="00B72194" w:rsidP="008E71DA">
      <w:pPr>
        <w:jc w:val="center"/>
        <w:rPr>
          <w:lang w:val="en-CA"/>
        </w:rPr>
      </w:pPr>
      <w:r>
        <w:rPr>
          <w:lang w:val="en-CA"/>
        </w:rPr>
        <w:t xml:space="preserve">Erwin </w:t>
      </w:r>
      <w:proofErr w:type="spellStart"/>
      <w:r>
        <w:rPr>
          <w:lang w:val="en-CA"/>
        </w:rPr>
        <w:t>Corong</w:t>
      </w:r>
      <w:proofErr w:type="spellEnd"/>
    </w:p>
    <w:p w:rsidR="00B72194" w:rsidRDefault="00B72194" w:rsidP="008E71DA">
      <w:pPr>
        <w:jc w:val="center"/>
        <w:rPr>
          <w:lang w:val="en-CA"/>
        </w:rPr>
      </w:pPr>
      <w:r>
        <w:rPr>
          <w:lang w:val="en-CA"/>
        </w:rPr>
        <w:t>GTAP</w:t>
      </w:r>
    </w:p>
    <w:p w:rsidR="00943B24" w:rsidRDefault="00943B24" w:rsidP="00943B24">
      <w:pPr>
        <w:pStyle w:val="ListParagraph"/>
        <w:ind w:left="420" w:firstLineChars="0" w:firstLine="0"/>
        <w:rPr>
          <w:lang w:val="en-CA"/>
        </w:rPr>
      </w:pPr>
    </w:p>
    <w:p w:rsidR="00B72194" w:rsidRPr="00943B24" w:rsidRDefault="00B72194" w:rsidP="00943B24">
      <w:pPr>
        <w:pStyle w:val="ListParagraph"/>
        <w:ind w:left="420" w:firstLineChars="0" w:firstLine="0"/>
        <w:jc w:val="left"/>
        <w:rPr>
          <w:b/>
          <w:sz w:val="24"/>
          <w:szCs w:val="24"/>
          <w:lang w:val="en-CA"/>
        </w:rPr>
      </w:pPr>
      <w:r w:rsidRPr="00943B24">
        <w:rPr>
          <w:b/>
          <w:sz w:val="24"/>
          <w:szCs w:val="24"/>
          <w:lang w:val="en-CA"/>
        </w:rPr>
        <w:t>Abstract</w:t>
      </w:r>
    </w:p>
    <w:p w:rsidR="00B72194" w:rsidRDefault="00B72194">
      <w:pPr>
        <w:rPr>
          <w:lang w:val="en-CA"/>
        </w:rPr>
      </w:pPr>
    </w:p>
    <w:p w:rsidR="0078230D" w:rsidRDefault="00B72194" w:rsidP="008F6439">
      <w:pPr>
        <w:rPr>
          <w:lang w:val="en-CA"/>
        </w:rPr>
      </w:pPr>
      <w:r>
        <w:rPr>
          <w:lang w:val="en-CA"/>
        </w:rPr>
        <w:t xml:space="preserve">The </w:t>
      </w:r>
      <w:r w:rsidR="004970A9">
        <w:rPr>
          <w:lang w:val="en-CA"/>
        </w:rPr>
        <w:t>d</w:t>
      </w:r>
      <w:r w:rsidR="00FE7B4F">
        <w:rPr>
          <w:lang w:val="en-CA"/>
        </w:rPr>
        <w:t xml:space="preserve">ynamic GTAP model, </w:t>
      </w:r>
      <w:proofErr w:type="spellStart"/>
      <w:r w:rsidR="00FE7B4F">
        <w:rPr>
          <w:lang w:val="en-CA"/>
        </w:rPr>
        <w:t>G</w:t>
      </w:r>
      <w:r>
        <w:rPr>
          <w:lang w:val="en-CA"/>
        </w:rPr>
        <w:t>Dyn</w:t>
      </w:r>
      <w:proofErr w:type="spellEnd"/>
      <w:r>
        <w:rPr>
          <w:lang w:val="en-CA"/>
        </w:rPr>
        <w:t xml:space="preserve">, extends the standard </w:t>
      </w:r>
      <w:r w:rsidR="00015241">
        <w:rPr>
          <w:lang w:val="en-CA"/>
        </w:rPr>
        <w:t>(</w:t>
      </w:r>
      <w:r>
        <w:rPr>
          <w:lang w:val="en-CA"/>
        </w:rPr>
        <w:t>static</w:t>
      </w:r>
      <w:r w:rsidR="00015241">
        <w:rPr>
          <w:lang w:val="en-CA"/>
        </w:rPr>
        <w:t>)</w:t>
      </w:r>
      <w:r>
        <w:rPr>
          <w:lang w:val="en-CA"/>
        </w:rPr>
        <w:t xml:space="preserve"> GTAP model to include capital accumulation</w:t>
      </w:r>
      <w:r w:rsidR="00015241">
        <w:rPr>
          <w:lang w:val="en-CA"/>
        </w:rPr>
        <w:t>,</w:t>
      </w:r>
      <w:r>
        <w:rPr>
          <w:lang w:val="en-CA"/>
        </w:rPr>
        <w:t xml:space="preserve"> adaptive expectation theory of investment</w:t>
      </w:r>
      <w:r w:rsidR="00015241">
        <w:rPr>
          <w:lang w:val="en-CA"/>
        </w:rPr>
        <w:t xml:space="preserve"> and international capital mobility</w:t>
      </w:r>
      <w:r>
        <w:rPr>
          <w:lang w:val="en-CA"/>
        </w:rPr>
        <w:t xml:space="preserve">. </w:t>
      </w:r>
      <w:r w:rsidR="00A36F72">
        <w:rPr>
          <w:lang w:val="en-CA"/>
        </w:rPr>
        <w:t xml:space="preserve">In this </w:t>
      </w:r>
      <w:r w:rsidR="001C60F7">
        <w:rPr>
          <w:lang w:val="en-CA"/>
        </w:rPr>
        <w:t>paper</w:t>
      </w:r>
      <w:r w:rsidR="00A36F72">
        <w:rPr>
          <w:lang w:val="en-CA"/>
        </w:rPr>
        <w:t xml:space="preserve">, we </w:t>
      </w:r>
      <w:r w:rsidR="004970A9">
        <w:rPr>
          <w:lang w:val="en-CA"/>
        </w:rPr>
        <w:t>implement</w:t>
      </w:r>
      <w:r w:rsidR="00864529">
        <w:rPr>
          <w:lang w:val="en-CA"/>
        </w:rPr>
        <w:t xml:space="preserve"> </w:t>
      </w:r>
      <w:r w:rsidR="004970A9">
        <w:rPr>
          <w:lang w:val="en-CA"/>
        </w:rPr>
        <w:t xml:space="preserve">in </w:t>
      </w:r>
      <w:proofErr w:type="spellStart"/>
      <w:r w:rsidR="004970A9">
        <w:rPr>
          <w:lang w:val="en-CA"/>
        </w:rPr>
        <w:t>GDyn</w:t>
      </w:r>
      <w:proofErr w:type="spellEnd"/>
      <w:r w:rsidR="008F6439">
        <w:rPr>
          <w:lang w:val="en-CA"/>
        </w:rPr>
        <w:t>,</w:t>
      </w:r>
      <w:r w:rsidR="004970A9">
        <w:rPr>
          <w:lang w:val="en-CA"/>
        </w:rPr>
        <w:t xml:space="preserve"> the </w:t>
      </w:r>
      <w:r w:rsidR="001C60F7">
        <w:rPr>
          <w:lang w:val="en-CA"/>
        </w:rPr>
        <w:t>VU-National/</w:t>
      </w:r>
      <w:r w:rsidR="00A36F72">
        <w:rPr>
          <w:lang w:val="en-CA"/>
        </w:rPr>
        <w:t>MONASH</w:t>
      </w:r>
      <w:r w:rsidR="00661E07">
        <w:rPr>
          <w:lang w:val="en-CA"/>
        </w:rPr>
        <w:t>/</w:t>
      </w:r>
      <w:r w:rsidR="001C60F7">
        <w:rPr>
          <w:lang w:val="en-CA"/>
        </w:rPr>
        <w:t>USAGE</w:t>
      </w:r>
      <w:r w:rsidR="00A36F72">
        <w:rPr>
          <w:lang w:val="en-CA"/>
        </w:rPr>
        <w:t xml:space="preserve">-type </w:t>
      </w:r>
      <w:r w:rsidR="00057AD0">
        <w:rPr>
          <w:lang w:val="en-CA"/>
        </w:rPr>
        <w:t xml:space="preserve">(hereafter USAGE-type) </w:t>
      </w:r>
      <w:r w:rsidR="00A36F72">
        <w:rPr>
          <w:lang w:val="en-CA"/>
        </w:rPr>
        <w:t>Investment theory</w:t>
      </w:r>
      <w:r w:rsidR="00577BB5">
        <w:rPr>
          <w:lang w:val="en-CA"/>
        </w:rPr>
        <w:t xml:space="preserve"> and</w:t>
      </w:r>
      <w:r w:rsidR="00B70A32">
        <w:rPr>
          <w:lang w:val="en-CA"/>
        </w:rPr>
        <w:t xml:space="preserve"> </w:t>
      </w:r>
      <w:r w:rsidR="00864529">
        <w:rPr>
          <w:lang w:val="en-CA"/>
        </w:rPr>
        <w:t>sticky/flexible wage mechanism</w:t>
      </w:r>
      <w:r w:rsidR="00661E07">
        <w:rPr>
          <w:lang w:val="en-CA"/>
        </w:rPr>
        <w:t xml:space="preserve"> </w:t>
      </w:r>
      <w:r w:rsidR="00864529">
        <w:rPr>
          <w:lang w:val="en-CA"/>
        </w:rPr>
        <w:t xml:space="preserve">originated by </w:t>
      </w:r>
      <w:r w:rsidR="00B70A32">
        <w:rPr>
          <w:lang w:val="en-CA"/>
        </w:rPr>
        <w:t xml:space="preserve">Dixon and </w:t>
      </w:r>
      <w:proofErr w:type="spellStart"/>
      <w:r w:rsidR="00B70A32">
        <w:rPr>
          <w:lang w:val="en-CA"/>
        </w:rPr>
        <w:t>Rimmer</w:t>
      </w:r>
      <w:proofErr w:type="spellEnd"/>
      <w:r w:rsidR="004970A9">
        <w:rPr>
          <w:lang w:val="en-CA"/>
        </w:rPr>
        <w:t xml:space="preserve"> </w:t>
      </w:r>
      <w:r w:rsidR="00864529">
        <w:rPr>
          <w:lang w:val="en-CA"/>
        </w:rPr>
        <w:t>(</w:t>
      </w:r>
      <w:r w:rsidR="00B70A32">
        <w:rPr>
          <w:lang w:val="en-CA"/>
        </w:rPr>
        <w:t>2002)</w:t>
      </w:r>
      <w:r w:rsidR="00864529">
        <w:rPr>
          <w:lang w:val="en-CA"/>
        </w:rPr>
        <w:t xml:space="preserve">. </w:t>
      </w:r>
      <w:r w:rsidR="00A36F72">
        <w:rPr>
          <w:lang w:val="en-CA"/>
        </w:rPr>
        <w:t xml:space="preserve">The </w:t>
      </w:r>
      <w:r w:rsidR="004970A9">
        <w:rPr>
          <w:lang w:val="en-CA"/>
        </w:rPr>
        <w:t>USAGE-type</w:t>
      </w:r>
      <w:r w:rsidR="006F214A">
        <w:rPr>
          <w:rFonts w:hint="eastAsia"/>
          <w:lang w:val="en-CA"/>
        </w:rPr>
        <w:t xml:space="preserve"> investment</w:t>
      </w:r>
      <w:r w:rsidR="00A36F72">
        <w:rPr>
          <w:lang w:val="en-CA"/>
        </w:rPr>
        <w:t xml:space="preserve"> </w:t>
      </w:r>
      <w:r w:rsidR="008F6439">
        <w:rPr>
          <w:lang w:val="en-CA"/>
        </w:rPr>
        <w:t xml:space="preserve">theory </w:t>
      </w:r>
      <w:r w:rsidR="004970A9">
        <w:rPr>
          <w:lang w:val="en-CA"/>
        </w:rPr>
        <w:t xml:space="preserve">considers </w:t>
      </w:r>
      <w:r w:rsidR="00A36F72">
        <w:rPr>
          <w:lang w:val="en-CA"/>
        </w:rPr>
        <w:t xml:space="preserve">the risk-averse behavior of investors, which in turn </w:t>
      </w:r>
      <w:r w:rsidR="00FE7B4F">
        <w:rPr>
          <w:lang w:val="en-CA"/>
        </w:rPr>
        <w:t>improve</w:t>
      </w:r>
      <w:r w:rsidR="00D412A0">
        <w:rPr>
          <w:rFonts w:hint="eastAsia"/>
          <w:lang w:val="en-CA"/>
        </w:rPr>
        <w:t>s</w:t>
      </w:r>
      <w:r w:rsidR="00FE7B4F">
        <w:rPr>
          <w:lang w:val="en-CA"/>
        </w:rPr>
        <w:t xml:space="preserve"> </w:t>
      </w:r>
      <w:proofErr w:type="spellStart"/>
      <w:r w:rsidR="008F6439">
        <w:rPr>
          <w:lang w:val="en-CA"/>
        </w:rPr>
        <w:t>GDyn</w:t>
      </w:r>
      <w:proofErr w:type="spellEnd"/>
      <w:r w:rsidR="008F6439">
        <w:rPr>
          <w:lang w:val="en-CA"/>
        </w:rPr>
        <w:t xml:space="preserve"> model </w:t>
      </w:r>
      <w:r w:rsidR="00FE7B4F">
        <w:rPr>
          <w:lang w:val="en-CA"/>
        </w:rPr>
        <w:t xml:space="preserve">robustness </w:t>
      </w:r>
      <w:r w:rsidR="00A36F72">
        <w:rPr>
          <w:lang w:val="en-CA"/>
        </w:rPr>
        <w:t>when constructing baselines or performing policy simulations.</w:t>
      </w:r>
      <w:r w:rsidR="00257243">
        <w:rPr>
          <w:lang w:val="en-CA"/>
        </w:rPr>
        <w:t xml:space="preserve"> </w:t>
      </w:r>
      <w:r w:rsidR="00670BB8">
        <w:rPr>
          <w:lang w:val="en-CA"/>
        </w:rPr>
        <w:t>Furthermore,</w:t>
      </w:r>
      <w:r w:rsidR="00FE7B4F">
        <w:rPr>
          <w:lang w:val="en-CA"/>
        </w:rPr>
        <w:t xml:space="preserve"> </w:t>
      </w:r>
      <w:r w:rsidR="0073762A">
        <w:rPr>
          <w:lang w:val="en-CA"/>
        </w:rPr>
        <w:t xml:space="preserve">a USAGE-type investment function </w:t>
      </w:r>
      <w:r w:rsidR="00FE7B4F">
        <w:rPr>
          <w:lang w:val="en-CA"/>
        </w:rPr>
        <w:t xml:space="preserve">provides more </w:t>
      </w:r>
      <w:r w:rsidR="00015241">
        <w:rPr>
          <w:lang w:val="en-CA"/>
        </w:rPr>
        <w:t xml:space="preserve">flexibility </w:t>
      </w:r>
      <w:r w:rsidR="00A07494">
        <w:rPr>
          <w:lang w:val="en-CA"/>
        </w:rPr>
        <w:t xml:space="preserve">in </w:t>
      </w:r>
      <w:r w:rsidR="00FE7B4F">
        <w:rPr>
          <w:lang w:val="en-CA"/>
        </w:rPr>
        <w:t xml:space="preserve">modeling </w:t>
      </w:r>
      <w:r w:rsidR="00015241">
        <w:rPr>
          <w:lang w:val="en-CA"/>
        </w:rPr>
        <w:t xml:space="preserve">investor’s </w:t>
      </w:r>
      <w:r w:rsidR="00FE7B4F">
        <w:rPr>
          <w:lang w:val="en-CA"/>
        </w:rPr>
        <w:t>expectation, i.e.,</w:t>
      </w:r>
      <w:r w:rsidR="00015241">
        <w:rPr>
          <w:lang w:val="en-CA"/>
        </w:rPr>
        <w:t xml:space="preserve"> either</w:t>
      </w:r>
      <w:r w:rsidR="00FE7B4F">
        <w:rPr>
          <w:lang w:val="en-CA"/>
        </w:rPr>
        <w:t xml:space="preserve"> static or rational expectation. </w:t>
      </w:r>
      <w:r w:rsidR="008F6439">
        <w:rPr>
          <w:lang w:val="en-CA"/>
        </w:rPr>
        <w:t xml:space="preserve">The </w:t>
      </w:r>
      <w:r w:rsidR="00D412A0">
        <w:rPr>
          <w:rFonts w:hint="eastAsia"/>
          <w:lang w:val="en-CA"/>
        </w:rPr>
        <w:t>sticky</w:t>
      </w:r>
      <w:r w:rsidR="000465EE">
        <w:rPr>
          <w:lang w:val="en-CA"/>
        </w:rPr>
        <w:t xml:space="preserve">/flexible </w:t>
      </w:r>
      <w:r w:rsidR="00D412A0">
        <w:rPr>
          <w:rFonts w:hint="eastAsia"/>
          <w:lang w:val="en-CA"/>
        </w:rPr>
        <w:t>wage mechanism</w:t>
      </w:r>
      <w:r w:rsidR="00661E07">
        <w:rPr>
          <w:lang w:val="en-CA"/>
        </w:rPr>
        <w:t xml:space="preserve"> </w:t>
      </w:r>
      <w:r w:rsidR="000465EE">
        <w:rPr>
          <w:lang w:val="en-CA"/>
        </w:rPr>
        <w:t xml:space="preserve">allows </w:t>
      </w:r>
      <w:r w:rsidR="00D412A0">
        <w:rPr>
          <w:rFonts w:hint="eastAsia"/>
          <w:lang w:val="en-CA"/>
        </w:rPr>
        <w:t xml:space="preserve">real wages </w:t>
      </w:r>
      <w:r w:rsidR="000465EE">
        <w:rPr>
          <w:lang w:val="en-CA"/>
        </w:rPr>
        <w:t>to be</w:t>
      </w:r>
      <w:r w:rsidR="000465EE">
        <w:rPr>
          <w:rFonts w:hint="eastAsia"/>
          <w:lang w:val="en-CA"/>
        </w:rPr>
        <w:t xml:space="preserve"> </w:t>
      </w:r>
      <w:r w:rsidR="00D412A0">
        <w:rPr>
          <w:rFonts w:hint="eastAsia"/>
          <w:lang w:val="en-CA"/>
        </w:rPr>
        <w:t>sticky in the short run and flexible in the long run</w:t>
      </w:r>
      <w:r w:rsidR="008F6439">
        <w:rPr>
          <w:lang w:val="en-CA"/>
        </w:rPr>
        <w:t>—</w:t>
      </w:r>
      <w:r w:rsidR="007D0A12">
        <w:rPr>
          <w:lang w:val="en-CA"/>
        </w:rPr>
        <w:t xml:space="preserve">both </w:t>
      </w:r>
      <w:r w:rsidR="0085488C">
        <w:rPr>
          <w:lang w:val="en-CA"/>
        </w:rPr>
        <w:t xml:space="preserve">of which </w:t>
      </w:r>
      <w:r w:rsidR="007D0A12">
        <w:rPr>
          <w:lang w:val="en-CA"/>
        </w:rPr>
        <w:t xml:space="preserve">are in effect </w:t>
      </w:r>
      <w:r w:rsidR="008F6439">
        <w:rPr>
          <w:lang w:val="en-CA"/>
        </w:rPr>
        <w:t>within the simulation period</w:t>
      </w:r>
      <w:r w:rsidR="00D412A0">
        <w:rPr>
          <w:rFonts w:hint="eastAsia"/>
          <w:lang w:val="en-CA"/>
        </w:rPr>
        <w:t xml:space="preserve">. </w:t>
      </w:r>
      <w:r w:rsidR="00670BB8">
        <w:rPr>
          <w:lang w:val="en-CA"/>
        </w:rPr>
        <w:t xml:space="preserve">This has the advantage of </w:t>
      </w:r>
      <w:r w:rsidR="008F6439">
        <w:rPr>
          <w:lang w:val="en-CA"/>
        </w:rPr>
        <w:t>combin</w:t>
      </w:r>
      <w:r w:rsidR="00670BB8">
        <w:rPr>
          <w:lang w:val="en-CA"/>
        </w:rPr>
        <w:t>ing</w:t>
      </w:r>
      <w:r w:rsidR="008F6439">
        <w:rPr>
          <w:lang w:val="en-CA"/>
        </w:rPr>
        <w:t xml:space="preserve"> the </w:t>
      </w:r>
      <w:r w:rsidR="00057AD0">
        <w:rPr>
          <w:lang w:val="en-CA"/>
        </w:rPr>
        <w:t xml:space="preserve">two </w:t>
      </w:r>
      <w:r w:rsidR="000465EE">
        <w:rPr>
          <w:lang w:val="en-CA"/>
        </w:rPr>
        <w:t xml:space="preserve">mutually exclusive </w:t>
      </w:r>
      <w:r w:rsidR="00057AD0">
        <w:rPr>
          <w:lang w:val="en-CA"/>
        </w:rPr>
        <w:t xml:space="preserve">labor market </w:t>
      </w:r>
      <w:r w:rsidR="00670BB8">
        <w:rPr>
          <w:lang w:val="en-CA"/>
        </w:rPr>
        <w:t xml:space="preserve">closure </w:t>
      </w:r>
      <w:r w:rsidR="000465EE">
        <w:rPr>
          <w:lang w:val="en-CA"/>
        </w:rPr>
        <w:t xml:space="preserve">options </w:t>
      </w:r>
      <w:r w:rsidR="00057AD0">
        <w:rPr>
          <w:lang w:val="en-CA"/>
        </w:rPr>
        <w:t xml:space="preserve">in </w:t>
      </w:r>
      <w:proofErr w:type="spellStart"/>
      <w:r w:rsidR="00057AD0">
        <w:rPr>
          <w:lang w:val="en-CA"/>
        </w:rPr>
        <w:t>GDyn</w:t>
      </w:r>
      <w:proofErr w:type="spellEnd"/>
      <w:r w:rsidR="0078230D">
        <w:rPr>
          <w:rFonts w:hint="eastAsia"/>
          <w:lang w:val="en-CA"/>
        </w:rPr>
        <w:t xml:space="preserve">. </w:t>
      </w:r>
    </w:p>
    <w:p w:rsidR="0051608B" w:rsidRDefault="0051608B">
      <w:pPr>
        <w:rPr>
          <w:lang w:val="en-CA"/>
        </w:rPr>
      </w:pPr>
    </w:p>
    <w:p w:rsidR="00566A01" w:rsidRDefault="0051608B">
      <w:pPr>
        <w:rPr>
          <w:lang w:val="en-CA"/>
        </w:rPr>
      </w:pPr>
      <w:r>
        <w:rPr>
          <w:rFonts w:hint="eastAsia"/>
          <w:lang w:val="en-CA"/>
        </w:rPr>
        <w:t xml:space="preserve">Another </w:t>
      </w:r>
      <w:r w:rsidR="00661E07">
        <w:rPr>
          <w:lang w:val="en-CA"/>
        </w:rPr>
        <w:t>significant</w:t>
      </w:r>
      <w:r w:rsidR="00661E07">
        <w:rPr>
          <w:rFonts w:hint="eastAsia"/>
          <w:lang w:val="en-CA"/>
        </w:rPr>
        <w:t xml:space="preserve"> </w:t>
      </w:r>
      <w:r>
        <w:rPr>
          <w:rFonts w:hint="eastAsia"/>
          <w:lang w:val="en-CA"/>
        </w:rPr>
        <w:t xml:space="preserve">adjustment </w:t>
      </w:r>
      <w:r w:rsidR="00661E07">
        <w:rPr>
          <w:lang w:val="en-CA"/>
        </w:rPr>
        <w:t xml:space="preserve">we </w:t>
      </w:r>
      <w:r w:rsidR="00057AD0">
        <w:rPr>
          <w:lang w:val="en-CA"/>
        </w:rPr>
        <w:t>make</w:t>
      </w:r>
      <w:r w:rsidR="00661E07">
        <w:rPr>
          <w:lang w:val="en-CA"/>
        </w:rPr>
        <w:t xml:space="preserve"> </w:t>
      </w:r>
      <w:r w:rsidR="00D159B2">
        <w:rPr>
          <w:lang w:val="en-CA"/>
        </w:rPr>
        <w:t xml:space="preserve">in this paper </w:t>
      </w:r>
      <w:r>
        <w:rPr>
          <w:rFonts w:hint="eastAsia"/>
          <w:lang w:val="en-CA"/>
        </w:rPr>
        <w:t xml:space="preserve">is to disaggregate the </w:t>
      </w:r>
      <w:r w:rsidR="00661E07">
        <w:rPr>
          <w:lang w:val="en-CA"/>
        </w:rPr>
        <w:t xml:space="preserve">region-specific </w:t>
      </w:r>
      <w:r>
        <w:rPr>
          <w:rFonts w:hint="eastAsia"/>
          <w:lang w:val="en-CA"/>
        </w:rPr>
        <w:t xml:space="preserve">investment </w:t>
      </w:r>
      <w:r w:rsidR="00661E07">
        <w:rPr>
          <w:lang w:val="en-CA"/>
        </w:rPr>
        <w:t>c</w:t>
      </w:r>
      <w:r>
        <w:rPr>
          <w:rFonts w:hint="eastAsia"/>
          <w:lang w:val="en-CA"/>
        </w:rPr>
        <w:t>oefficients</w:t>
      </w:r>
      <w:r w:rsidR="00661E07">
        <w:rPr>
          <w:lang w:val="en-CA"/>
        </w:rPr>
        <w:t xml:space="preserve"> and v</w:t>
      </w:r>
      <w:r>
        <w:rPr>
          <w:rFonts w:hint="eastAsia"/>
          <w:lang w:val="en-CA"/>
        </w:rPr>
        <w:t>ariables</w:t>
      </w:r>
      <w:r w:rsidR="00B70A32">
        <w:rPr>
          <w:lang w:val="en-CA"/>
        </w:rPr>
        <w:t xml:space="preserve"> (e.g., VKB, VKE, etc.)</w:t>
      </w:r>
      <w:r>
        <w:rPr>
          <w:rFonts w:hint="eastAsia"/>
          <w:lang w:val="en-CA"/>
        </w:rPr>
        <w:t xml:space="preserve"> </w:t>
      </w:r>
      <w:r w:rsidR="00057AD0">
        <w:rPr>
          <w:lang w:val="en-CA"/>
        </w:rPr>
        <w:t>by</w:t>
      </w:r>
      <w:r w:rsidR="00057AD0">
        <w:rPr>
          <w:rFonts w:hint="eastAsia"/>
          <w:lang w:val="en-CA"/>
        </w:rPr>
        <w:t xml:space="preserve"> </w:t>
      </w:r>
      <w:r>
        <w:rPr>
          <w:rFonts w:hint="eastAsia"/>
          <w:lang w:val="en-CA"/>
        </w:rPr>
        <w:t xml:space="preserve">sector. </w:t>
      </w:r>
      <w:r w:rsidR="00057AD0">
        <w:rPr>
          <w:lang w:val="en-CA"/>
        </w:rPr>
        <w:t xml:space="preserve">This </w:t>
      </w:r>
      <w:r w:rsidR="00D159B2">
        <w:rPr>
          <w:lang w:val="en-CA"/>
        </w:rPr>
        <w:t>allows for</w:t>
      </w:r>
      <w:r w:rsidR="00834A51">
        <w:rPr>
          <w:lang w:val="en-CA"/>
        </w:rPr>
        <w:t xml:space="preserve"> </w:t>
      </w:r>
      <w:r w:rsidR="008F6439">
        <w:rPr>
          <w:lang w:val="en-CA"/>
        </w:rPr>
        <w:t>sector</w:t>
      </w:r>
      <w:r w:rsidR="00834A51">
        <w:rPr>
          <w:lang w:val="en-CA"/>
        </w:rPr>
        <w:t>-specific</w:t>
      </w:r>
      <w:r w:rsidR="008F6439">
        <w:rPr>
          <w:lang w:val="en-CA"/>
        </w:rPr>
        <w:t xml:space="preserve"> investment function/behavior</w:t>
      </w:r>
      <w:r w:rsidR="00834A51">
        <w:rPr>
          <w:lang w:val="en-CA"/>
        </w:rPr>
        <w:t xml:space="preserve"> within each region</w:t>
      </w:r>
      <w:r>
        <w:rPr>
          <w:rFonts w:hint="eastAsia"/>
          <w:lang w:val="en-CA"/>
        </w:rPr>
        <w:t>,</w:t>
      </w:r>
      <w:r w:rsidR="008F6439">
        <w:rPr>
          <w:lang w:val="en-CA"/>
        </w:rPr>
        <w:t xml:space="preserve"> compared to </w:t>
      </w:r>
      <w:r w:rsidR="00834A51">
        <w:rPr>
          <w:lang w:val="en-CA"/>
        </w:rPr>
        <w:t xml:space="preserve">the current </w:t>
      </w:r>
      <w:proofErr w:type="spellStart"/>
      <w:r w:rsidR="008F6439">
        <w:rPr>
          <w:lang w:val="en-CA"/>
        </w:rPr>
        <w:t>GDyn</w:t>
      </w:r>
      <w:proofErr w:type="spellEnd"/>
      <w:r w:rsidR="00834A51">
        <w:rPr>
          <w:lang w:val="en-CA"/>
        </w:rPr>
        <w:t xml:space="preserve"> model</w:t>
      </w:r>
      <w:r w:rsidR="008F6439">
        <w:rPr>
          <w:lang w:val="en-CA"/>
        </w:rPr>
        <w:t xml:space="preserve"> which </w:t>
      </w:r>
      <w:r w:rsidR="00D159B2">
        <w:rPr>
          <w:lang w:val="en-CA"/>
        </w:rPr>
        <w:t xml:space="preserve">only </w:t>
      </w:r>
      <w:r w:rsidR="008F6439">
        <w:rPr>
          <w:lang w:val="en-CA"/>
        </w:rPr>
        <w:t>has a region-wide investment function.</w:t>
      </w:r>
      <w:r w:rsidR="00FE206D">
        <w:rPr>
          <w:rFonts w:hint="eastAsia"/>
          <w:lang w:val="en-CA"/>
        </w:rPr>
        <w:t xml:space="preserve"> And the assumption of the mobility of capital across sectors within regions will </w:t>
      </w:r>
      <w:r w:rsidR="00FE206D">
        <w:rPr>
          <w:lang w:val="en-CA"/>
        </w:rPr>
        <w:t>exaggerate</w:t>
      </w:r>
      <w:r w:rsidR="00FE206D">
        <w:rPr>
          <w:rFonts w:hint="eastAsia"/>
          <w:lang w:val="en-CA"/>
        </w:rPr>
        <w:t xml:space="preserve"> the reaction of sectors to policy shocks.</w:t>
      </w:r>
      <w:r w:rsidR="00A07494">
        <w:rPr>
          <w:lang w:val="en-CA"/>
        </w:rPr>
        <w:t xml:space="preserve"> </w:t>
      </w:r>
      <w:r w:rsidR="00834A51">
        <w:rPr>
          <w:lang w:val="en-CA"/>
        </w:rPr>
        <w:t>We</w:t>
      </w:r>
      <w:r w:rsidR="00834A51">
        <w:rPr>
          <w:rFonts w:hint="eastAsia"/>
          <w:lang w:val="en-CA"/>
        </w:rPr>
        <w:t xml:space="preserve"> </w:t>
      </w:r>
      <w:r w:rsidR="00670BB8">
        <w:rPr>
          <w:lang w:val="en-CA"/>
        </w:rPr>
        <w:t xml:space="preserve">end this paper by </w:t>
      </w:r>
      <w:r w:rsidR="00670BB8">
        <w:rPr>
          <w:rFonts w:hint="eastAsia"/>
          <w:lang w:val="en-CA"/>
        </w:rPr>
        <w:t>compar</w:t>
      </w:r>
      <w:r w:rsidR="00670BB8">
        <w:rPr>
          <w:lang w:val="en-CA"/>
        </w:rPr>
        <w:t>ing</w:t>
      </w:r>
      <w:r w:rsidR="00670BB8">
        <w:rPr>
          <w:rFonts w:hint="eastAsia"/>
          <w:lang w:val="en-CA"/>
        </w:rPr>
        <w:t xml:space="preserve"> </w:t>
      </w:r>
      <w:r w:rsidR="00C73142">
        <w:rPr>
          <w:lang w:val="en-CA"/>
        </w:rPr>
        <w:t>the results from the</w:t>
      </w:r>
      <w:r w:rsidR="00834A51">
        <w:rPr>
          <w:lang w:val="en-CA"/>
        </w:rPr>
        <w:t xml:space="preserve"> </w:t>
      </w:r>
      <w:r w:rsidR="00670BB8">
        <w:rPr>
          <w:lang w:val="en-CA"/>
        </w:rPr>
        <w:t xml:space="preserve">existing </w:t>
      </w:r>
      <w:r w:rsidR="00834A51">
        <w:rPr>
          <w:lang w:val="en-CA"/>
        </w:rPr>
        <w:t xml:space="preserve">and modified </w:t>
      </w:r>
      <w:proofErr w:type="spellStart"/>
      <w:r w:rsidR="00834A51">
        <w:rPr>
          <w:lang w:val="en-CA"/>
        </w:rPr>
        <w:t>GDyn</w:t>
      </w:r>
      <w:proofErr w:type="spellEnd"/>
      <w:r w:rsidR="00834A51">
        <w:rPr>
          <w:lang w:val="en-CA"/>
        </w:rPr>
        <w:t xml:space="preserve"> model using the </w:t>
      </w:r>
      <w:r w:rsidR="00C73142">
        <w:rPr>
          <w:lang w:val="en-CA"/>
        </w:rPr>
        <w:t>same shocks based on a</w:t>
      </w:r>
      <w:r w:rsidR="00566A01">
        <w:rPr>
          <w:rFonts w:hint="eastAsia"/>
          <w:lang w:val="en-CA"/>
        </w:rPr>
        <w:t xml:space="preserve"> </w:t>
      </w:r>
      <w:r w:rsidR="00C73142">
        <w:rPr>
          <w:lang w:val="en-CA"/>
        </w:rPr>
        <w:t xml:space="preserve">study of </w:t>
      </w:r>
      <w:r w:rsidR="00032C3E">
        <w:rPr>
          <w:lang w:val="en-CA"/>
        </w:rPr>
        <w:t>NAFTA's renegotiation</w:t>
      </w:r>
      <w:r w:rsidR="00C73142">
        <w:rPr>
          <w:lang w:val="en-CA"/>
        </w:rPr>
        <w:t xml:space="preserve"> </w:t>
      </w:r>
      <w:r w:rsidR="00834A51">
        <w:rPr>
          <w:lang w:val="en-CA"/>
        </w:rPr>
        <w:t xml:space="preserve">by </w:t>
      </w:r>
      <w:proofErr w:type="spellStart"/>
      <w:r w:rsidR="00C73142">
        <w:rPr>
          <w:lang w:val="en-CA"/>
        </w:rPr>
        <w:t>Ciuriak</w:t>
      </w:r>
      <w:proofErr w:type="spellEnd"/>
      <w:r w:rsidR="00C73142">
        <w:rPr>
          <w:lang w:val="en-CA"/>
        </w:rPr>
        <w:t xml:space="preserve"> et al, </w:t>
      </w:r>
      <w:r w:rsidR="00834A51">
        <w:rPr>
          <w:lang w:val="en-CA"/>
        </w:rPr>
        <w:t>(</w:t>
      </w:r>
      <w:r w:rsidR="00C73142">
        <w:rPr>
          <w:lang w:val="en-CA"/>
        </w:rPr>
        <w:t>2017)</w:t>
      </w:r>
      <w:r w:rsidR="00566A01">
        <w:rPr>
          <w:rFonts w:hint="eastAsia"/>
          <w:lang w:val="en-CA"/>
        </w:rPr>
        <w:t>.</w:t>
      </w:r>
    </w:p>
    <w:p w:rsidR="00DA4719" w:rsidRDefault="00DA4719">
      <w:pPr>
        <w:rPr>
          <w:lang w:val="en-CA"/>
        </w:rPr>
      </w:pPr>
    </w:p>
    <w:p w:rsidR="00DA4719" w:rsidRDefault="00DA4719">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AD17CB" w:rsidRDefault="00AD17CB">
      <w:pPr>
        <w:rPr>
          <w:lang w:val="en-CA"/>
        </w:rPr>
      </w:pPr>
    </w:p>
    <w:p w:rsidR="00DA4719" w:rsidRPr="00943B24" w:rsidRDefault="00DA4719" w:rsidP="00943B24">
      <w:pPr>
        <w:pStyle w:val="ListParagraph"/>
        <w:numPr>
          <w:ilvl w:val="0"/>
          <w:numId w:val="1"/>
        </w:numPr>
        <w:ind w:firstLineChars="0"/>
        <w:rPr>
          <w:b/>
          <w:sz w:val="24"/>
          <w:szCs w:val="24"/>
          <w:lang w:val="en-CA"/>
        </w:rPr>
      </w:pPr>
      <w:r w:rsidRPr="00943B24">
        <w:rPr>
          <w:b/>
          <w:sz w:val="24"/>
          <w:szCs w:val="24"/>
          <w:lang w:val="en-CA"/>
        </w:rPr>
        <w:lastRenderedPageBreak/>
        <w:t>Introduction</w:t>
      </w:r>
    </w:p>
    <w:p w:rsidR="000C7174" w:rsidRDefault="000C7174">
      <w:pPr>
        <w:rPr>
          <w:lang w:val="en-CA"/>
        </w:rPr>
      </w:pPr>
    </w:p>
    <w:p w:rsidR="00DA4719" w:rsidRDefault="00DA4719">
      <w:pPr>
        <w:rPr>
          <w:lang w:val="en-CA"/>
        </w:rPr>
      </w:pPr>
      <w:r>
        <w:rPr>
          <w:lang w:val="en-CA"/>
        </w:rPr>
        <w:t>The dynamic GTAP model (</w:t>
      </w:r>
      <w:proofErr w:type="spellStart"/>
      <w:r>
        <w:rPr>
          <w:lang w:val="en-CA"/>
        </w:rPr>
        <w:t>GDyn</w:t>
      </w:r>
      <w:proofErr w:type="spellEnd"/>
      <w:r>
        <w:rPr>
          <w:lang w:val="en-CA"/>
        </w:rPr>
        <w:t xml:space="preserve">) is a recursive dynamic CGE </w:t>
      </w:r>
      <w:r w:rsidR="00206BDD">
        <w:rPr>
          <w:lang w:val="en-CA"/>
        </w:rPr>
        <w:t xml:space="preserve">model </w:t>
      </w:r>
      <w:r>
        <w:rPr>
          <w:lang w:val="en-CA"/>
        </w:rPr>
        <w:t>of the world economy</w:t>
      </w:r>
      <w:r w:rsidR="00206BDD">
        <w:rPr>
          <w:lang w:val="en-CA"/>
        </w:rPr>
        <w:t>. It</w:t>
      </w:r>
      <w:r>
        <w:rPr>
          <w:lang w:val="en-CA"/>
        </w:rPr>
        <w:t xml:space="preserve"> extends</w:t>
      </w:r>
      <w:r w:rsidR="007D0A12">
        <w:rPr>
          <w:lang w:val="en-CA"/>
        </w:rPr>
        <w:t xml:space="preserve"> the</w:t>
      </w:r>
      <w:r>
        <w:rPr>
          <w:lang w:val="en-CA"/>
        </w:rPr>
        <w:t xml:space="preserve"> standard </w:t>
      </w:r>
      <w:r w:rsidR="007D0A12">
        <w:rPr>
          <w:lang w:val="en-CA"/>
        </w:rPr>
        <w:t>(</w:t>
      </w:r>
      <w:r>
        <w:rPr>
          <w:lang w:val="en-CA"/>
        </w:rPr>
        <w:t>static</w:t>
      </w:r>
      <w:r w:rsidR="007D0A12">
        <w:rPr>
          <w:lang w:val="en-CA"/>
        </w:rPr>
        <w:t>)</w:t>
      </w:r>
      <w:r>
        <w:rPr>
          <w:lang w:val="en-CA"/>
        </w:rPr>
        <w:t xml:space="preserve"> GTAP </w:t>
      </w:r>
      <w:r w:rsidR="007D0A12">
        <w:rPr>
          <w:lang w:val="en-CA"/>
        </w:rPr>
        <w:t xml:space="preserve">model </w:t>
      </w:r>
      <w:r>
        <w:rPr>
          <w:lang w:val="en-CA"/>
        </w:rPr>
        <w:t xml:space="preserve">to </w:t>
      </w:r>
      <w:r w:rsidR="00061A93">
        <w:rPr>
          <w:rFonts w:ascii="Verdana" w:hAnsi="Verdana"/>
          <w:color w:val="000000"/>
          <w:sz w:val="18"/>
          <w:szCs w:val="18"/>
          <w:shd w:val="clear" w:color="auto" w:fill="FFFFFF"/>
        </w:rPr>
        <w:t>determine how changes in policy, technology, population and factor endowments can affect the path of economies over time (</w:t>
      </w:r>
      <w:proofErr w:type="spellStart"/>
      <w:r w:rsidR="00061A93">
        <w:t>Ianchovichina</w:t>
      </w:r>
      <w:proofErr w:type="spellEnd"/>
      <w:r w:rsidR="00061A93">
        <w:t xml:space="preserve"> </w:t>
      </w:r>
      <w:r w:rsidR="00061A93" w:rsidRPr="009B3C95">
        <w:t xml:space="preserve">and </w:t>
      </w:r>
      <w:proofErr w:type="spellStart"/>
      <w:r w:rsidR="00061A93" w:rsidRPr="009B3C95">
        <w:t>Walmsley</w:t>
      </w:r>
      <w:proofErr w:type="spellEnd"/>
      <w:r w:rsidR="00061A93">
        <w:t xml:space="preserve">, 2012). </w:t>
      </w:r>
      <w:r w:rsidR="000C7174">
        <w:rPr>
          <w:lang w:val="en-CA"/>
        </w:rPr>
        <w:t xml:space="preserve">The key features of this extension are endogenous regional capital stock, international financial assets and liabilities, international investment and income flows, and intrinsic dynamics of physical and financial asset stocks. </w:t>
      </w:r>
      <w:proofErr w:type="spellStart"/>
      <w:r w:rsidR="000C7174">
        <w:rPr>
          <w:lang w:val="en-CA"/>
        </w:rPr>
        <w:t>GDyn</w:t>
      </w:r>
      <w:proofErr w:type="spellEnd"/>
      <w:r w:rsidR="000C7174">
        <w:rPr>
          <w:lang w:val="en-CA"/>
        </w:rPr>
        <w:t xml:space="preserve"> is suitable for medium- and long-run </w:t>
      </w:r>
      <w:r w:rsidR="00061A93">
        <w:rPr>
          <w:lang w:val="en-CA"/>
        </w:rPr>
        <w:t xml:space="preserve">real </w:t>
      </w:r>
      <w:r w:rsidR="000C7174">
        <w:rPr>
          <w:lang w:val="en-CA"/>
        </w:rPr>
        <w:t xml:space="preserve">policy analysis, but not </w:t>
      </w:r>
      <w:r w:rsidR="00206BDD">
        <w:rPr>
          <w:lang w:val="en-CA"/>
        </w:rPr>
        <w:t xml:space="preserve">designed </w:t>
      </w:r>
      <w:r w:rsidR="00061A93">
        <w:rPr>
          <w:lang w:val="en-CA"/>
        </w:rPr>
        <w:t>for</w:t>
      </w:r>
      <w:r w:rsidR="000C7174">
        <w:rPr>
          <w:lang w:val="en-CA"/>
        </w:rPr>
        <w:t xml:space="preserve"> short-run macroeconomic dynamics or financial or </w:t>
      </w:r>
      <w:r w:rsidR="00061A93">
        <w:rPr>
          <w:lang w:val="en-CA"/>
        </w:rPr>
        <w:t>analyses</w:t>
      </w:r>
      <w:r w:rsidR="000C7174">
        <w:rPr>
          <w:lang w:val="en-CA"/>
        </w:rPr>
        <w:t xml:space="preserve">. </w:t>
      </w:r>
    </w:p>
    <w:p w:rsidR="00644430" w:rsidRDefault="00644430">
      <w:pPr>
        <w:rPr>
          <w:lang w:val="en-CA"/>
        </w:rPr>
      </w:pPr>
    </w:p>
    <w:p w:rsidR="00644430" w:rsidRDefault="00644430" w:rsidP="00644430">
      <w:pPr>
        <w:rPr>
          <w:lang w:val="en-CA"/>
        </w:rPr>
      </w:pPr>
      <w:r>
        <w:rPr>
          <w:lang w:val="en-CA"/>
        </w:rPr>
        <w:t xml:space="preserve">In this paper, we implement in </w:t>
      </w:r>
      <w:proofErr w:type="spellStart"/>
      <w:r>
        <w:rPr>
          <w:lang w:val="en-CA"/>
        </w:rPr>
        <w:t>GDyn</w:t>
      </w:r>
      <w:proofErr w:type="spellEnd"/>
      <w:r>
        <w:rPr>
          <w:lang w:val="en-CA"/>
        </w:rPr>
        <w:t xml:space="preserve">, the USAGE-type Investment theory and sticky/flexible wage mechanism originated by Dixon and </w:t>
      </w:r>
      <w:proofErr w:type="spellStart"/>
      <w:r>
        <w:rPr>
          <w:lang w:val="en-CA"/>
        </w:rPr>
        <w:t>Rimmer</w:t>
      </w:r>
      <w:proofErr w:type="spellEnd"/>
      <w:r>
        <w:rPr>
          <w:lang w:val="en-CA"/>
        </w:rPr>
        <w:t xml:space="preserve"> (2002). The USAGE-type</w:t>
      </w:r>
      <w:r>
        <w:rPr>
          <w:rFonts w:hint="eastAsia"/>
          <w:lang w:val="en-CA"/>
        </w:rPr>
        <w:t xml:space="preserve"> investment</w:t>
      </w:r>
      <w:r>
        <w:rPr>
          <w:lang w:val="en-CA"/>
        </w:rPr>
        <w:t xml:space="preserve"> theory considers the risk-averse behavior of investors, which in turn improve</w:t>
      </w:r>
      <w:r>
        <w:rPr>
          <w:rFonts w:hint="eastAsia"/>
          <w:lang w:val="en-CA"/>
        </w:rPr>
        <w:t>s</w:t>
      </w:r>
      <w:r>
        <w:rPr>
          <w:lang w:val="en-CA"/>
        </w:rPr>
        <w:t xml:space="preserve"> </w:t>
      </w:r>
      <w:proofErr w:type="spellStart"/>
      <w:r>
        <w:rPr>
          <w:lang w:val="en-CA"/>
        </w:rPr>
        <w:t>GDyn</w:t>
      </w:r>
      <w:proofErr w:type="spellEnd"/>
      <w:r>
        <w:rPr>
          <w:lang w:val="en-CA"/>
        </w:rPr>
        <w:t xml:space="preserve"> model robustness when constructing baselines or performing policy simulations. The risk-averse behavior is depicted by an inverse-logistic relationship between expected rate of return and capital growth—i.e., investor’s elasticity of investment diminishes as expected return increase—wherein the minimum and maximum capital growth rate can be set based on observed historical growth. The inverse-logistic function also includes an error correcting mechanism to equalize investor’s expected rate of </w:t>
      </w:r>
      <w:proofErr w:type="spellStart"/>
      <w:r>
        <w:rPr>
          <w:lang w:val="en-CA"/>
        </w:rPr>
        <w:t>retun</w:t>
      </w:r>
      <w:proofErr w:type="spellEnd"/>
      <w:r>
        <w:rPr>
          <w:lang w:val="en-CA"/>
        </w:rPr>
        <w:t xml:space="preserve"> (ROR) with the equilibrium expected ROR to sustain capital growth rate. </w:t>
      </w:r>
    </w:p>
    <w:p w:rsidR="00644430" w:rsidRDefault="00644430" w:rsidP="00644430">
      <w:pPr>
        <w:rPr>
          <w:lang w:val="en-CA"/>
        </w:rPr>
      </w:pPr>
    </w:p>
    <w:p w:rsidR="00644430" w:rsidRDefault="00644430" w:rsidP="00644430">
      <w:pPr>
        <w:rPr>
          <w:lang w:val="en-CA"/>
        </w:rPr>
      </w:pPr>
      <w:r>
        <w:rPr>
          <w:lang w:val="en-CA"/>
        </w:rPr>
        <w:t xml:space="preserve">The </w:t>
      </w:r>
      <w:r>
        <w:rPr>
          <w:rFonts w:hint="eastAsia"/>
          <w:lang w:val="en-CA"/>
        </w:rPr>
        <w:t>sticky</w:t>
      </w:r>
      <w:r>
        <w:rPr>
          <w:lang w:val="en-CA"/>
        </w:rPr>
        <w:t xml:space="preserve">/flexible </w:t>
      </w:r>
      <w:r>
        <w:rPr>
          <w:rFonts w:hint="eastAsia"/>
          <w:lang w:val="en-CA"/>
        </w:rPr>
        <w:t>wage mechanism</w:t>
      </w:r>
      <w:r>
        <w:rPr>
          <w:lang w:val="en-CA"/>
        </w:rPr>
        <w:t xml:space="preserve"> allows </w:t>
      </w:r>
      <w:r>
        <w:rPr>
          <w:rFonts w:hint="eastAsia"/>
          <w:lang w:val="en-CA"/>
        </w:rPr>
        <w:t xml:space="preserve">real wages </w:t>
      </w:r>
      <w:r>
        <w:rPr>
          <w:lang w:val="en-CA"/>
        </w:rPr>
        <w:t>to be</w:t>
      </w:r>
      <w:r>
        <w:rPr>
          <w:rFonts w:hint="eastAsia"/>
          <w:lang w:val="en-CA"/>
        </w:rPr>
        <w:t xml:space="preserve"> sticky in the short run and flexible in the long run</w:t>
      </w:r>
      <w:r>
        <w:rPr>
          <w:lang w:val="en-CA"/>
        </w:rPr>
        <w:t>—</w:t>
      </w:r>
      <w:r w:rsidR="00061A93">
        <w:rPr>
          <w:lang w:val="en-CA"/>
        </w:rPr>
        <w:t xml:space="preserve">both </w:t>
      </w:r>
      <w:r>
        <w:rPr>
          <w:lang w:val="en-CA"/>
        </w:rPr>
        <w:t>within the simulation period</w:t>
      </w:r>
      <w:r>
        <w:rPr>
          <w:rFonts w:hint="eastAsia"/>
          <w:lang w:val="en-CA"/>
        </w:rPr>
        <w:t xml:space="preserve">. </w:t>
      </w:r>
      <w:r>
        <w:rPr>
          <w:lang w:val="en-CA"/>
        </w:rPr>
        <w:t xml:space="preserve">This has the advantage of combining the two mutually exclusive labor market closure options in </w:t>
      </w:r>
      <w:proofErr w:type="spellStart"/>
      <w:r>
        <w:rPr>
          <w:lang w:val="en-CA"/>
        </w:rPr>
        <w:t>GDyn—i.e</w:t>
      </w:r>
      <w:proofErr w:type="spellEnd"/>
      <w:r>
        <w:rPr>
          <w:lang w:val="en-CA"/>
        </w:rPr>
        <w:t xml:space="preserve">., </w:t>
      </w:r>
      <w:r>
        <w:rPr>
          <w:rFonts w:hint="eastAsia"/>
          <w:lang w:val="en-CA"/>
        </w:rPr>
        <w:t xml:space="preserve">either real wages adjust so </w:t>
      </w:r>
      <w:r>
        <w:rPr>
          <w:lang w:val="en-CA"/>
        </w:rPr>
        <w:t>aggregate employment is fixed</w:t>
      </w:r>
      <w:r>
        <w:rPr>
          <w:rFonts w:hint="eastAsia"/>
          <w:lang w:val="en-CA"/>
        </w:rPr>
        <w:t xml:space="preserve">; or </w:t>
      </w:r>
      <w:r>
        <w:rPr>
          <w:lang w:val="en-CA"/>
        </w:rPr>
        <w:t xml:space="preserve">aggregate </w:t>
      </w:r>
      <w:r>
        <w:rPr>
          <w:rFonts w:hint="eastAsia"/>
          <w:lang w:val="en-CA"/>
        </w:rPr>
        <w:t>employment adjust</w:t>
      </w:r>
      <w:r>
        <w:rPr>
          <w:lang w:val="en-CA"/>
        </w:rPr>
        <w:t>s to facilitate fixed real wages</w:t>
      </w:r>
      <w:r>
        <w:rPr>
          <w:rFonts w:hint="eastAsia"/>
          <w:lang w:val="en-CA"/>
        </w:rPr>
        <w:t xml:space="preserve">. </w:t>
      </w:r>
    </w:p>
    <w:p w:rsidR="00644430" w:rsidRDefault="00644430" w:rsidP="00644430">
      <w:pPr>
        <w:rPr>
          <w:lang w:val="en-CA"/>
        </w:rPr>
      </w:pPr>
    </w:p>
    <w:p w:rsidR="00644430" w:rsidRDefault="00644430" w:rsidP="00644430">
      <w:pPr>
        <w:rPr>
          <w:lang w:val="en-CA"/>
        </w:rPr>
      </w:pPr>
      <w:r>
        <w:rPr>
          <w:rFonts w:hint="eastAsia"/>
          <w:lang w:val="en-CA"/>
        </w:rPr>
        <w:t xml:space="preserve">In </w:t>
      </w:r>
      <w:r>
        <w:rPr>
          <w:lang w:val="en-CA"/>
        </w:rPr>
        <w:t xml:space="preserve">the </w:t>
      </w:r>
      <w:r>
        <w:rPr>
          <w:rFonts w:hint="eastAsia"/>
          <w:lang w:val="en-CA"/>
        </w:rPr>
        <w:t xml:space="preserve">GTAP </w:t>
      </w:r>
      <w:r>
        <w:rPr>
          <w:lang w:val="en-CA"/>
        </w:rPr>
        <w:t>D</w:t>
      </w:r>
      <w:r>
        <w:rPr>
          <w:rFonts w:hint="eastAsia"/>
          <w:lang w:val="en-CA"/>
        </w:rPr>
        <w:t>ata</w:t>
      </w:r>
      <w:r>
        <w:rPr>
          <w:lang w:val="en-CA"/>
        </w:rPr>
        <w:t xml:space="preserve"> Base</w:t>
      </w:r>
      <w:r>
        <w:rPr>
          <w:rFonts w:hint="eastAsia"/>
          <w:lang w:val="en-CA"/>
        </w:rPr>
        <w:t>, the investment</w:t>
      </w:r>
      <w:r>
        <w:rPr>
          <w:lang w:val="en-CA"/>
        </w:rPr>
        <w:t>-</w:t>
      </w:r>
      <w:r>
        <w:rPr>
          <w:rFonts w:hint="eastAsia"/>
          <w:lang w:val="en-CA"/>
        </w:rPr>
        <w:t xml:space="preserve">related </w:t>
      </w:r>
      <w:r>
        <w:rPr>
          <w:lang w:val="en-CA"/>
        </w:rPr>
        <w:t>c</w:t>
      </w:r>
      <w:r>
        <w:rPr>
          <w:rFonts w:hint="eastAsia"/>
          <w:lang w:val="en-CA"/>
        </w:rPr>
        <w:t xml:space="preserve">oefficients only have </w:t>
      </w:r>
      <w:r>
        <w:rPr>
          <w:lang w:val="en-CA"/>
        </w:rPr>
        <w:t xml:space="preserve">a </w:t>
      </w:r>
      <w:r>
        <w:rPr>
          <w:rFonts w:hint="eastAsia"/>
          <w:lang w:val="en-CA"/>
        </w:rPr>
        <w:t>regional dimension.</w:t>
      </w:r>
      <w:r>
        <w:rPr>
          <w:lang w:val="en-CA"/>
        </w:rPr>
        <w:t xml:space="preserve"> </w:t>
      </w:r>
      <w:r>
        <w:rPr>
          <w:rFonts w:hint="eastAsia"/>
          <w:lang w:val="en-CA"/>
        </w:rPr>
        <w:t xml:space="preserve">Another </w:t>
      </w:r>
      <w:r>
        <w:rPr>
          <w:lang w:val="en-CA"/>
        </w:rPr>
        <w:t>significant</w:t>
      </w:r>
      <w:r>
        <w:rPr>
          <w:rFonts w:hint="eastAsia"/>
          <w:lang w:val="en-CA"/>
        </w:rPr>
        <w:t xml:space="preserve"> adjustment </w:t>
      </w:r>
      <w:r>
        <w:rPr>
          <w:lang w:val="en-CA"/>
        </w:rPr>
        <w:t>we ma</w:t>
      </w:r>
      <w:r w:rsidR="00FE206D">
        <w:rPr>
          <w:lang w:val="en-CA"/>
        </w:rPr>
        <w:t>d</w:t>
      </w:r>
      <w:r>
        <w:rPr>
          <w:lang w:val="en-CA"/>
        </w:rPr>
        <w:t xml:space="preserve">e in this paper </w:t>
      </w:r>
      <w:r>
        <w:rPr>
          <w:rFonts w:hint="eastAsia"/>
          <w:lang w:val="en-CA"/>
        </w:rPr>
        <w:t xml:space="preserve">is to disaggregate the </w:t>
      </w:r>
      <w:r>
        <w:rPr>
          <w:lang w:val="en-CA"/>
        </w:rPr>
        <w:t xml:space="preserve">region-specific </w:t>
      </w:r>
      <w:r>
        <w:rPr>
          <w:rFonts w:hint="eastAsia"/>
          <w:lang w:val="en-CA"/>
        </w:rPr>
        <w:t xml:space="preserve">investment </w:t>
      </w:r>
      <w:r>
        <w:rPr>
          <w:lang w:val="en-CA"/>
        </w:rPr>
        <w:t>c</w:t>
      </w:r>
      <w:r>
        <w:rPr>
          <w:rFonts w:hint="eastAsia"/>
          <w:lang w:val="en-CA"/>
        </w:rPr>
        <w:t>oefficients</w:t>
      </w:r>
      <w:r>
        <w:rPr>
          <w:lang w:val="en-CA"/>
        </w:rPr>
        <w:t xml:space="preserve"> and v</w:t>
      </w:r>
      <w:r>
        <w:rPr>
          <w:rFonts w:hint="eastAsia"/>
          <w:lang w:val="en-CA"/>
        </w:rPr>
        <w:t>ariables</w:t>
      </w:r>
      <w:r>
        <w:rPr>
          <w:lang w:val="en-CA"/>
        </w:rPr>
        <w:t xml:space="preserve"> (e.g., VKB, VKE, etc.)</w:t>
      </w:r>
      <w:r>
        <w:rPr>
          <w:rFonts w:hint="eastAsia"/>
          <w:lang w:val="en-CA"/>
        </w:rPr>
        <w:t xml:space="preserve"> </w:t>
      </w:r>
      <w:r>
        <w:rPr>
          <w:lang w:val="en-CA"/>
        </w:rPr>
        <w:t>by</w:t>
      </w:r>
      <w:r>
        <w:rPr>
          <w:rFonts w:hint="eastAsia"/>
          <w:lang w:val="en-CA"/>
        </w:rPr>
        <w:t xml:space="preserve"> sector. </w:t>
      </w:r>
      <w:r>
        <w:rPr>
          <w:lang w:val="en-CA"/>
        </w:rPr>
        <w:t>This allows for sector-specific investment function/behavior within each region</w:t>
      </w:r>
      <w:r>
        <w:rPr>
          <w:rFonts w:hint="eastAsia"/>
          <w:lang w:val="en-CA"/>
        </w:rPr>
        <w:t>,</w:t>
      </w:r>
      <w:r>
        <w:rPr>
          <w:lang w:val="en-CA"/>
        </w:rPr>
        <w:t xml:space="preserve"> compared to the current </w:t>
      </w:r>
      <w:proofErr w:type="spellStart"/>
      <w:r>
        <w:rPr>
          <w:lang w:val="en-CA"/>
        </w:rPr>
        <w:t>GDyn</w:t>
      </w:r>
      <w:proofErr w:type="spellEnd"/>
      <w:r>
        <w:rPr>
          <w:lang w:val="en-CA"/>
        </w:rPr>
        <w:t xml:space="preserve"> model which only has a region-wide investment function. This approach allows the possibility of explicitly accounting </w:t>
      </w:r>
      <w:r w:rsidR="00206BDD">
        <w:rPr>
          <w:lang w:val="en-CA"/>
        </w:rPr>
        <w:t xml:space="preserve">for </w:t>
      </w:r>
      <w:r>
        <w:rPr>
          <w:lang w:val="en-CA"/>
        </w:rPr>
        <w:t>capital growth rate by industry.</w:t>
      </w:r>
    </w:p>
    <w:p w:rsidR="00644430" w:rsidRDefault="00644430" w:rsidP="00644430">
      <w:pPr>
        <w:rPr>
          <w:lang w:val="en-CA"/>
        </w:rPr>
      </w:pPr>
    </w:p>
    <w:p w:rsidR="00644430" w:rsidRDefault="00644430" w:rsidP="00644430">
      <w:pPr>
        <w:rPr>
          <w:lang w:val="en-CA"/>
        </w:rPr>
      </w:pPr>
      <w:r>
        <w:rPr>
          <w:lang w:val="en-CA"/>
        </w:rPr>
        <w:t xml:space="preserve">Lastly, we </w:t>
      </w:r>
      <w:r>
        <w:rPr>
          <w:rFonts w:hint="eastAsia"/>
          <w:lang w:val="en-CA"/>
        </w:rPr>
        <w:t>compar</w:t>
      </w:r>
      <w:r>
        <w:rPr>
          <w:lang w:val="en-CA"/>
        </w:rPr>
        <w:t>ed</w:t>
      </w:r>
      <w:r>
        <w:rPr>
          <w:rFonts w:hint="eastAsia"/>
          <w:lang w:val="en-CA"/>
        </w:rPr>
        <w:t xml:space="preserve"> </w:t>
      </w:r>
      <w:r>
        <w:rPr>
          <w:lang w:val="en-CA"/>
        </w:rPr>
        <w:t xml:space="preserve">the results from the existing and modified </w:t>
      </w:r>
      <w:proofErr w:type="spellStart"/>
      <w:r>
        <w:rPr>
          <w:lang w:val="en-CA"/>
        </w:rPr>
        <w:t>GDyn</w:t>
      </w:r>
      <w:proofErr w:type="spellEnd"/>
      <w:r>
        <w:rPr>
          <w:lang w:val="en-CA"/>
        </w:rPr>
        <w:t xml:space="preserve"> model</w:t>
      </w:r>
      <w:r w:rsidR="00FE206D">
        <w:rPr>
          <w:lang w:val="en-CA"/>
        </w:rPr>
        <w:t xml:space="preserve"> (hereafter, </w:t>
      </w:r>
      <w:proofErr w:type="spellStart"/>
      <w:r w:rsidR="00A14A80">
        <w:rPr>
          <w:lang w:val="en-CA"/>
        </w:rPr>
        <w:t>GD</w:t>
      </w:r>
      <w:r w:rsidR="00A14A80">
        <w:rPr>
          <w:rFonts w:hint="eastAsia"/>
          <w:lang w:val="en-CA"/>
        </w:rPr>
        <w:t>yn</w:t>
      </w:r>
      <w:r w:rsidR="00A14A80">
        <w:rPr>
          <w:lang w:val="en-CA"/>
        </w:rPr>
        <w:t>ISM</w:t>
      </w:r>
      <w:proofErr w:type="spellEnd"/>
      <w:r w:rsidR="00FE206D">
        <w:rPr>
          <w:lang w:val="en-CA"/>
        </w:rPr>
        <w:t>)</w:t>
      </w:r>
      <w:r>
        <w:rPr>
          <w:lang w:val="en-CA"/>
        </w:rPr>
        <w:t xml:space="preserve"> using the same shocks based on a</w:t>
      </w:r>
      <w:r>
        <w:rPr>
          <w:rFonts w:hint="eastAsia"/>
          <w:lang w:val="en-CA"/>
        </w:rPr>
        <w:t xml:space="preserve"> </w:t>
      </w:r>
      <w:r>
        <w:rPr>
          <w:lang w:val="en-CA"/>
        </w:rPr>
        <w:t xml:space="preserve">study of NAFTA's renegotiation by </w:t>
      </w:r>
      <w:proofErr w:type="spellStart"/>
      <w:r>
        <w:rPr>
          <w:lang w:val="en-CA"/>
        </w:rPr>
        <w:t>Ciuriak</w:t>
      </w:r>
      <w:proofErr w:type="spellEnd"/>
      <w:r>
        <w:rPr>
          <w:lang w:val="en-CA"/>
        </w:rPr>
        <w:t xml:space="preserve"> et al, (2017)</w:t>
      </w:r>
      <w:r>
        <w:rPr>
          <w:rFonts w:hint="eastAsia"/>
          <w:lang w:val="en-CA"/>
        </w:rPr>
        <w:t>.</w:t>
      </w:r>
    </w:p>
    <w:p w:rsidR="00644430" w:rsidRPr="00644430" w:rsidRDefault="00644430">
      <w:pPr>
        <w:rPr>
          <w:lang w:val="en-CA"/>
        </w:rPr>
      </w:pPr>
    </w:p>
    <w:p w:rsidR="00DA4719" w:rsidRDefault="00DA4719">
      <w:pPr>
        <w:rPr>
          <w:lang w:val="en-CA"/>
        </w:rPr>
      </w:pPr>
    </w:p>
    <w:p w:rsidR="00AD56A6" w:rsidRPr="00AD56A6" w:rsidRDefault="00206BDD" w:rsidP="00AD56A6">
      <w:pPr>
        <w:pStyle w:val="ListParagraph"/>
        <w:numPr>
          <w:ilvl w:val="0"/>
          <w:numId w:val="1"/>
        </w:numPr>
        <w:ind w:firstLineChars="0"/>
        <w:rPr>
          <w:b/>
          <w:sz w:val="24"/>
          <w:szCs w:val="24"/>
          <w:lang w:val="en-CA"/>
        </w:rPr>
      </w:pPr>
      <w:proofErr w:type="spellStart"/>
      <w:r>
        <w:rPr>
          <w:b/>
          <w:sz w:val="24"/>
          <w:szCs w:val="24"/>
          <w:lang w:val="en-CA"/>
        </w:rPr>
        <w:t>GDyn</w:t>
      </w:r>
      <w:proofErr w:type="spellEnd"/>
      <w:r>
        <w:rPr>
          <w:b/>
          <w:sz w:val="24"/>
          <w:szCs w:val="24"/>
          <w:lang w:val="en-CA"/>
        </w:rPr>
        <w:t xml:space="preserve"> Investment Function</w:t>
      </w:r>
    </w:p>
    <w:p w:rsidR="00BC11AF" w:rsidRPr="00E04670" w:rsidRDefault="00FE206D" w:rsidP="00BC11AF">
      <w:pPr>
        <w:rPr>
          <w:szCs w:val="21"/>
        </w:rPr>
      </w:pPr>
      <w:proofErr w:type="spellStart"/>
      <w:r>
        <w:rPr>
          <w:szCs w:val="21"/>
          <w:lang w:val="en-CA"/>
        </w:rPr>
        <w:t>GD</w:t>
      </w:r>
      <w:r w:rsidR="0049143A" w:rsidRPr="00E04670">
        <w:rPr>
          <w:szCs w:val="21"/>
          <w:lang w:val="en-CA"/>
        </w:rPr>
        <w:t>yn</w:t>
      </w:r>
      <w:proofErr w:type="spellEnd"/>
      <w:r w:rsidR="0049143A" w:rsidRPr="00E04670">
        <w:rPr>
          <w:szCs w:val="21"/>
          <w:lang w:val="en-CA"/>
        </w:rPr>
        <w:t xml:space="preserve"> </w:t>
      </w:r>
      <w:r w:rsidR="00061A93">
        <w:rPr>
          <w:szCs w:val="21"/>
          <w:lang w:val="en-CA"/>
        </w:rPr>
        <w:t>allows</w:t>
      </w:r>
      <w:r w:rsidR="00061A93" w:rsidRPr="00E04670">
        <w:rPr>
          <w:szCs w:val="21"/>
        </w:rPr>
        <w:t xml:space="preserve"> </w:t>
      </w:r>
      <w:r w:rsidR="0049143A" w:rsidRPr="00E04670">
        <w:rPr>
          <w:szCs w:val="21"/>
        </w:rPr>
        <w:t>investors react to expected</w:t>
      </w:r>
      <w:r w:rsidR="0049143A" w:rsidRPr="00E04670">
        <w:rPr>
          <w:rFonts w:hint="eastAsia"/>
          <w:szCs w:val="21"/>
        </w:rPr>
        <w:t xml:space="preserve"> </w:t>
      </w:r>
      <w:r w:rsidR="0049143A" w:rsidRPr="00E04670">
        <w:rPr>
          <w:szCs w:val="21"/>
        </w:rPr>
        <w:t xml:space="preserve">rather than actual rates of return. </w:t>
      </w:r>
      <w:r>
        <w:rPr>
          <w:szCs w:val="21"/>
        </w:rPr>
        <w:t xml:space="preserve">At the same time, </w:t>
      </w:r>
      <w:proofErr w:type="spellStart"/>
      <w:r>
        <w:rPr>
          <w:szCs w:val="21"/>
        </w:rPr>
        <w:t>GD</w:t>
      </w:r>
      <w:r w:rsidR="00BC11AF" w:rsidRPr="00E04670">
        <w:rPr>
          <w:szCs w:val="21"/>
        </w:rPr>
        <w:t>yn</w:t>
      </w:r>
      <w:proofErr w:type="spellEnd"/>
      <w:r w:rsidR="00BC11AF" w:rsidRPr="00E04670">
        <w:rPr>
          <w:szCs w:val="21"/>
        </w:rPr>
        <w:t xml:space="preserve"> incorporates</w:t>
      </w:r>
      <w:r w:rsidR="0049143A" w:rsidRPr="00E04670">
        <w:rPr>
          <w:szCs w:val="21"/>
        </w:rPr>
        <w:t xml:space="preserve"> an</w:t>
      </w:r>
      <w:r w:rsidR="00BC11AF" w:rsidRPr="00E04670">
        <w:rPr>
          <w:rFonts w:hint="eastAsia"/>
          <w:szCs w:val="21"/>
        </w:rPr>
        <w:t xml:space="preserve"> </w:t>
      </w:r>
      <w:r w:rsidR="0049143A" w:rsidRPr="00E04670">
        <w:rPr>
          <w:szCs w:val="21"/>
        </w:rPr>
        <w:t>adjustment mechanism</w:t>
      </w:r>
      <w:r w:rsidR="00BC11AF" w:rsidRPr="00E04670">
        <w:rPr>
          <w:szCs w:val="21"/>
        </w:rPr>
        <w:t>, also known as “Adaptive Expectation”,</w:t>
      </w:r>
      <w:r w:rsidR="0049143A" w:rsidRPr="00E04670">
        <w:rPr>
          <w:szCs w:val="21"/>
        </w:rPr>
        <w:t xml:space="preserve"> that draws the expected rate of return gradually</w:t>
      </w:r>
      <w:r w:rsidR="00BC11AF" w:rsidRPr="00E04670">
        <w:rPr>
          <w:szCs w:val="21"/>
        </w:rPr>
        <w:t xml:space="preserve"> toward the actual rate</w:t>
      </w:r>
      <w:r w:rsidR="009B3C95">
        <w:rPr>
          <w:szCs w:val="21"/>
        </w:rPr>
        <w:t xml:space="preserve"> (</w:t>
      </w:r>
      <w:proofErr w:type="spellStart"/>
      <w:r w:rsidR="009B3C95">
        <w:t>Ianchovichina</w:t>
      </w:r>
      <w:proofErr w:type="spellEnd"/>
      <w:r w:rsidR="009B3C95">
        <w:t xml:space="preserve"> </w:t>
      </w:r>
      <w:r w:rsidR="009B3C95" w:rsidRPr="009B3C95">
        <w:t xml:space="preserve">and </w:t>
      </w:r>
      <w:proofErr w:type="spellStart"/>
      <w:r w:rsidR="009B3C95" w:rsidRPr="009B3C95">
        <w:t>Walmsley</w:t>
      </w:r>
      <w:proofErr w:type="spellEnd"/>
      <w:r w:rsidR="009B3C95">
        <w:t>, 2012</w:t>
      </w:r>
      <w:r w:rsidR="009B3C95">
        <w:rPr>
          <w:szCs w:val="21"/>
        </w:rPr>
        <w:t>)</w:t>
      </w:r>
      <w:r w:rsidR="00BC11AF" w:rsidRPr="00E04670">
        <w:rPr>
          <w:szCs w:val="21"/>
        </w:rPr>
        <w:t>. The mechanism of “Adaptive Expectation” is justified by the fact that Investors’ expectations are usually “sticky” or “sluggish.” When the actual</w:t>
      </w:r>
      <w:r w:rsidR="00BC11AF" w:rsidRPr="00E04670">
        <w:rPr>
          <w:rFonts w:hint="eastAsia"/>
          <w:szCs w:val="21"/>
        </w:rPr>
        <w:t xml:space="preserve"> </w:t>
      </w:r>
      <w:r w:rsidR="00BC11AF" w:rsidRPr="00E04670">
        <w:rPr>
          <w:szCs w:val="21"/>
        </w:rPr>
        <w:t>rate of return changes, investors adjust their expectations of future rates of return</w:t>
      </w:r>
      <w:r w:rsidR="00061A93">
        <w:rPr>
          <w:szCs w:val="21"/>
        </w:rPr>
        <w:t>,</w:t>
      </w:r>
      <w:r w:rsidR="00BC11AF" w:rsidRPr="00E04670">
        <w:rPr>
          <w:szCs w:val="21"/>
        </w:rPr>
        <w:t xml:space="preserve"> with a lag. At first investors make a small adjustment; then </w:t>
      </w:r>
      <w:r w:rsidR="00BC11AF" w:rsidRPr="00E04670">
        <w:rPr>
          <w:szCs w:val="21"/>
        </w:rPr>
        <w:lastRenderedPageBreak/>
        <w:t>if the change</w:t>
      </w:r>
      <w:r w:rsidR="00BC11AF" w:rsidRPr="00E04670">
        <w:rPr>
          <w:rFonts w:hint="eastAsia"/>
          <w:szCs w:val="21"/>
        </w:rPr>
        <w:t xml:space="preserve"> </w:t>
      </w:r>
      <w:r w:rsidR="00BC11AF" w:rsidRPr="00E04670">
        <w:rPr>
          <w:szCs w:val="21"/>
        </w:rPr>
        <w:t xml:space="preserve">in the actual rate persists, </w:t>
      </w:r>
      <w:r w:rsidR="00061A93">
        <w:rPr>
          <w:szCs w:val="21"/>
        </w:rPr>
        <w:t>investors</w:t>
      </w:r>
      <w:r w:rsidR="00061A93" w:rsidRPr="00E04670">
        <w:rPr>
          <w:szCs w:val="21"/>
        </w:rPr>
        <w:t xml:space="preserve"> </w:t>
      </w:r>
      <w:r w:rsidR="00BC11AF" w:rsidRPr="00E04670">
        <w:rPr>
          <w:szCs w:val="21"/>
        </w:rPr>
        <w:t>make further changes in expectations until</w:t>
      </w:r>
      <w:r w:rsidR="00BC11AF" w:rsidRPr="00E04670">
        <w:rPr>
          <w:rFonts w:hint="eastAsia"/>
          <w:szCs w:val="21"/>
        </w:rPr>
        <w:t xml:space="preserve"> </w:t>
      </w:r>
      <w:r w:rsidR="00BC11AF" w:rsidRPr="00E04670">
        <w:rPr>
          <w:szCs w:val="21"/>
        </w:rPr>
        <w:t>eventually the expected rate conforms to the actual rate.</w:t>
      </w:r>
    </w:p>
    <w:p w:rsidR="00BC11AF" w:rsidRPr="00E04670" w:rsidRDefault="00BC11AF" w:rsidP="00BC11AF">
      <w:pPr>
        <w:rPr>
          <w:szCs w:val="21"/>
        </w:rPr>
      </w:pPr>
    </w:p>
    <w:p w:rsidR="00BC11AF" w:rsidRPr="00E04670" w:rsidRDefault="00BC11AF" w:rsidP="00BC11AF">
      <w:pPr>
        <w:rPr>
          <w:szCs w:val="21"/>
        </w:rPr>
      </w:pPr>
      <w:r w:rsidRPr="00E04670">
        <w:rPr>
          <w:szCs w:val="21"/>
        </w:rPr>
        <w:t>To let investors react to the expected rate</w:t>
      </w:r>
      <w:r w:rsidRPr="00E04670">
        <w:rPr>
          <w:rFonts w:hint="eastAsia"/>
          <w:szCs w:val="21"/>
        </w:rPr>
        <w:t xml:space="preserve"> </w:t>
      </w:r>
      <w:r w:rsidRPr="00E04670">
        <w:rPr>
          <w:szCs w:val="21"/>
        </w:rPr>
        <w:t xml:space="preserve">of return rather than the actual rate, </w:t>
      </w:r>
      <w:r w:rsidR="007B0D59" w:rsidRPr="00E04670">
        <w:rPr>
          <w:szCs w:val="21"/>
        </w:rPr>
        <w:t xml:space="preserve">and </w:t>
      </w:r>
      <w:r w:rsidR="00061A93">
        <w:rPr>
          <w:szCs w:val="21"/>
        </w:rPr>
        <w:t xml:space="preserve">to </w:t>
      </w:r>
      <w:r w:rsidR="007B0D59" w:rsidRPr="00E04670">
        <w:rPr>
          <w:szCs w:val="21"/>
        </w:rPr>
        <w:t xml:space="preserve">make sure </w:t>
      </w:r>
      <w:r w:rsidR="00206BDD">
        <w:rPr>
          <w:szCs w:val="21"/>
        </w:rPr>
        <w:t xml:space="preserve"> the </w:t>
      </w:r>
      <w:r w:rsidR="007B0D59" w:rsidRPr="00E04670">
        <w:rPr>
          <w:szCs w:val="21"/>
        </w:rPr>
        <w:t xml:space="preserve">model has stable equilibrium such that any disequilibrium </w:t>
      </w:r>
      <w:r w:rsidR="007B0D59" w:rsidRPr="00E04670">
        <w:rPr>
          <w:iCs/>
          <w:szCs w:val="21"/>
        </w:rPr>
        <w:t>expected</w:t>
      </w:r>
      <w:r w:rsidR="007B0D59" w:rsidRPr="00E04670">
        <w:rPr>
          <w:rFonts w:hint="eastAsia"/>
          <w:iCs/>
          <w:szCs w:val="21"/>
        </w:rPr>
        <w:t xml:space="preserve"> </w:t>
      </w:r>
      <w:r w:rsidR="007B0D59" w:rsidRPr="00E04670">
        <w:rPr>
          <w:iCs/>
          <w:szCs w:val="21"/>
        </w:rPr>
        <w:t>rates of return eventually moves towards common target rate,</w:t>
      </w:r>
      <w:r w:rsidR="007B0D59" w:rsidRPr="00E04670">
        <w:rPr>
          <w:szCs w:val="21"/>
        </w:rPr>
        <w:t xml:space="preserve"> </w:t>
      </w:r>
      <w:r w:rsidRPr="00E04670">
        <w:rPr>
          <w:szCs w:val="21"/>
        </w:rPr>
        <w:t>we have :</w:t>
      </w:r>
    </w:p>
    <w:p w:rsidR="00BC11AF" w:rsidRPr="00E04670" w:rsidRDefault="000B2107" w:rsidP="00C03D31">
      <w:pPr>
        <w:ind w:firstLineChars="550" w:firstLine="1155"/>
        <w:rPr>
          <w:szCs w:val="21"/>
        </w:rPr>
      </w:pPr>
      <m:oMath>
        <m:r>
          <m:rPr>
            <m:sty m:val="p"/>
          </m:rPr>
          <w:rPr>
            <w:rFonts w:ascii="Cambria Math" w:hAnsi="Cambria Math"/>
            <w:szCs w:val="21"/>
          </w:rPr>
          <m:t>erg_rorg(r)=LAMBRORG(r)*(rorgt</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-rorge)</m:t>
        </m:r>
      </m:oMath>
      <w:r w:rsidR="00C03D31" w:rsidRPr="00E04670">
        <w:rPr>
          <w:rFonts w:hint="eastAsia"/>
          <w:szCs w:val="21"/>
        </w:rPr>
        <w:t xml:space="preserve">     </w:t>
      </w:r>
      <w:r w:rsidR="00C03D31" w:rsidRPr="00E04670">
        <w:rPr>
          <w:szCs w:val="21"/>
        </w:rPr>
        <w:t xml:space="preserve">                 </w:t>
      </w:r>
      <w:r w:rsidR="00C03D31" w:rsidRPr="00E04670">
        <w:rPr>
          <w:rFonts w:hint="eastAsia"/>
          <w:szCs w:val="21"/>
        </w:rPr>
        <w:t>(1)</w:t>
      </w:r>
    </w:p>
    <w:p w:rsidR="00BC11AF" w:rsidRPr="00E04670" w:rsidRDefault="00C3779C" w:rsidP="000B2107">
      <w:pPr>
        <w:rPr>
          <w:szCs w:val="21"/>
        </w:rPr>
      </w:pPr>
      <w:r w:rsidRPr="00E04670">
        <w:rPr>
          <w:szCs w:val="21"/>
        </w:rPr>
        <w:t>W</w:t>
      </w:r>
      <w:r w:rsidR="000B2107" w:rsidRPr="00E04670">
        <w:rPr>
          <w:rFonts w:hint="eastAsia"/>
          <w:szCs w:val="21"/>
        </w:rPr>
        <w:t xml:space="preserve">here </w:t>
      </w:r>
      <w:proofErr w:type="spellStart"/>
      <w:r w:rsidR="000B2107" w:rsidRPr="00E04670">
        <w:rPr>
          <w:szCs w:val="21"/>
        </w:rPr>
        <w:t>rorgt</w:t>
      </w:r>
      <w:proofErr w:type="spellEnd"/>
      <w:r w:rsidR="000B2107" w:rsidRPr="00E04670">
        <w:rPr>
          <w:szCs w:val="21"/>
        </w:rPr>
        <w:t xml:space="preserve">(r) is percentage change of target rate of return in region r; </w:t>
      </w:r>
      <w:proofErr w:type="spellStart"/>
      <w:r w:rsidR="000B2107" w:rsidRPr="00E04670">
        <w:rPr>
          <w:szCs w:val="21"/>
        </w:rPr>
        <w:t>rorge</w:t>
      </w:r>
      <w:proofErr w:type="spellEnd"/>
      <w:r w:rsidR="000B2107" w:rsidRPr="00E04670">
        <w:rPr>
          <w:szCs w:val="21"/>
        </w:rPr>
        <w:t xml:space="preserve"> is percentage change of expected rate of return; </w:t>
      </w:r>
      <w:proofErr w:type="spellStart"/>
      <w:r w:rsidR="000B2107" w:rsidRPr="00E04670">
        <w:rPr>
          <w:szCs w:val="21"/>
        </w:rPr>
        <w:t>erg_rorg</w:t>
      </w:r>
      <w:proofErr w:type="spellEnd"/>
      <w:r w:rsidR="000B2107" w:rsidRPr="00E04670">
        <w:rPr>
          <w:szCs w:val="21"/>
        </w:rPr>
        <w:t>(r) denotes (absolute) change in rate of growth</w:t>
      </w:r>
      <w:r w:rsidR="000B2107" w:rsidRPr="00E04670">
        <w:rPr>
          <w:rFonts w:hint="eastAsia"/>
          <w:szCs w:val="21"/>
        </w:rPr>
        <w:t xml:space="preserve"> </w:t>
      </w:r>
      <w:r w:rsidR="000B2107" w:rsidRPr="00E04670">
        <w:rPr>
          <w:szCs w:val="21"/>
        </w:rPr>
        <w:t xml:space="preserve">in the expected rate of return in region </w:t>
      </w:r>
      <w:r w:rsidR="000B2107" w:rsidRPr="00E04670">
        <w:rPr>
          <w:i/>
          <w:iCs/>
          <w:szCs w:val="21"/>
        </w:rPr>
        <w:t>r</w:t>
      </w:r>
      <w:r w:rsidR="000B2107" w:rsidRPr="00E04670">
        <w:rPr>
          <w:szCs w:val="21"/>
        </w:rPr>
        <w:t>; LAMBRORG(r) denotes a coefficient of adjustment in region r.</w:t>
      </w:r>
    </w:p>
    <w:p w:rsidR="000B2107" w:rsidRPr="00E04670" w:rsidRDefault="000B2107" w:rsidP="000B2107">
      <w:pPr>
        <w:rPr>
          <w:szCs w:val="21"/>
        </w:rPr>
      </w:pPr>
    </w:p>
    <w:p w:rsidR="000B2107" w:rsidRPr="00E04670" w:rsidRDefault="009B3C95" w:rsidP="00C3779C">
      <w:pPr>
        <w:rPr>
          <w:szCs w:val="21"/>
        </w:rPr>
      </w:pPr>
      <w:r>
        <w:rPr>
          <w:szCs w:val="21"/>
        </w:rPr>
        <w:t xml:space="preserve">In </w:t>
      </w:r>
      <w:proofErr w:type="spellStart"/>
      <w:r>
        <w:rPr>
          <w:szCs w:val="21"/>
        </w:rPr>
        <w:t>GD</w:t>
      </w:r>
      <w:r w:rsidR="00C3779C" w:rsidRPr="00E04670">
        <w:rPr>
          <w:szCs w:val="21"/>
        </w:rPr>
        <w:t>yn</w:t>
      </w:r>
      <w:proofErr w:type="spellEnd"/>
      <w:r w:rsidR="00C3779C" w:rsidRPr="00E04670">
        <w:rPr>
          <w:szCs w:val="21"/>
        </w:rPr>
        <w:t xml:space="preserve">, Investors </w:t>
      </w:r>
      <w:r w:rsidR="00AD27DC">
        <w:rPr>
          <w:szCs w:val="21"/>
        </w:rPr>
        <w:t>react such</w:t>
      </w:r>
      <w:r w:rsidR="00AD27DC" w:rsidRPr="00E04670">
        <w:rPr>
          <w:szCs w:val="21"/>
        </w:rPr>
        <w:t xml:space="preserve"> </w:t>
      </w:r>
      <w:r w:rsidR="00C3779C" w:rsidRPr="00E04670">
        <w:rPr>
          <w:szCs w:val="21"/>
        </w:rPr>
        <w:t>that the higher the level of the capital stock, the lower the rate</w:t>
      </w:r>
      <w:r w:rsidR="00C3779C" w:rsidRPr="00E04670">
        <w:rPr>
          <w:rFonts w:hint="eastAsia"/>
          <w:szCs w:val="21"/>
        </w:rPr>
        <w:t xml:space="preserve"> </w:t>
      </w:r>
      <w:r w:rsidR="00C3779C" w:rsidRPr="00E04670">
        <w:rPr>
          <w:szCs w:val="21"/>
        </w:rPr>
        <w:t>of return. Consequently, the expected rate of growth in the rate of return depends</w:t>
      </w:r>
      <w:r w:rsidR="00C3779C" w:rsidRPr="00E04670">
        <w:rPr>
          <w:rFonts w:hint="eastAsia"/>
          <w:szCs w:val="21"/>
        </w:rPr>
        <w:t xml:space="preserve"> </w:t>
      </w:r>
      <w:r w:rsidR="00C3779C" w:rsidRPr="00E04670">
        <w:rPr>
          <w:szCs w:val="21"/>
        </w:rPr>
        <w:t>on the rate of growth in the capital stock</w:t>
      </w:r>
      <w:r w:rsidR="004B4B72" w:rsidRPr="00E04670">
        <w:rPr>
          <w:szCs w:val="21"/>
        </w:rPr>
        <w:t>:</w:t>
      </w:r>
    </w:p>
    <w:p w:rsidR="00BC11AF" w:rsidRPr="00E04670" w:rsidRDefault="00B20695" w:rsidP="00C03D31">
      <w:pPr>
        <w:ind w:firstLineChars="650" w:firstLine="1365"/>
        <w:rPr>
          <w:szCs w:val="21"/>
        </w:rPr>
      </w:pPr>
      <m:oMath>
        <m:f>
          <m:fPr>
            <m:ctrlPr>
              <w:rPr>
                <w:rFonts w:ascii="Cambria Math" w:hAnsi="Cambria Math"/>
                <w:szCs w:val="21"/>
              </w:rPr>
            </m:ctrlPr>
          </m:fPr>
          <m:num>
            <m:r>
              <w:rPr>
                <w:rFonts w:ascii="Cambria Math" w:hAnsi="Cambria Math"/>
                <w:szCs w:val="21"/>
              </w:rPr>
              <m:t>RORGEXP(r)</m:t>
            </m:r>
          </m:num>
          <m:den>
            <m:r>
              <w:rPr>
                <w:rFonts w:ascii="Cambria Math" w:hAnsi="Cambria Math"/>
                <w:szCs w:val="21"/>
              </w:rPr>
              <m:t>RORGREF(r)</m:t>
            </m:r>
          </m:den>
        </m:f>
        <m:r>
          <w:rPr>
            <w:rFonts w:ascii="Cambria Math" w:hAnsi="Cambria Math"/>
            <w:szCs w:val="21"/>
          </w:rPr>
          <m:t>=SRORGEXP(r)*</m:t>
        </m:r>
        <m:sSup>
          <m:sSupPr>
            <m:ctrlPr>
              <w:rPr>
                <w:rFonts w:ascii="Cambria Math" w:hAnsi="Cambria Math"/>
                <w:i/>
                <w:szCs w:val="21"/>
              </w:rPr>
            </m:ctrlPr>
          </m:sSupPr>
          <m:e>
            <m:r>
              <w:rPr>
                <w:rFonts w:ascii="Cambria Math" w:hAnsi="Cambria Math"/>
                <w:szCs w:val="21"/>
              </w:rPr>
              <m:t>[</m:t>
            </m:r>
            <m:f>
              <m:fPr>
                <m:ctrlPr>
                  <w:rPr>
                    <w:rFonts w:ascii="Cambria Math" w:hAnsi="Cambria Math"/>
                    <w:i/>
                    <w:szCs w:val="21"/>
                  </w:rPr>
                </m:ctrlPr>
              </m:fPr>
              <m:num>
                <m:r>
                  <w:rPr>
                    <w:rFonts w:ascii="Cambria Math" w:hAnsi="Cambria Math"/>
                    <w:szCs w:val="21"/>
                  </w:rPr>
                  <m:t>QK</m:t>
                </m:r>
                <m:d>
                  <m:dPr>
                    <m:ctrlPr>
                      <w:rPr>
                        <w:rFonts w:ascii="Cambria Math" w:hAnsi="Cambria Math"/>
                        <w:i/>
                        <w:szCs w:val="21"/>
                      </w:rPr>
                    </m:ctrlPr>
                  </m:dPr>
                  <m:e>
                    <m:r>
                      <w:rPr>
                        <w:rFonts w:ascii="Cambria Math" w:hAnsi="Cambria Math"/>
                        <w:szCs w:val="21"/>
                      </w:rPr>
                      <m:t>r</m:t>
                    </m:r>
                  </m:e>
                </m:d>
              </m:num>
              <m:den>
                <w:bookmarkStart w:id="0" w:name="_Hlk511121892"/>
                <m:r>
                  <w:rPr>
                    <w:rFonts w:ascii="Cambria Math" w:hAnsi="Cambria Math"/>
                    <w:szCs w:val="21"/>
                  </w:rPr>
                  <m:t>QKO</m:t>
                </m:r>
                <m:d>
                  <m:dPr>
                    <m:ctrlPr>
                      <w:rPr>
                        <w:rFonts w:ascii="Cambria Math" w:hAnsi="Cambria Math"/>
                        <w:i/>
                        <w:szCs w:val="21"/>
                      </w:rPr>
                    </m:ctrlPr>
                  </m:dPr>
                  <m:e>
                    <m:r>
                      <w:rPr>
                        <w:rFonts w:ascii="Cambria Math" w:hAnsi="Cambria Math"/>
                        <w:szCs w:val="21"/>
                      </w:rPr>
                      <m:t>r</m:t>
                    </m:r>
                  </m:e>
                </m:d>
                <m:sSup>
                  <m:sSupPr>
                    <m:ctrlPr>
                      <w:rPr>
                        <w:rFonts w:ascii="Cambria Math" w:hAnsi="Cambria Math"/>
                        <w:i/>
                        <w:szCs w:val="21"/>
                      </w:rPr>
                    </m:ctrlPr>
                  </m:sSupPr>
                  <m:e>
                    <m:r>
                      <w:rPr>
                        <w:rFonts w:ascii="Cambria Math" w:hAnsi="Cambria Math"/>
                        <w:szCs w:val="21"/>
                      </w:rPr>
                      <m:t>e</m:t>
                    </m:r>
                  </m:e>
                  <m:sup>
                    <m:r>
                      <w:rPr>
                        <w:rFonts w:ascii="Cambria Math" w:hAnsi="Cambria Math"/>
                        <w:szCs w:val="21"/>
                      </w:rPr>
                      <m:t>KHAT</m:t>
                    </m:r>
                    <m:d>
                      <m:dPr>
                        <m:ctrlPr>
                          <w:rPr>
                            <w:rFonts w:ascii="Cambria Math" w:hAnsi="Cambria Math"/>
                            <w:i/>
                            <w:szCs w:val="21"/>
                          </w:rPr>
                        </m:ctrlPr>
                      </m:dPr>
                      <m:e>
                        <m:r>
                          <w:rPr>
                            <w:rFonts w:ascii="Cambria Math" w:hAnsi="Cambria Math"/>
                            <w:szCs w:val="21"/>
                          </w:rPr>
                          <m:t>r</m:t>
                        </m:r>
                      </m:e>
                    </m:d>
                    <m:r>
                      <w:rPr>
                        <w:rFonts w:ascii="Cambria Math" w:hAnsi="Cambria Math"/>
                        <w:szCs w:val="21"/>
                      </w:rPr>
                      <m:t>TIME</m:t>
                    </m:r>
                  </m:sup>
                </m:sSup>
                <w:bookmarkEnd w:id="0"/>
              </m:den>
            </m:f>
            <m:r>
              <w:rPr>
                <w:rFonts w:ascii="Cambria Math" w:hAnsi="Cambria Math"/>
                <w:szCs w:val="21"/>
              </w:rPr>
              <m:t>]</m:t>
            </m:r>
          </m:e>
          <m:sup>
            <m:r>
              <w:rPr>
                <w:rFonts w:ascii="Cambria Math" w:hAnsi="Cambria Math"/>
                <w:szCs w:val="21"/>
              </w:rPr>
              <m:t>-RORGFLEX(r)</m:t>
            </m:r>
          </m:sup>
        </m:sSup>
      </m:oMath>
      <w:r w:rsidR="00C03D31" w:rsidRPr="00E04670">
        <w:rPr>
          <w:rFonts w:hint="eastAsia"/>
          <w:szCs w:val="21"/>
        </w:rPr>
        <w:t xml:space="preserve">          </w:t>
      </w:r>
      <w:r w:rsidR="00C03D31" w:rsidRPr="00E04670">
        <w:rPr>
          <w:szCs w:val="21"/>
        </w:rPr>
        <w:t xml:space="preserve"> </w:t>
      </w:r>
      <w:r w:rsidR="00C03D31" w:rsidRPr="00E04670">
        <w:rPr>
          <w:rFonts w:hint="eastAsia"/>
          <w:szCs w:val="21"/>
        </w:rPr>
        <w:t>(2)</w:t>
      </w:r>
    </w:p>
    <w:p w:rsidR="00C3779C" w:rsidRPr="00E04670" w:rsidRDefault="00C3779C" w:rsidP="00C3779C">
      <w:pPr>
        <w:rPr>
          <w:szCs w:val="21"/>
        </w:rPr>
      </w:pPr>
      <w:r w:rsidRPr="00E04670">
        <w:rPr>
          <w:szCs w:val="21"/>
        </w:rPr>
        <w:t>W</w:t>
      </w:r>
      <w:r w:rsidRPr="00E04670">
        <w:rPr>
          <w:rFonts w:hint="eastAsia"/>
          <w:szCs w:val="21"/>
        </w:rPr>
        <w:t xml:space="preserve">here </w:t>
      </w:r>
      <w:r w:rsidRPr="00E04670">
        <w:rPr>
          <w:szCs w:val="21"/>
        </w:rPr>
        <w:t xml:space="preserve">RORGEXP(r) denotes the expected gross rate of return in region r; QK(r) denotes capital stock in region r; RORGREF(r) is reference rate of return in region </w:t>
      </w:r>
      <w:r w:rsidRPr="00E04670">
        <w:rPr>
          <w:i/>
          <w:iCs/>
          <w:szCs w:val="21"/>
        </w:rPr>
        <w:t>r</w:t>
      </w:r>
      <w:r w:rsidRPr="00E04670">
        <w:rPr>
          <w:szCs w:val="21"/>
        </w:rPr>
        <w:t xml:space="preserve">; </w:t>
      </w:r>
      <m:oMath>
        <m:r>
          <w:rPr>
            <w:rFonts w:ascii="Cambria Math" w:hAnsi="Cambria Math"/>
            <w:szCs w:val="21"/>
          </w:rPr>
          <m:t>QKO</m:t>
        </m:r>
        <m:d>
          <m:dPr>
            <m:ctrlPr>
              <w:rPr>
                <w:rFonts w:ascii="Cambria Math" w:hAnsi="Cambria Math"/>
                <w:i/>
                <w:iCs/>
                <w:szCs w:val="21"/>
              </w:rPr>
            </m:ctrlPr>
          </m:dPr>
          <m:e>
            <m:r>
              <w:rPr>
                <w:rFonts w:ascii="Cambria Math" w:hAnsi="Cambria Math"/>
                <w:szCs w:val="21"/>
              </w:rPr>
              <m:t>r</m:t>
            </m:r>
          </m:e>
        </m:d>
        <m:sSup>
          <m:sSupPr>
            <m:ctrlPr>
              <w:rPr>
                <w:rFonts w:ascii="Cambria Math" w:hAnsi="Cambria Math"/>
                <w:i/>
                <w:iCs/>
                <w:szCs w:val="21"/>
              </w:rPr>
            </m:ctrlPr>
          </m:sSupPr>
          <m:e>
            <m:r>
              <w:rPr>
                <w:rFonts w:ascii="Cambria Math" w:hAnsi="Cambria Math"/>
                <w:szCs w:val="21"/>
              </w:rPr>
              <m:t>e</m:t>
            </m:r>
          </m:e>
          <m:sup>
            <m:r>
              <w:rPr>
                <w:rFonts w:ascii="Cambria Math" w:hAnsi="Cambria Math"/>
                <w:szCs w:val="21"/>
              </w:rPr>
              <m:t>KHAT</m:t>
            </m:r>
            <m:d>
              <m:dPr>
                <m:ctrlPr>
                  <w:rPr>
                    <w:rFonts w:ascii="Cambria Math" w:hAnsi="Cambria Math"/>
                    <w:i/>
                    <w:iCs/>
                    <w:szCs w:val="21"/>
                  </w:rPr>
                </m:ctrlPr>
              </m:dPr>
              <m:e>
                <m:r>
                  <w:rPr>
                    <w:rFonts w:ascii="Cambria Math" w:hAnsi="Cambria Math"/>
                    <w:szCs w:val="21"/>
                  </w:rPr>
                  <m:t>r</m:t>
                </m:r>
              </m:e>
            </m:d>
            <m:r>
              <w:rPr>
                <w:rFonts w:ascii="Cambria Math" w:hAnsi="Cambria Math"/>
                <w:szCs w:val="21"/>
              </w:rPr>
              <m:t xml:space="preserve">TIME   </m:t>
            </m:r>
          </m:sup>
        </m:sSup>
      </m:oMath>
      <w:r w:rsidRPr="00E04670">
        <w:rPr>
          <w:szCs w:val="21"/>
        </w:rPr>
        <w:t>is a reference capital stock</w:t>
      </w:r>
      <w:r w:rsidR="005C102B" w:rsidRPr="00E04670">
        <w:rPr>
          <w:szCs w:val="21"/>
        </w:rPr>
        <w:t xml:space="preserve"> that grows at a speed KHAT(r) through time</w:t>
      </w:r>
      <w:r w:rsidRPr="00E04670">
        <w:rPr>
          <w:szCs w:val="21"/>
        </w:rPr>
        <w:t>. RORGFLEX(r) is a positive parameter representing the absolute magnitude</w:t>
      </w:r>
      <w:r w:rsidRPr="00E04670">
        <w:rPr>
          <w:rFonts w:hint="eastAsia"/>
          <w:szCs w:val="21"/>
        </w:rPr>
        <w:t xml:space="preserve"> </w:t>
      </w:r>
      <w:r w:rsidRPr="00E04670">
        <w:rPr>
          <w:szCs w:val="21"/>
        </w:rPr>
        <w:t xml:space="preserve">of the elasticity of the expected rate of return with respect to the size </w:t>
      </w:r>
      <w:r w:rsidR="005C102B" w:rsidRPr="00E04670">
        <w:rPr>
          <w:szCs w:val="21"/>
        </w:rPr>
        <w:t>of the capital stock; SRORGEXP(r) is a shift factor to expected return.</w:t>
      </w:r>
    </w:p>
    <w:p w:rsidR="00281AE7" w:rsidRPr="00E04670" w:rsidRDefault="00281AE7" w:rsidP="00C3779C">
      <w:pPr>
        <w:rPr>
          <w:szCs w:val="21"/>
        </w:rPr>
      </w:pPr>
    </w:p>
    <w:p w:rsidR="00281AE7" w:rsidRPr="00E04670" w:rsidRDefault="007B0D59" w:rsidP="00C3779C">
      <w:pPr>
        <w:rPr>
          <w:szCs w:val="21"/>
        </w:rPr>
      </w:pPr>
      <w:r w:rsidRPr="00E04670">
        <w:rPr>
          <w:szCs w:val="21"/>
        </w:rPr>
        <w:t>Ignore</w:t>
      </w:r>
      <m:oMath>
        <m:r>
          <w:rPr>
            <w:rFonts w:ascii="Cambria Math" w:hAnsi="Cambria Math"/>
            <w:szCs w:val="21"/>
          </w:rPr>
          <m:t xml:space="preserve"> SRORGEXP(r)</m:t>
        </m:r>
      </m:oMath>
      <w:r w:rsidRPr="00E04670">
        <w:rPr>
          <w:szCs w:val="21"/>
        </w:rPr>
        <w:t xml:space="preserve"> term</w:t>
      </w:r>
      <w:r w:rsidR="00E04670" w:rsidRPr="00E04670">
        <w:rPr>
          <w:szCs w:val="21"/>
        </w:rPr>
        <w:t xml:space="preserve"> temporarily</w:t>
      </w:r>
      <w:r w:rsidRPr="00E04670">
        <w:rPr>
          <w:szCs w:val="21"/>
        </w:rPr>
        <w:t xml:space="preserve"> in (2) and r</w:t>
      </w:r>
      <w:r w:rsidR="00281AE7" w:rsidRPr="00E04670">
        <w:rPr>
          <w:szCs w:val="21"/>
        </w:rPr>
        <w:t>earranging</w:t>
      </w:r>
      <w:r w:rsidRPr="00E04670">
        <w:rPr>
          <w:szCs w:val="21"/>
        </w:rPr>
        <w:t xml:space="preserve"> it</w:t>
      </w:r>
      <w:r w:rsidR="00281AE7" w:rsidRPr="00E04670">
        <w:rPr>
          <w:szCs w:val="21"/>
        </w:rPr>
        <w:t xml:space="preserve"> leads to:</w:t>
      </w:r>
    </w:p>
    <w:p w:rsidR="00281AE7" w:rsidRPr="00E04670" w:rsidRDefault="00281AE7" w:rsidP="00281AE7">
      <w:pPr>
        <w:ind w:firstLineChars="200" w:firstLine="420"/>
        <w:rPr>
          <w:szCs w:val="21"/>
        </w:rPr>
      </w:pPr>
      <m:oMath>
        <m:r>
          <m:rPr>
            <m:sty m:val="p"/>
          </m:rPr>
          <w:rPr>
            <w:rFonts w:ascii="Cambria Math" w:hAnsi="Cambria Math"/>
            <w:szCs w:val="21"/>
          </w:rPr>
          <m:t>erg_rorg(r)=-RORGFLEX(r)*[IKRATIO</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m:t>
        </m:r>
        <m:d>
          <m:dPr>
            <m:ctrlPr>
              <w:rPr>
                <w:rFonts w:ascii="Cambria Math" w:hAnsi="Cambria Math"/>
                <w:szCs w:val="21"/>
              </w:rPr>
            </m:ctrlPr>
          </m:dPr>
          <m:e>
            <m:r>
              <m:rPr>
                <m:sty m:val="p"/>
              </m:rPr>
              <w:rPr>
                <w:rFonts w:ascii="Cambria Math" w:hAnsi="Cambria Math"/>
                <w:szCs w:val="21"/>
              </w:rPr>
              <m:t>qcgds</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-qk</m:t>
            </m:r>
            <m:d>
              <m:dPr>
                <m:ctrlPr>
                  <w:rPr>
                    <w:rFonts w:ascii="Cambria Math" w:hAnsi="Cambria Math"/>
                    <w:szCs w:val="21"/>
                  </w:rPr>
                </m:ctrlPr>
              </m:dPr>
              <m:e>
                <m:r>
                  <m:rPr>
                    <m:sty m:val="p"/>
                  </m:rPr>
                  <w:rPr>
                    <w:rFonts w:ascii="Cambria Math" w:hAnsi="Cambria Math"/>
                    <w:szCs w:val="21"/>
                  </w:rPr>
                  <m:t>r</m:t>
                </m:r>
              </m:e>
            </m:d>
          </m:e>
        </m:d>
        <m:r>
          <m:rPr>
            <m:sty m:val="p"/>
          </m:rPr>
          <w:rPr>
            <w:rFonts w:ascii="Cambria Math" w:hAnsi="Cambria Math"/>
            <w:szCs w:val="21"/>
          </w:rPr>
          <m:t>-DKHAT</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m:t>
        </m:r>
      </m:oMath>
      <w:r w:rsidRPr="00E04670">
        <w:rPr>
          <w:rFonts w:hint="eastAsia"/>
          <w:szCs w:val="21"/>
        </w:rPr>
        <w:t xml:space="preserve">    (3)</w:t>
      </w:r>
    </w:p>
    <w:p w:rsidR="00C3779C" w:rsidRPr="00E04670" w:rsidRDefault="00281AE7" w:rsidP="00C3779C">
      <w:pPr>
        <w:rPr>
          <w:szCs w:val="21"/>
        </w:rPr>
      </w:pPr>
      <w:r w:rsidRPr="00E04670">
        <w:rPr>
          <w:rFonts w:hint="eastAsia"/>
          <w:szCs w:val="21"/>
        </w:rPr>
        <w:t xml:space="preserve">Where </w:t>
      </w:r>
      <m:oMath>
        <m:r>
          <m:rPr>
            <m:sty m:val="p"/>
          </m:rPr>
          <w:rPr>
            <w:rFonts w:ascii="Cambria Math" w:hAnsi="Cambria Math"/>
            <w:szCs w:val="21"/>
          </w:rPr>
          <m:t>IKRATIO</m:t>
        </m:r>
        <m:d>
          <m:dPr>
            <m:ctrlPr>
              <w:rPr>
                <w:rFonts w:ascii="Cambria Math" w:hAnsi="Cambria Math"/>
                <w:szCs w:val="21"/>
              </w:rPr>
            </m:ctrlPr>
          </m:dPr>
          <m:e>
            <m:r>
              <m:rPr>
                <m:sty m:val="p"/>
              </m:rPr>
              <w:rPr>
                <w:rFonts w:ascii="Cambria Math" w:hAnsi="Cambria Math"/>
                <w:szCs w:val="21"/>
              </w:rPr>
              <m:t>r</m:t>
            </m:r>
          </m:e>
        </m:d>
        <m:r>
          <w:rPr>
            <w:rFonts w:ascii="Cambria Math" w:hAnsi="Cambria Math"/>
            <w:szCs w:val="21"/>
          </w:rPr>
          <m:t>=</m:t>
        </m:r>
        <m:f>
          <m:fPr>
            <m:ctrlPr>
              <w:rPr>
                <w:rFonts w:ascii="Cambria Math" w:hAnsi="Cambria Math"/>
                <w:i/>
                <w:szCs w:val="21"/>
              </w:rPr>
            </m:ctrlPr>
          </m:fPr>
          <m:num>
            <m:r>
              <w:rPr>
                <w:rFonts w:ascii="Cambria Math" w:hAnsi="Cambria Math"/>
                <w:szCs w:val="21"/>
              </w:rPr>
              <m:t>QCGDS(r)</m:t>
            </m:r>
          </m:num>
          <m:den>
            <m:r>
              <w:rPr>
                <w:rFonts w:ascii="Cambria Math" w:hAnsi="Cambria Math"/>
                <w:szCs w:val="21"/>
              </w:rPr>
              <m:t>QK(r)</m:t>
            </m:r>
          </m:den>
        </m:f>
      </m:oMath>
      <w:r w:rsidR="007B0D59" w:rsidRPr="00E04670">
        <w:rPr>
          <w:rFonts w:hint="eastAsia"/>
          <w:szCs w:val="21"/>
        </w:rPr>
        <w:t xml:space="preserve">, ie. </w:t>
      </w:r>
      <w:r w:rsidR="007B0D59" w:rsidRPr="00E04670">
        <w:rPr>
          <w:szCs w:val="21"/>
        </w:rPr>
        <w:t xml:space="preserve">Investment-capital ratio; </w:t>
      </w:r>
      <w:proofErr w:type="spellStart"/>
      <w:r w:rsidR="007B0D59" w:rsidRPr="00E04670">
        <w:rPr>
          <w:szCs w:val="21"/>
        </w:rPr>
        <w:t>qcgds</w:t>
      </w:r>
      <w:proofErr w:type="spellEnd"/>
      <w:r w:rsidR="007B0D59" w:rsidRPr="00E04670">
        <w:rPr>
          <w:szCs w:val="21"/>
        </w:rPr>
        <w:t xml:space="preserve">(r) is percentage change of </w:t>
      </w:r>
      <w:r w:rsidR="00E04670">
        <w:rPr>
          <w:szCs w:val="21"/>
        </w:rPr>
        <w:t xml:space="preserve">gross </w:t>
      </w:r>
      <w:r w:rsidR="007B0D59" w:rsidRPr="00E04670">
        <w:rPr>
          <w:szCs w:val="21"/>
        </w:rPr>
        <w:t xml:space="preserve">investment; </w:t>
      </w:r>
      <w:proofErr w:type="spellStart"/>
      <w:r w:rsidR="007B0D59" w:rsidRPr="00E04670">
        <w:rPr>
          <w:szCs w:val="21"/>
          <w:lang w:val="en-CA"/>
        </w:rPr>
        <w:t>qk</w:t>
      </w:r>
      <w:proofErr w:type="spellEnd"/>
      <w:r w:rsidR="007B0D59" w:rsidRPr="00E04670">
        <w:rPr>
          <w:szCs w:val="21"/>
          <w:lang w:val="en-CA"/>
        </w:rPr>
        <w:t xml:space="preserve">(r) is percentage change of capital stock; </w:t>
      </w:r>
      <w:r w:rsidR="007B0D59" w:rsidRPr="00E04670">
        <w:rPr>
          <w:iCs/>
          <w:szCs w:val="21"/>
        </w:rPr>
        <w:t xml:space="preserve">DKHAT(r) stands for adjustment of </w:t>
      </w:r>
      <w:r w:rsidR="005F0148">
        <w:rPr>
          <w:iCs/>
          <w:szCs w:val="21"/>
        </w:rPr>
        <w:t>n</w:t>
      </w:r>
      <w:r w:rsidR="005F0148" w:rsidRPr="00E04670">
        <w:rPr>
          <w:iCs/>
          <w:szCs w:val="21"/>
        </w:rPr>
        <w:t>ormal</w:t>
      </w:r>
      <w:r w:rsidR="007B0D59" w:rsidRPr="00E04670">
        <w:rPr>
          <w:iCs/>
          <w:szCs w:val="21"/>
        </w:rPr>
        <w:t xml:space="preserve"> growth rate of reference rate of return KHAT.</w:t>
      </w:r>
    </w:p>
    <w:p w:rsidR="00281AE7" w:rsidRPr="00E04670" w:rsidRDefault="00281AE7" w:rsidP="00C3779C">
      <w:pPr>
        <w:rPr>
          <w:szCs w:val="21"/>
        </w:rPr>
      </w:pPr>
    </w:p>
    <w:p w:rsidR="00C3779C" w:rsidRPr="00E04670" w:rsidRDefault="00FC1774" w:rsidP="00C3779C">
      <w:pPr>
        <w:rPr>
          <w:szCs w:val="21"/>
        </w:rPr>
      </w:pPr>
      <w:r w:rsidRPr="00E04670">
        <w:rPr>
          <w:rFonts w:hint="eastAsia"/>
          <w:szCs w:val="21"/>
        </w:rPr>
        <w:t>Different</w:t>
      </w:r>
      <w:r w:rsidR="00422402">
        <w:rPr>
          <w:szCs w:val="21"/>
        </w:rPr>
        <w:t>iat</w:t>
      </w:r>
      <w:r w:rsidRPr="00E04670">
        <w:rPr>
          <w:rFonts w:hint="eastAsia"/>
          <w:szCs w:val="21"/>
        </w:rPr>
        <w:t xml:space="preserve">ing </w:t>
      </w:r>
      <w:r w:rsidR="00206BDD">
        <w:rPr>
          <w:szCs w:val="21"/>
        </w:rPr>
        <w:t xml:space="preserve">the </w:t>
      </w:r>
      <w:r w:rsidR="00E04670" w:rsidRPr="00E04670">
        <w:rPr>
          <w:szCs w:val="21"/>
        </w:rPr>
        <w:t xml:space="preserve">full version of </w:t>
      </w:r>
      <w:r w:rsidR="005C102B" w:rsidRPr="00E04670">
        <w:rPr>
          <w:rFonts w:hint="eastAsia"/>
          <w:szCs w:val="21"/>
        </w:rPr>
        <w:t>equation</w:t>
      </w:r>
      <w:r w:rsidRPr="00E04670">
        <w:rPr>
          <w:szCs w:val="21"/>
        </w:rPr>
        <w:t xml:space="preserve"> (2)</w:t>
      </w:r>
      <w:r w:rsidR="005C102B" w:rsidRPr="00E04670">
        <w:rPr>
          <w:rFonts w:hint="eastAsia"/>
          <w:szCs w:val="21"/>
        </w:rPr>
        <w:t xml:space="preserve"> gives :</w:t>
      </w:r>
    </w:p>
    <w:p w:rsidR="005C102B" w:rsidRPr="00E04670" w:rsidRDefault="005C102B" w:rsidP="00C03D31">
      <w:pPr>
        <w:ind w:firstLineChars="100" w:firstLine="210"/>
        <w:rPr>
          <w:szCs w:val="21"/>
        </w:rPr>
      </w:pPr>
      <m:oMath>
        <m:r>
          <m:rPr>
            <m:sty m:val="p"/>
          </m:rPr>
          <w:rPr>
            <w:rFonts w:ascii="Cambria Math" w:hAnsi="Cambria Math"/>
            <w:szCs w:val="21"/>
          </w:rPr>
          <m:t>rorge</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=rorgf</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-RORGFLEX</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m:t>
        </m:r>
        <m:d>
          <m:dPr>
            <m:ctrlPr>
              <w:rPr>
                <w:rFonts w:ascii="Cambria Math" w:hAnsi="Cambria Math"/>
                <w:szCs w:val="21"/>
              </w:rPr>
            </m:ctrlPr>
          </m:dPr>
          <m:e>
            <m:r>
              <m:rPr>
                <m:sty m:val="p"/>
              </m:rPr>
              <w:rPr>
                <w:rFonts w:ascii="Cambria Math" w:hAnsi="Cambria Math"/>
                <w:szCs w:val="21"/>
              </w:rPr>
              <m:t>qk</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-100*KHAT*time</m:t>
            </m:r>
          </m:e>
        </m:d>
        <m:r>
          <m:rPr>
            <m:sty m:val="p"/>
          </m:rPr>
          <w:rPr>
            <w:rFonts w:ascii="Cambria Math" w:hAnsi="Cambria Math"/>
            <w:szCs w:val="21"/>
          </w:rPr>
          <m:t>+srorge(r)</m:t>
        </m:r>
      </m:oMath>
      <w:r w:rsidR="00C03D31" w:rsidRPr="00E04670">
        <w:rPr>
          <w:rFonts w:hint="eastAsia"/>
          <w:szCs w:val="21"/>
        </w:rPr>
        <w:t xml:space="preserve">       </w:t>
      </w:r>
      <w:r w:rsidR="00281AE7" w:rsidRPr="00E04670">
        <w:rPr>
          <w:rFonts w:hint="eastAsia"/>
          <w:szCs w:val="21"/>
        </w:rPr>
        <w:t>(4</w:t>
      </w:r>
      <w:r w:rsidR="00C03D31" w:rsidRPr="00E04670">
        <w:rPr>
          <w:rFonts w:hint="eastAsia"/>
          <w:szCs w:val="21"/>
        </w:rPr>
        <w:t>)</w:t>
      </w:r>
    </w:p>
    <w:p w:rsidR="00DA4719" w:rsidRPr="00E04670" w:rsidRDefault="00842986" w:rsidP="00842986">
      <w:pPr>
        <w:rPr>
          <w:szCs w:val="21"/>
        </w:rPr>
      </w:pPr>
      <w:r w:rsidRPr="00E04670">
        <w:rPr>
          <w:rFonts w:hint="eastAsia"/>
          <w:szCs w:val="21"/>
          <w:lang w:val="en-CA"/>
        </w:rPr>
        <w:t xml:space="preserve">where </w:t>
      </w:r>
      <w:proofErr w:type="spellStart"/>
      <w:r w:rsidRPr="00E04670">
        <w:rPr>
          <w:rFonts w:hint="eastAsia"/>
          <w:szCs w:val="21"/>
          <w:lang w:val="en-CA"/>
        </w:rPr>
        <w:t>rorge</w:t>
      </w:r>
      <w:proofErr w:type="spellEnd"/>
      <w:r w:rsidRPr="00E04670">
        <w:rPr>
          <w:szCs w:val="21"/>
          <w:lang w:val="en-CA"/>
        </w:rPr>
        <w:t xml:space="preserve">(r) is percentage change of expected rate of return; </w:t>
      </w:r>
      <w:proofErr w:type="spellStart"/>
      <w:r w:rsidRPr="00E04670">
        <w:rPr>
          <w:szCs w:val="21"/>
          <w:lang w:val="en-CA"/>
        </w:rPr>
        <w:t>rorgf</w:t>
      </w:r>
      <w:proofErr w:type="spellEnd"/>
      <w:r w:rsidRPr="00E04670">
        <w:rPr>
          <w:rFonts w:hint="eastAsia"/>
          <w:szCs w:val="21"/>
          <w:lang w:val="en-CA"/>
        </w:rPr>
        <w:t>(r)</w:t>
      </w:r>
      <w:r w:rsidRPr="00E04670">
        <w:rPr>
          <w:szCs w:val="21"/>
          <w:lang w:val="en-CA"/>
        </w:rPr>
        <w:t xml:space="preserve"> is percentage change of reference rate of return; </w:t>
      </w:r>
      <w:proofErr w:type="spellStart"/>
      <w:r w:rsidRPr="00E04670">
        <w:rPr>
          <w:szCs w:val="21"/>
          <w:lang w:val="en-CA"/>
        </w:rPr>
        <w:t>srorge</w:t>
      </w:r>
      <w:proofErr w:type="spellEnd"/>
      <w:r w:rsidRPr="00E04670">
        <w:rPr>
          <w:szCs w:val="21"/>
          <w:lang w:val="en-CA"/>
        </w:rPr>
        <w:t xml:space="preserve">(r) </w:t>
      </w:r>
      <w:r w:rsidRPr="00E04670">
        <w:rPr>
          <w:szCs w:val="21"/>
        </w:rPr>
        <w:t>denotes the percentage change in the expected rate shift</w:t>
      </w:r>
      <w:r w:rsidRPr="00E04670">
        <w:rPr>
          <w:rFonts w:hint="eastAsia"/>
          <w:szCs w:val="21"/>
        </w:rPr>
        <w:t xml:space="preserve"> </w:t>
      </w:r>
      <w:r w:rsidRPr="00E04670">
        <w:rPr>
          <w:szCs w:val="21"/>
        </w:rPr>
        <w:t>factor.</w:t>
      </w:r>
    </w:p>
    <w:p w:rsidR="00842986" w:rsidRPr="00E04670" w:rsidRDefault="00842986" w:rsidP="00842986">
      <w:pPr>
        <w:rPr>
          <w:szCs w:val="21"/>
        </w:rPr>
      </w:pPr>
    </w:p>
    <w:p w:rsidR="00842986" w:rsidRPr="00E04670" w:rsidRDefault="00842986" w:rsidP="00842986">
      <w:pPr>
        <w:rPr>
          <w:szCs w:val="21"/>
        </w:rPr>
      </w:pPr>
      <w:proofErr w:type="spellStart"/>
      <w:r w:rsidRPr="00E04670">
        <w:rPr>
          <w:szCs w:val="21"/>
        </w:rPr>
        <w:t>rorgf</w:t>
      </w:r>
      <w:proofErr w:type="spellEnd"/>
      <w:r w:rsidRPr="00E04670">
        <w:rPr>
          <w:szCs w:val="21"/>
        </w:rPr>
        <w:t>(r) is governed by the following error-correction mechanism:</w:t>
      </w:r>
    </w:p>
    <w:p w:rsidR="00842986" w:rsidRPr="00E04670" w:rsidRDefault="00842986" w:rsidP="00C03D31">
      <w:pPr>
        <w:ind w:firstLineChars="300" w:firstLine="630"/>
        <w:rPr>
          <w:szCs w:val="21"/>
        </w:rPr>
      </w:pPr>
      <m:oMath>
        <m:r>
          <m:rPr>
            <m:sty m:val="p"/>
          </m:rPr>
          <w:rPr>
            <w:rFonts w:ascii="Cambria Math" w:hAnsi="Cambria Math"/>
            <w:szCs w:val="21"/>
          </w:rPr>
          <m:t>rorgf</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=-100*LAMBRORGE</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*ERRRORG</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*time</m:t>
        </m:r>
      </m:oMath>
      <w:r w:rsidR="00C03D31" w:rsidRPr="00E04670">
        <w:rPr>
          <w:rFonts w:hint="eastAsia"/>
          <w:szCs w:val="21"/>
        </w:rPr>
        <w:t xml:space="preserve">           </w:t>
      </w:r>
      <w:r w:rsidR="00E04670">
        <w:rPr>
          <w:szCs w:val="21"/>
        </w:rPr>
        <w:t xml:space="preserve">          </w:t>
      </w:r>
      <w:r w:rsidR="00C03D31" w:rsidRPr="00E04670">
        <w:rPr>
          <w:rFonts w:hint="eastAsia"/>
          <w:szCs w:val="21"/>
        </w:rPr>
        <w:t xml:space="preserve"> </w:t>
      </w:r>
      <w:r w:rsidR="00281AE7" w:rsidRPr="00E04670">
        <w:rPr>
          <w:rFonts w:hint="eastAsia"/>
          <w:szCs w:val="21"/>
        </w:rPr>
        <w:t>(5</w:t>
      </w:r>
      <w:r w:rsidR="00C03D31" w:rsidRPr="00E04670">
        <w:rPr>
          <w:rFonts w:hint="eastAsia"/>
          <w:szCs w:val="21"/>
        </w:rPr>
        <w:t>)</w:t>
      </w:r>
    </w:p>
    <w:p w:rsidR="005C102B" w:rsidRPr="00E04670" w:rsidRDefault="00842986">
      <w:pPr>
        <w:rPr>
          <w:szCs w:val="21"/>
        </w:rPr>
      </w:pPr>
      <w:r w:rsidRPr="00E04670">
        <w:rPr>
          <w:rFonts w:hint="eastAsia"/>
          <w:szCs w:val="21"/>
          <w:lang w:val="en-CA"/>
        </w:rPr>
        <w:t xml:space="preserve">where </w:t>
      </w:r>
      <m:oMath>
        <m:r>
          <m:rPr>
            <m:sty m:val="p"/>
          </m:rPr>
          <w:rPr>
            <w:rFonts w:ascii="Cambria Math" w:hAnsi="Cambria Math"/>
            <w:szCs w:val="21"/>
          </w:rPr>
          <m:t>ERRRORG</m:t>
        </m:r>
        <m:d>
          <m:dPr>
            <m:ctrlPr>
              <w:rPr>
                <w:rFonts w:ascii="Cambria Math" w:hAnsi="Cambria Math"/>
                <w:szCs w:val="21"/>
              </w:rPr>
            </m:ctrlPr>
          </m:dPr>
          <m:e>
            <m:r>
              <m:rPr>
                <m:sty m:val="p"/>
              </m:rPr>
              <w:rPr>
                <w:rFonts w:ascii="Cambria Math" w:hAnsi="Cambria Math"/>
                <w:szCs w:val="21"/>
              </w:rPr>
              <m:t>r</m:t>
            </m:r>
          </m:e>
        </m:d>
        <m:r>
          <w:rPr>
            <w:rFonts w:ascii="Cambria Math"/>
            <w:szCs w:val="21"/>
          </w:rPr>
          <m:t>=lo</m:t>
        </m:r>
        <m:r>
          <w:rPr>
            <w:rFonts w:ascii="Cambria Math"/>
            <w:szCs w:val="21"/>
          </w:rPr>
          <m:t>g</m:t>
        </m:r>
        <m:f>
          <m:fPr>
            <m:ctrlPr>
              <w:rPr>
                <w:rFonts w:ascii="Cambria Math" w:hAnsi="Cambria Math"/>
                <w:i/>
                <w:szCs w:val="21"/>
              </w:rPr>
            </m:ctrlPr>
          </m:fPr>
          <m:num>
            <m:r>
              <w:rPr>
                <w:rFonts w:ascii="Cambria Math"/>
                <w:szCs w:val="21"/>
              </w:rPr>
              <m:t>RORGEXP(r)</m:t>
            </m:r>
          </m:num>
          <m:den>
            <m:r>
              <w:rPr>
                <w:rFonts w:ascii="Cambria Math"/>
                <w:szCs w:val="21"/>
              </w:rPr>
              <m:t>RORGROSS</m:t>
            </m:r>
            <m:r>
              <w:rPr>
                <w:rFonts w:ascii="Cambria Math" w:hint="eastAsia"/>
                <w:szCs w:val="21"/>
              </w:rPr>
              <m:t>(</m:t>
            </m:r>
            <m:r>
              <w:rPr>
                <w:rFonts w:ascii="Cambria Math"/>
                <w:szCs w:val="21"/>
              </w:rPr>
              <m:t>r)</m:t>
            </m:r>
          </m:den>
        </m:f>
      </m:oMath>
      <w:r w:rsidR="00C03D31" w:rsidRPr="00E04670">
        <w:rPr>
          <w:szCs w:val="21"/>
        </w:rPr>
        <w:t>(RORGROSS stands for actual gross rate of return)</w:t>
      </w:r>
      <w:r w:rsidR="00C03D31" w:rsidRPr="00E04670">
        <w:rPr>
          <w:rFonts w:hint="eastAsia"/>
          <w:szCs w:val="21"/>
        </w:rPr>
        <w:t>;</w:t>
      </w:r>
      <w:r w:rsidRPr="00E04670">
        <w:rPr>
          <w:rFonts w:hint="eastAsia"/>
          <w:szCs w:val="21"/>
        </w:rPr>
        <w:t xml:space="preserve"> </w:t>
      </w:r>
      <m:oMath>
        <m:r>
          <m:rPr>
            <m:sty m:val="p"/>
          </m:rPr>
          <w:rPr>
            <w:rFonts w:ascii="Cambria Math" w:hAnsi="Cambria Math"/>
            <w:szCs w:val="21"/>
          </w:rPr>
          <m:t>LAMBRORGE</m:t>
        </m:r>
        <m:d>
          <m:dPr>
            <m:ctrlPr>
              <w:rPr>
                <w:rFonts w:ascii="Cambria Math" w:hAnsi="Cambria Math"/>
                <w:szCs w:val="21"/>
              </w:rPr>
            </m:ctrlPr>
          </m:dPr>
          <m:e>
            <m:r>
              <m:rPr>
                <m:sty m:val="p"/>
              </m:rPr>
              <w:rPr>
                <w:rFonts w:ascii="Cambria Math" w:hAnsi="Cambria Math"/>
                <w:szCs w:val="21"/>
              </w:rPr>
              <m:t>r</m:t>
            </m:r>
          </m:e>
        </m:d>
      </m:oMath>
      <w:r w:rsidRPr="00E04670">
        <w:rPr>
          <w:rFonts w:hint="eastAsia"/>
          <w:szCs w:val="21"/>
        </w:rPr>
        <w:t xml:space="preserve"> is an adjustment coefficient.</w:t>
      </w:r>
      <w:r w:rsidR="00C03D31" w:rsidRPr="00E04670">
        <w:rPr>
          <w:szCs w:val="21"/>
        </w:rPr>
        <w:t xml:space="preserve"> </w:t>
      </w:r>
    </w:p>
    <w:p w:rsidR="00C03D31" w:rsidRPr="00E04670" w:rsidRDefault="00C03D31">
      <w:pPr>
        <w:rPr>
          <w:szCs w:val="21"/>
        </w:rPr>
      </w:pPr>
    </w:p>
    <w:p w:rsidR="00C03D31" w:rsidRPr="00E04670" w:rsidRDefault="006D467B">
      <w:pPr>
        <w:rPr>
          <w:szCs w:val="21"/>
        </w:rPr>
      </w:pPr>
      <w:r>
        <w:rPr>
          <w:szCs w:val="21"/>
        </w:rPr>
        <w:t xml:space="preserve">Substituting </w:t>
      </w:r>
      <w:proofErr w:type="spellStart"/>
      <w:r>
        <w:rPr>
          <w:szCs w:val="21"/>
        </w:rPr>
        <w:t>rorgf</w:t>
      </w:r>
      <w:proofErr w:type="spellEnd"/>
      <w:r>
        <w:rPr>
          <w:szCs w:val="21"/>
        </w:rPr>
        <w:t>(r) in (5) back to (4</w:t>
      </w:r>
      <w:r w:rsidR="00C03D31" w:rsidRPr="00E04670">
        <w:rPr>
          <w:szCs w:val="21"/>
        </w:rPr>
        <w:t>), we get:</w:t>
      </w:r>
    </w:p>
    <w:p w:rsidR="00C03D31" w:rsidRPr="00E04670" w:rsidRDefault="00C03D31">
      <w:pPr>
        <w:rPr>
          <w:szCs w:val="21"/>
        </w:rPr>
      </w:pPr>
      <m:oMath>
        <m:r>
          <m:rPr>
            <m:sty m:val="p"/>
          </m:rPr>
          <w:rPr>
            <w:rFonts w:ascii="Cambria Math" w:hAnsi="Cambria Math"/>
            <w:szCs w:val="21"/>
          </w:rPr>
          <m:t>rorge</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=-RORGFLEX</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m:t>
        </m:r>
        <m:d>
          <m:dPr>
            <m:ctrlPr>
              <w:rPr>
                <w:rFonts w:ascii="Cambria Math" w:hAnsi="Cambria Math"/>
                <w:szCs w:val="21"/>
              </w:rPr>
            </m:ctrlPr>
          </m:dPr>
          <m:e>
            <m:r>
              <m:rPr>
                <m:sty m:val="p"/>
              </m:rPr>
              <w:rPr>
                <w:rFonts w:ascii="Cambria Math" w:hAnsi="Cambria Math"/>
                <w:szCs w:val="21"/>
              </w:rPr>
              <m:t>qk</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-100*KHAT*time</m:t>
            </m:r>
          </m:e>
        </m:d>
        <m:r>
          <m:rPr>
            <m:sty m:val="p"/>
          </m:rPr>
          <w:rPr>
            <w:rFonts w:ascii="Cambria Math" w:hAnsi="Cambria Math"/>
            <w:szCs w:val="21"/>
          </w:rPr>
          <m:t>-100*LAMBRORGE</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*ERRRORG</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*time+srorge(r)</m:t>
        </m:r>
      </m:oMath>
      <w:r w:rsidRPr="00E04670">
        <w:rPr>
          <w:rFonts w:hint="eastAsia"/>
          <w:szCs w:val="21"/>
        </w:rPr>
        <w:t xml:space="preserve">  </w:t>
      </w:r>
      <w:r w:rsidRPr="00E04670">
        <w:rPr>
          <w:szCs w:val="21"/>
        </w:rPr>
        <w:t xml:space="preserve">                                            </w:t>
      </w:r>
      <w:r w:rsidR="00B30DBE" w:rsidRPr="00E04670">
        <w:rPr>
          <w:szCs w:val="21"/>
        </w:rPr>
        <w:t xml:space="preserve"> </w:t>
      </w:r>
      <w:r w:rsidR="00E04670">
        <w:rPr>
          <w:szCs w:val="21"/>
        </w:rPr>
        <w:t xml:space="preserve"> </w:t>
      </w:r>
      <w:r w:rsidR="00281AE7" w:rsidRPr="00E04670">
        <w:rPr>
          <w:szCs w:val="21"/>
        </w:rPr>
        <w:t>(6</w:t>
      </w:r>
      <w:r w:rsidRPr="00E04670">
        <w:rPr>
          <w:szCs w:val="21"/>
        </w:rPr>
        <w:t>)</w:t>
      </w:r>
    </w:p>
    <w:p w:rsidR="00C03D31" w:rsidRPr="00E04670" w:rsidRDefault="00C03D31">
      <w:pPr>
        <w:rPr>
          <w:szCs w:val="21"/>
          <w:lang w:val="en-CA"/>
        </w:rPr>
      </w:pPr>
    </w:p>
    <w:p w:rsidR="005C102B" w:rsidRPr="00E04670" w:rsidRDefault="00C03D31" w:rsidP="00C03D31">
      <w:pPr>
        <w:rPr>
          <w:szCs w:val="21"/>
        </w:rPr>
      </w:pPr>
      <w:r w:rsidRPr="00E04670">
        <w:rPr>
          <w:szCs w:val="21"/>
        </w:rPr>
        <w:t>This equation shows three sources of change in the expected rate of return:</w:t>
      </w:r>
      <w:r w:rsidRPr="00E04670">
        <w:rPr>
          <w:rFonts w:hint="eastAsia"/>
          <w:szCs w:val="21"/>
        </w:rPr>
        <w:t xml:space="preserve"> </w:t>
      </w:r>
      <w:r w:rsidRPr="00E04670">
        <w:rPr>
          <w:szCs w:val="21"/>
        </w:rPr>
        <w:t>(1) divergence between the actual rate of growth in the capital stock,</w:t>
      </w:r>
      <w:r w:rsidRPr="00E04670">
        <w:rPr>
          <w:rFonts w:hint="eastAsia"/>
          <w:szCs w:val="21"/>
        </w:rPr>
        <w:t xml:space="preserve"> </w:t>
      </w:r>
      <w:proofErr w:type="spellStart"/>
      <w:r w:rsidRPr="00E04670">
        <w:rPr>
          <w:iCs/>
          <w:szCs w:val="21"/>
        </w:rPr>
        <w:t>qk</w:t>
      </w:r>
      <w:proofErr w:type="spellEnd"/>
      <w:r w:rsidRPr="00E04670">
        <w:rPr>
          <w:szCs w:val="21"/>
        </w:rPr>
        <w:t>(</w:t>
      </w:r>
      <w:r w:rsidRPr="00E04670">
        <w:rPr>
          <w:iCs/>
          <w:szCs w:val="21"/>
        </w:rPr>
        <w:t>r</w:t>
      </w:r>
      <w:r w:rsidRPr="00E04670">
        <w:rPr>
          <w:szCs w:val="21"/>
        </w:rPr>
        <w:t>)</w:t>
      </w:r>
      <w:r w:rsidRPr="00E04670">
        <w:rPr>
          <w:iCs/>
          <w:szCs w:val="21"/>
        </w:rPr>
        <w:t>/</w:t>
      </w:r>
      <w:r w:rsidRPr="00E04670">
        <w:rPr>
          <w:szCs w:val="21"/>
        </w:rPr>
        <w:t>[100*</w:t>
      </w:r>
      <w:r w:rsidRPr="00E04670">
        <w:rPr>
          <w:iCs/>
          <w:szCs w:val="21"/>
        </w:rPr>
        <w:t>time</w:t>
      </w:r>
      <w:r w:rsidRPr="00E04670">
        <w:rPr>
          <w:szCs w:val="21"/>
        </w:rPr>
        <w:t xml:space="preserve">], and the normal growth rate </w:t>
      </w:r>
      <w:r w:rsidRPr="00E04670">
        <w:rPr>
          <w:iCs/>
          <w:szCs w:val="21"/>
        </w:rPr>
        <w:t>KHAT</w:t>
      </w:r>
      <w:r w:rsidRPr="00E04670">
        <w:rPr>
          <w:szCs w:val="21"/>
        </w:rPr>
        <w:t>(</w:t>
      </w:r>
      <w:r w:rsidRPr="00E04670">
        <w:rPr>
          <w:iCs/>
          <w:szCs w:val="21"/>
        </w:rPr>
        <w:t>r</w:t>
      </w:r>
      <w:r w:rsidRPr="00E04670">
        <w:rPr>
          <w:szCs w:val="21"/>
        </w:rPr>
        <w:t>); (2) a correction</w:t>
      </w:r>
      <w:r w:rsidRPr="00E04670">
        <w:rPr>
          <w:rFonts w:hint="eastAsia"/>
          <w:szCs w:val="21"/>
        </w:rPr>
        <w:t xml:space="preserve"> </w:t>
      </w:r>
      <w:r w:rsidRPr="00E04670">
        <w:rPr>
          <w:szCs w:val="21"/>
        </w:rPr>
        <w:t xml:space="preserve">for the observed error in the expected rate </w:t>
      </w:r>
      <m:oMath>
        <m:r>
          <m:rPr>
            <m:sty m:val="p"/>
          </m:rPr>
          <w:rPr>
            <w:rFonts w:ascii="Cambria Math" w:hAnsi="Cambria Math"/>
            <w:szCs w:val="21"/>
          </w:rPr>
          <m:t>ERRRORG</m:t>
        </m:r>
        <m:d>
          <m:dPr>
            <m:ctrlPr>
              <w:rPr>
                <w:rFonts w:ascii="Cambria Math" w:hAnsi="Cambria Math"/>
                <w:szCs w:val="21"/>
              </w:rPr>
            </m:ctrlPr>
          </m:dPr>
          <m:e>
            <m:r>
              <m:rPr>
                <m:sty m:val="p"/>
              </m:rPr>
              <w:rPr>
                <w:rFonts w:ascii="Cambria Math" w:hAnsi="Cambria Math"/>
                <w:szCs w:val="21"/>
              </w:rPr>
              <m:t>r</m:t>
            </m:r>
          </m:e>
        </m:d>
      </m:oMath>
      <w:r w:rsidRPr="00E04670">
        <w:rPr>
          <w:szCs w:val="21"/>
        </w:rPr>
        <w:t xml:space="preserve">; and (3) an exogenous shift factor </w:t>
      </w:r>
      <m:oMath>
        <m:r>
          <m:rPr>
            <m:sty m:val="p"/>
          </m:rPr>
          <w:rPr>
            <w:rFonts w:ascii="Cambria Math" w:hAnsi="Cambria Math"/>
            <w:szCs w:val="21"/>
          </w:rPr>
          <m:t>srorge(r)</m:t>
        </m:r>
      </m:oMath>
      <w:r w:rsidRPr="00E04670">
        <w:rPr>
          <w:szCs w:val="21"/>
        </w:rPr>
        <w:t>.</w:t>
      </w:r>
    </w:p>
    <w:p w:rsidR="00B30DBE" w:rsidRPr="00E04670" w:rsidRDefault="00B30DBE" w:rsidP="00C03D31">
      <w:pPr>
        <w:rPr>
          <w:szCs w:val="21"/>
        </w:rPr>
      </w:pPr>
    </w:p>
    <w:p w:rsidR="00B30DBE" w:rsidRPr="00E04670" w:rsidRDefault="00B30DBE" w:rsidP="00B30DBE">
      <w:pPr>
        <w:rPr>
          <w:szCs w:val="21"/>
        </w:rPr>
      </w:pPr>
      <w:r w:rsidRPr="00E04670">
        <w:rPr>
          <w:szCs w:val="21"/>
        </w:rPr>
        <w:t xml:space="preserve">Similar </w:t>
      </w:r>
      <w:r w:rsidR="009B3C95">
        <w:rPr>
          <w:szCs w:val="21"/>
        </w:rPr>
        <w:t xml:space="preserve">with expected rate of return, </w:t>
      </w:r>
      <w:proofErr w:type="spellStart"/>
      <w:r w:rsidR="009B3C95">
        <w:rPr>
          <w:szCs w:val="21"/>
        </w:rPr>
        <w:t>GD</w:t>
      </w:r>
      <w:r w:rsidRPr="00E04670">
        <w:rPr>
          <w:szCs w:val="21"/>
        </w:rPr>
        <w:t>yn</w:t>
      </w:r>
      <w:proofErr w:type="spellEnd"/>
      <w:r w:rsidRPr="00E04670">
        <w:rPr>
          <w:szCs w:val="21"/>
        </w:rPr>
        <w:t xml:space="preserve"> also treats the normal growth rate </w:t>
      </w:r>
      <w:r w:rsidRPr="00E04670">
        <w:rPr>
          <w:iCs/>
          <w:szCs w:val="21"/>
        </w:rPr>
        <w:t>KHAT</w:t>
      </w:r>
      <w:r w:rsidRPr="00E04670">
        <w:rPr>
          <w:rFonts w:hint="eastAsia"/>
          <w:iCs/>
          <w:szCs w:val="21"/>
        </w:rPr>
        <w:t xml:space="preserve"> </w:t>
      </w:r>
      <w:r w:rsidRPr="00E04670">
        <w:rPr>
          <w:szCs w:val="21"/>
        </w:rPr>
        <w:t>as an updatable coefficient within the model and provide an adjustment</w:t>
      </w:r>
      <w:r w:rsidRPr="00E04670">
        <w:rPr>
          <w:rFonts w:hint="eastAsia"/>
          <w:iCs/>
          <w:szCs w:val="21"/>
        </w:rPr>
        <w:t xml:space="preserve"> </w:t>
      </w:r>
      <w:r w:rsidRPr="00E04670">
        <w:rPr>
          <w:szCs w:val="21"/>
        </w:rPr>
        <w:t>mechanism to bring it toward a model-consistent value through the course</w:t>
      </w:r>
      <w:r w:rsidRPr="00E04670">
        <w:rPr>
          <w:rFonts w:hint="eastAsia"/>
          <w:iCs/>
          <w:szCs w:val="21"/>
        </w:rPr>
        <w:t xml:space="preserve"> </w:t>
      </w:r>
      <w:r w:rsidRPr="00E04670">
        <w:rPr>
          <w:szCs w:val="21"/>
        </w:rPr>
        <w:t>of a simulation:</w:t>
      </w:r>
    </w:p>
    <w:p w:rsidR="00B30DBE" w:rsidRPr="00E04670" w:rsidRDefault="00B30DBE" w:rsidP="00B30DBE">
      <w:pPr>
        <w:rPr>
          <w:szCs w:val="21"/>
        </w:rPr>
      </w:pPr>
      <m:oMath>
        <m:r>
          <m:rPr>
            <m:sty m:val="p"/>
          </m:rPr>
          <w:rPr>
            <w:rFonts w:ascii="Cambria Math" w:hAnsi="Cambria Math"/>
            <w:szCs w:val="21"/>
          </w:rPr>
          <m:t>DKHAT</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=LAMBKHAT</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*(qk</m:t>
        </m:r>
        <m:d>
          <m:dPr>
            <m:ctrlPr>
              <w:rPr>
                <w:rFonts w:ascii="Cambria Math" w:hAnsi="Cambria Math"/>
                <w:szCs w:val="21"/>
              </w:rPr>
            </m:ctrlPr>
          </m:dPr>
          <m:e>
            <m:r>
              <m:rPr>
                <m:sty m:val="p"/>
              </m:rPr>
              <w:rPr>
                <w:rFonts w:ascii="Cambria Math" w:hAnsi="Cambria Math"/>
                <w:szCs w:val="21"/>
              </w:rPr>
              <m:t>r</m:t>
            </m:r>
          </m:e>
        </m:d>
        <m:r>
          <m:rPr>
            <m:sty m:val="p"/>
          </m:rPr>
          <w:rPr>
            <w:rFonts w:ascii="Cambria Math" w:hAnsi="Cambria Math"/>
            <w:szCs w:val="21"/>
          </w:rPr>
          <m:t>+</m:t>
        </m:r>
        <m:sSup>
          <m:sSupPr>
            <m:ctrlPr>
              <w:rPr>
                <w:rFonts w:ascii="Cambria Math" w:hAnsi="Cambria Math"/>
                <w:szCs w:val="21"/>
              </w:rPr>
            </m:ctrlPr>
          </m:sSupPr>
          <m:e>
            <m:r>
              <m:rPr>
                <m:sty m:val="p"/>
              </m:rPr>
              <w:rPr>
                <w:rFonts w:ascii="Cambria Math" w:hAnsi="Cambria Math"/>
                <w:szCs w:val="21"/>
              </w:rPr>
              <m:t>RORGFLEX</m:t>
            </m:r>
            <m:d>
              <m:dPr>
                <m:ctrlPr>
                  <w:rPr>
                    <w:rFonts w:ascii="Cambria Math" w:hAnsi="Cambria Math"/>
                    <w:szCs w:val="21"/>
                  </w:rPr>
                </m:ctrlPr>
              </m:dPr>
              <m:e>
                <m:r>
                  <m:rPr>
                    <m:sty m:val="p"/>
                  </m:rPr>
                  <w:rPr>
                    <w:rFonts w:ascii="Cambria Math" w:hAnsi="Cambria Math"/>
                    <w:szCs w:val="21"/>
                  </w:rPr>
                  <m:t>r</m:t>
                </m:r>
              </m:e>
            </m:d>
          </m:e>
          <m:sup>
            <m:r>
              <w:rPr>
                <w:rFonts w:ascii="Cambria Math" w:hAnsi="Cambria Math"/>
                <w:szCs w:val="21"/>
              </w:rPr>
              <m:t>-1</m:t>
            </m:r>
          </m:sup>
        </m:sSup>
        <m:r>
          <w:rPr>
            <w:rFonts w:ascii="Cambria Math" w:hAnsi="Cambria Math"/>
            <w:szCs w:val="21"/>
          </w:rPr>
          <m:t>*rorga</m:t>
        </m:r>
        <m:d>
          <m:dPr>
            <m:ctrlPr>
              <w:rPr>
                <w:rFonts w:ascii="Cambria Math" w:hAnsi="Cambria Math"/>
                <w:i/>
                <w:szCs w:val="21"/>
              </w:rPr>
            </m:ctrlPr>
          </m:dPr>
          <m:e>
            <m:r>
              <w:rPr>
                <w:rFonts w:ascii="Cambria Math" w:hAnsi="Cambria Math"/>
                <w:szCs w:val="21"/>
              </w:rPr>
              <m:t>r</m:t>
            </m:r>
          </m:e>
        </m:d>
        <m:r>
          <w:rPr>
            <w:rFonts w:ascii="Cambria Math" w:hAnsi="Cambria Math"/>
            <w:szCs w:val="21"/>
          </w:rPr>
          <m:t>+100*KHAT</m:t>
        </m:r>
        <m:d>
          <m:dPr>
            <m:ctrlPr>
              <w:rPr>
                <w:rFonts w:ascii="Cambria Math" w:hAnsi="Cambria Math"/>
                <w:i/>
                <w:szCs w:val="21"/>
              </w:rPr>
            </m:ctrlPr>
          </m:dPr>
          <m:e>
            <m:r>
              <w:rPr>
                <w:rFonts w:ascii="Cambria Math" w:hAnsi="Cambria Math"/>
                <w:szCs w:val="21"/>
              </w:rPr>
              <m:t>r</m:t>
            </m:r>
          </m:e>
        </m:d>
        <m:r>
          <w:rPr>
            <w:rFonts w:ascii="Cambria Math" w:hAnsi="Cambria Math"/>
            <w:szCs w:val="21"/>
          </w:rPr>
          <m:t>*time)</m:t>
        </m:r>
      </m:oMath>
      <w:r w:rsidRPr="00E04670">
        <w:rPr>
          <w:rFonts w:hint="eastAsia"/>
          <w:szCs w:val="21"/>
        </w:rPr>
        <w:t xml:space="preserve">                                                                    </w:t>
      </w:r>
      <w:r w:rsidRPr="00E04670">
        <w:rPr>
          <w:szCs w:val="21"/>
        </w:rPr>
        <w:t xml:space="preserve">  </w:t>
      </w:r>
      <w:r w:rsidR="00281AE7" w:rsidRPr="00E04670">
        <w:rPr>
          <w:rFonts w:hint="eastAsia"/>
          <w:szCs w:val="21"/>
        </w:rPr>
        <w:t xml:space="preserve"> (7</w:t>
      </w:r>
      <w:r w:rsidRPr="00E04670">
        <w:rPr>
          <w:rFonts w:hint="eastAsia"/>
          <w:szCs w:val="21"/>
        </w:rPr>
        <w:t>)</w:t>
      </w:r>
    </w:p>
    <w:p w:rsidR="00B30DBE" w:rsidRPr="00E04670" w:rsidRDefault="00B30DBE" w:rsidP="00B30DBE">
      <w:pPr>
        <w:rPr>
          <w:iCs/>
          <w:szCs w:val="21"/>
        </w:rPr>
      </w:pPr>
      <w:r w:rsidRPr="00E04670">
        <w:rPr>
          <w:iCs/>
          <w:szCs w:val="21"/>
        </w:rPr>
        <w:t xml:space="preserve">Where </w:t>
      </w:r>
      <w:r w:rsidR="00FC1774" w:rsidRPr="00E04670">
        <w:rPr>
          <w:iCs/>
          <w:szCs w:val="21"/>
        </w:rPr>
        <w:t>LAMBKHAT(r) is a coefficient of adjustment.</w:t>
      </w:r>
    </w:p>
    <w:p w:rsidR="00FC1774" w:rsidRPr="00E04670" w:rsidRDefault="00FC1774" w:rsidP="00B30DBE">
      <w:pPr>
        <w:rPr>
          <w:iCs/>
          <w:szCs w:val="21"/>
        </w:rPr>
      </w:pPr>
    </w:p>
    <w:p w:rsidR="00FC1774" w:rsidRPr="00E04670" w:rsidRDefault="00FC1774" w:rsidP="004D454C">
      <w:pPr>
        <w:rPr>
          <w:iCs/>
          <w:szCs w:val="21"/>
        </w:rPr>
      </w:pPr>
      <w:r w:rsidRPr="00E04670">
        <w:rPr>
          <w:rFonts w:hint="eastAsia"/>
          <w:iCs/>
          <w:szCs w:val="21"/>
        </w:rPr>
        <w:t>Equation (1)</w:t>
      </w:r>
      <w:r w:rsidRPr="00E04670">
        <w:rPr>
          <w:iCs/>
          <w:szCs w:val="21"/>
        </w:rPr>
        <w:t>,</w:t>
      </w:r>
      <w:r w:rsidR="00AD27DC">
        <w:rPr>
          <w:iCs/>
          <w:szCs w:val="21"/>
        </w:rPr>
        <w:t xml:space="preserve"> </w:t>
      </w:r>
      <w:r w:rsidR="00281AE7" w:rsidRPr="00E04670">
        <w:rPr>
          <w:iCs/>
          <w:szCs w:val="21"/>
        </w:rPr>
        <w:t>(3), (6) and (7</w:t>
      </w:r>
      <w:r w:rsidR="004D454C" w:rsidRPr="00E04670">
        <w:rPr>
          <w:iCs/>
          <w:szCs w:val="21"/>
        </w:rPr>
        <w:t xml:space="preserve">) comprise the investment theory of </w:t>
      </w:r>
      <w:proofErr w:type="spellStart"/>
      <w:r w:rsidR="004D454C" w:rsidRPr="00E04670">
        <w:rPr>
          <w:iCs/>
          <w:szCs w:val="21"/>
        </w:rPr>
        <w:t>GDyn</w:t>
      </w:r>
      <w:proofErr w:type="spellEnd"/>
      <w:r w:rsidR="004D454C" w:rsidRPr="00E04670">
        <w:rPr>
          <w:iCs/>
          <w:szCs w:val="21"/>
        </w:rPr>
        <w:t xml:space="preserve">. With </w:t>
      </w:r>
      <w:r w:rsidR="00AD27DC" w:rsidRPr="00E04670">
        <w:rPr>
          <w:iCs/>
          <w:szCs w:val="21"/>
        </w:rPr>
        <w:t>th</w:t>
      </w:r>
      <w:r w:rsidR="00AD27DC">
        <w:rPr>
          <w:iCs/>
          <w:szCs w:val="21"/>
        </w:rPr>
        <w:t>e</w:t>
      </w:r>
      <w:r w:rsidR="00AD27DC" w:rsidRPr="00E04670">
        <w:rPr>
          <w:iCs/>
          <w:szCs w:val="21"/>
        </w:rPr>
        <w:t>s</w:t>
      </w:r>
      <w:r w:rsidR="00AD27DC">
        <w:rPr>
          <w:iCs/>
          <w:szCs w:val="21"/>
        </w:rPr>
        <w:t>e</w:t>
      </w:r>
      <w:r w:rsidR="00AD27DC" w:rsidRPr="00E04670">
        <w:rPr>
          <w:iCs/>
          <w:szCs w:val="21"/>
        </w:rPr>
        <w:t xml:space="preserve"> </w:t>
      </w:r>
      <w:r w:rsidR="004D454C" w:rsidRPr="00E04670">
        <w:rPr>
          <w:iCs/>
          <w:szCs w:val="21"/>
        </w:rPr>
        <w:t>equations,</w:t>
      </w:r>
      <w:r w:rsidR="004D454C" w:rsidRPr="00E04670">
        <w:rPr>
          <w:rFonts w:hint="eastAsia"/>
          <w:iCs/>
          <w:szCs w:val="21"/>
        </w:rPr>
        <w:t xml:space="preserve"> </w:t>
      </w:r>
      <w:bookmarkStart w:id="1" w:name="_Hlk511126250"/>
      <w:r w:rsidR="004D454C" w:rsidRPr="00E04670">
        <w:rPr>
          <w:iCs/>
          <w:szCs w:val="21"/>
        </w:rPr>
        <w:t>regional expected</w:t>
      </w:r>
      <w:r w:rsidR="004D454C" w:rsidRPr="00E04670">
        <w:rPr>
          <w:rFonts w:hint="eastAsia"/>
          <w:iCs/>
          <w:szCs w:val="21"/>
        </w:rPr>
        <w:t xml:space="preserve"> </w:t>
      </w:r>
      <w:r w:rsidR="004D454C" w:rsidRPr="00E04670">
        <w:rPr>
          <w:iCs/>
          <w:szCs w:val="21"/>
        </w:rPr>
        <w:t>rates of return will gradually adjust toward a common target rate</w:t>
      </w:r>
      <w:bookmarkEnd w:id="1"/>
      <w:r w:rsidR="004D454C" w:rsidRPr="00E04670">
        <w:rPr>
          <w:iCs/>
          <w:szCs w:val="21"/>
        </w:rPr>
        <w:t xml:space="preserve"> in the long run. It can also be shown </w:t>
      </w:r>
      <w:r w:rsidR="00F73467" w:rsidRPr="00E04670">
        <w:rPr>
          <w:iCs/>
          <w:szCs w:val="21"/>
        </w:rPr>
        <w:t>that such mechanism</w:t>
      </w:r>
      <w:r w:rsidR="004D454C" w:rsidRPr="00E04670">
        <w:rPr>
          <w:iCs/>
          <w:szCs w:val="21"/>
        </w:rPr>
        <w:t xml:space="preserve"> ensures the convergence</w:t>
      </w:r>
      <w:r w:rsidR="004D454C" w:rsidRPr="00E04670">
        <w:rPr>
          <w:rFonts w:hint="eastAsia"/>
          <w:iCs/>
          <w:szCs w:val="21"/>
        </w:rPr>
        <w:t xml:space="preserve"> </w:t>
      </w:r>
      <w:r w:rsidR="004D454C" w:rsidRPr="00E04670">
        <w:rPr>
          <w:iCs/>
          <w:szCs w:val="21"/>
        </w:rPr>
        <w:t>of the model toward a stable equilibrium</w:t>
      </w:r>
      <w:r w:rsidR="00F73467" w:rsidRPr="00E04670">
        <w:rPr>
          <w:iCs/>
          <w:szCs w:val="21"/>
        </w:rPr>
        <w:t xml:space="preserve"> </w:t>
      </w:r>
      <w:r w:rsidR="004D454C" w:rsidRPr="00E04670">
        <w:rPr>
          <w:iCs/>
          <w:szCs w:val="21"/>
        </w:rPr>
        <w:t>and offers the flexibility of tailoring</w:t>
      </w:r>
      <w:r w:rsidR="00F73467" w:rsidRPr="00E04670">
        <w:rPr>
          <w:rFonts w:hint="eastAsia"/>
          <w:iCs/>
          <w:szCs w:val="21"/>
        </w:rPr>
        <w:t xml:space="preserve"> </w:t>
      </w:r>
      <w:r w:rsidR="004D454C" w:rsidRPr="00E04670">
        <w:rPr>
          <w:iCs/>
          <w:szCs w:val="21"/>
        </w:rPr>
        <w:t>the model to observed data.</w:t>
      </w:r>
    </w:p>
    <w:p w:rsidR="00C03D31" w:rsidRDefault="00C03D31" w:rsidP="00C03D31">
      <w:pPr>
        <w:rPr>
          <w:sz w:val="24"/>
          <w:szCs w:val="24"/>
          <w:lang w:val="en-CA"/>
        </w:rPr>
      </w:pPr>
    </w:p>
    <w:p w:rsidR="00D43C0D" w:rsidRPr="00AD56A6" w:rsidRDefault="00D43C0D" w:rsidP="00D43C0D">
      <w:pPr>
        <w:pStyle w:val="ListParagraph"/>
        <w:numPr>
          <w:ilvl w:val="0"/>
          <w:numId w:val="1"/>
        </w:numPr>
        <w:ind w:firstLineChars="0"/>
        <w:rPr>
          <w:b/>
          <w:sz w:val="24"/>
          <w:szCs w:val="24"/>
          <w:lang w:val="en-CA"/>
        </w:rPr>
      </w:pPr>
      <w:r>
        <w:rPr>
          <w:b/>
          <w:sz w:val="24"/>
          <w:szCs w:val="24"/>
          <w:lang w:val="en-CA"/>
        </w:rPr>
        <w:t>Model and Data</w:t>
      </w:r>
    </w:p>
    <w:p w:rsidR="00943B24" w:rsidRPr="00943B24" w:rsidRDefault="00D43C0D" w:rsidP="00943B24">
      <w:pPr>
        <w:rPr>
          <w:b/>
          <w:lang w:val="en-CA"/>
        </w:rPr>
      </w:pPr>
      <w:r w:rsidRPr="00852194">
        <w:rPr>
          <w:b/>
          <w:lang w:val="en-CA"/>
        </w:rPr>
        <w:t>3</w:t>
      </w:r>
      <w:r w:rsidR="00943B24">
        <w:rPr>
          <w:rFonts w:hint="eastAsia"/>
          <w:b/>
          <w:lang w:val="en-CA"/>
        </w:rPr>
        <w:t>.</w:t>
      </w:r>
      <w:r>
        <w:rPr>
          <w:b/>
          <w:lang w:val="en-CA"/>
        </w:rPr>
        <w:t>1</w:t>
      </w:r>
      <w:r w:rsidR="002E047E">
        <w:rPr>
          <w:rFonts w:hint="eastAsia"/>
          <w:b/>
          <w:lang w:val="en-CA"/>
        </w:rPr>
        <w:t xml:space="preserve">. </w:t>
      </w:r>
      <w:r w:rsidR="00943B24">
        <w:rPr>
          <w:rFonts w:hint="eastAsia"/>
          <w:b/>
          <w:lang w:val="en-CA"/>
        </w:rPr>
        <w:t>USAGE-type Investment Function</w:t>
      </w:r>
    </w:p>
    <w:p w:rsidR="00DA4719" w:rsidRDefault="002E047E">
      <w:pPr>
        <w:rPr>
          <w:lang w:val="en-CA"/>
        </w:rPr>
      </w:pPr>
      <w:r>
        <w:rPr>
          <w:lang w:val="en-CA"/>
        </w:rPr>
        <w:t xml:space="preserve">USAGE-type model allows for two broad treatments of capital and investment. The first one assumes movements in rates of return and </w:t>
      </w:r>
      <w:r w:rsidR="0017429D">
        <w:rPr>
          <w:lang w:val="en-CA"/>
        </w:rPr>
        <w:t xml:space="preserve">exogenous </w:t>
      </w:r>
      <w:r>
        <w:rPr>
          <w:lang w:val="en-CA"/>
        </w:rPr>
        <w:t xml:space="preserve">investment/capital ratios. This assumption is suitable for long-run comparative-static simulations. </w:t>
      </w:r>
      <w:r>
        <w:rPr>
          <w:rFonts w:hint="eastAsia"/>
          <w:lang w:val="en-CA"/>
        </w:rPr>
        <w:t xml:space="preserve">The second treatment involves </w:t>
      </w:r>
      <w:r w:rsidR="0017429D">
        <w:rPr>
          <w:lang w:val="en-CA"/>
        </w:rPr>
        <w:t xml:space="preserve">an </w:t>
      </w:r>
      <w:r>
        <w:rPr>
          <w:rFonts w:hint="eastAsia"/>
          <w:lang w:val="en-CA"/>
        </w:rPr>
        <w:t xml:space="preserve">explicit capital supply function, which </w:t>
      </w:r>
      <w:r w:rsidR="00AE4491">
        <w:rPr>
          <w:rFonts w:hint="eastAsia"/>
          <w:lang w:val="en-CA"/>
        </w:rPr>
        <w:t xml:space="preserve">is </w:t>
      </w:r>
      <w:r>
        <w:rPr>
          <w:rFonts w:hint="eastAsia"/>
          <w:lang w:val="en-CA"/>
        </w:rPr>
        <w:t xml:space="preserve">suitable for year-to-year dynamic simulations. </w:t>
      </w:r>
    </w:p>
    <w:p w:rsidR="00AF3128" w:rsidRDefault="00AF3128">
      <w:pPr>
        <w:rPr>
          <w:lang w:val="en-CA"/>
        </w:rPr>
      </w:pPr>
    </w:p>
    <w:p w:rsidR="00C43299" w:rsidRDefault="00C43299">
      <w:pPr>
        <w:rPr>
          <w:lang w:val="en-CA"/>
        </w:rPr>
      </w:pPr>
      <w:r>
        <w:rPr>
          <w:lang w:val="en-CA"/>
        </w:rPr>
        <w:t>The key feature of USAGE-type investment function is the inverse logistic capital supply function</w:t>
      </w:r>
      <w:r w:rsidR="00513A81">
        <w:rPr>
          <w:lang w:val="en-CA"/>
        </w:rPr>
        <w:t xml:space="preserve"> in Figure 1</w:t>
      </w:r>
      <w:r>
        <w:rPr>
          <w:lang w:val="en-CA"/>
        </w:rPr>
        <w:t>.</w:t>
      </w:r>
      <w:r w:rsidR="00513A81">
        <w:rPr>
          <w:lang w:val="en-CA"/>
        </w:rPr>
        <w:t xml:space="preserve"> It specifies the relationship between the </w:t>
      </w:r>
      <w:r w:rsidR="00804ED7">
        <w:rPr>
          <w:lang w:val="en-CA"/>
        </w:rPr>
        <w:t>equilibrium</w:t>
      </w:r>
      <w:r w:rsidR="00513A81">
        <w:rPr>
          <w:lang w:val="en-CA"/>
        </w:rPr>
        <w:t xml:space="preserve"> expected rate of return and capital growth rate.  </w:t>
      </w:r>
    </w:p>
    <w:p w:rsidR="00513A81" w:rsidRDefault="00513A81">
      <w:pPr>
        <w:rPr>
          <w:lang w:val="en-CA"/>
        </w:rPr>
      </w:pPr>
    </w:p>
    <w:p w:rsidR="00513A81" w:rsidRPr="00513A81" w:rsidRDefault="00513A81">
      <w:pPr>
        <w:rPr>
          <w:b/>
          <w:lang w:val="en-CA"/>
        </w:rPr>
      </w:pPr>
      <w:r w:rsidRPr="00513A81">
        <w:rPr>
          <w:b/>
          <w:lang w:val="en-CA"/>
        </w:rPr>
        <w:t>Figure 1. Inverse-logistic capital supply curve</w:t>
      </w:r>
      <w:r w:rsidR="00612655">
        <w:rPr>
          <w:b/>
          <w:lang w:val="en-CA"/>
        </w:rPr>
        <w:t xml:space="preserve"> in sector j in region r</w:t>
      </w:r>
    </w:p>
    <w:p w:rsidR="00C43299" w:rsidRDefault="00C43299" w:rsidP="00C43299">
      <w:pPr>
        <w:jc w:val="center"/>
        <w:rPr>
          <w:lang w:val="en-CA"/>
        </w:rPr>
      </w:pPr>
      <w:r>
        <w:rPr>
          <w:rFonts w:hint="eastAsia"/>
          <w:noProof/>
        </w:rPr>
        <w:drawing>
          <wp:inline distT="0" distB="0" distL="0" distR="0">
            <wp:extent cx="2883176" cy="267823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883824" cy="2678838"/>
                    </a:xfrm>
                    <a:prstGeom prst="rect">
                      <a:avLst/>
                    </a:prstGeom>
                    <a:noFill/>
                    <a:ln w="9525">
                      <a:noFill/>
                      <a:miter lim="800000"/>
                      <a:headEnd/>
                      <a:tailEnd/>
                    </a:ln>
                  </pic:spPr>
                </pic:pic>
              </a:graphicData>
            </a:graphic>
          </wp:inline>
        </w:drawing>
      </w:r>
    </w:p>
    <w:p w:rsidR="00513A81" w:rsidRDefault="00513A81" w:rsidP="00C43299">
      <w:pPr>
        <w:jc w:val="center"/>
        <w:rPr>
          <w:lang w:val="en-CA"/>
        </w:rPr>
      </w:pPr>
    </w:p>
    <w:p w:rsidR="00513A81" w:rsidRPr="00513A81" w:rsidRDefault="00B20695" w:rsidP="003D06FB">
      <w:pPr>
        <w:jc w:val="left"/>
        <w:rPr>
          <w:lang w:val="en-CA"/>
        </w:rPr>
      </w:pPr>
      <m:oMath>
        <m:sSub>
          <m:sSubPr>
            <m:ctrlPr>
              <w:rPr>
                <w:rFonts w:ascii="Cambria Math" w:hAnsi="Cambria Math"/>
                <w:szCs w:val="21"/>
              </w:rPr>
            </m:ctrlPr>
          </m:sSubPr>
          <m:e>
            <m:r>
              <m:rPr>
                <m:sty m:val="p"/>
              </m:rPr>
              <w:rPr>
                <w:rFonts w:ascii="Cambria Math" w:hAnsi="Cambria Math"/>
                <w:szCs w:val="21"/>
              </w:rPr>
              <m:t>E</m:t>
            </m:r>
            <m:r>
              <m:rPr>
                <m:sty m:val="p"/>
              </m:rPr>
              <w:rPr>
                <w:rFonts w:ascii="Cambria Math" w:hAnsi="Cambria Math" w:hint="eastAsia"/>
                <w:szCs w:val="21"/>
              </w:rPr>
              <m:t>EQ</m:t>
            </m:r>
            <m:r>
              <m:rPr>
                <m:sty m:val="p"/>
              </m:rPr>
              <w:rPr>
                <w:rFonts w:ascii="Cambria Math" w:hAnsi="Cambria Math"/>
                <w:szCs w:val="21"/>
              </w:rPr>
              <m:t>ROR</m:t>
            </m:r>
          </m:e>
          <m:sub>
            <m:r>
              <m:rPr>
                <m:sty m:val="p"/>
              </m:rPr>
              <w:rPr>
                <w:rFonts w:ascii="Cambria Math" w:hAnsi="Cambria Math"/>
                <w:szCs w:val="21"/>
              </w:rPr>
              <m:t>j,r</m:t>
            </m:r>
          </m:sub>
        </m:sSub>
        <m:r>
          <m:rPr>
            <m:sty m:val="p"/>
          </m:rPr>
          <w:rPr>
            <w:rFonts w:ascii="Cambria Math" w:hAnsi="Cambria Math"/>
            <w:szCs w:val="21"/>
          </w:rPr>
          <m:t>={</m:t>
        </m:r>
        <m:sSub>
          <m:sSubPr>
            <m:ctrlPr>
              <w:rPr>
                <w:rFonts w:ascii="Cambria Math" w:hAnsi="Cambria Math"/>
                <w:szCs w:val="21"/>
              </w:rPr>
            </m:ctrlPr>
          </m:sSubPr>
          <m:e>
            <m:r>
              <m:rPr>
                <m:sty m:val="p"/>
              </m:rPr>
              <w:rPr>
                <w:rFonts w:ascii="Cambria Math" w:hAnsi="Cambria Math"/>
                <w:szCs w:val="21"/>
              </w:rPr>
              <m:t>RORN</m:t>
            </m:r>
          </m:e>
          <m:sub>
            <m:r>
              <m:rPr>
                <m:sty m:val="p"/>
              </m:rPr>
              <w:rPr>
                <w:rFonts w:ascii="Cambria Math" w:hAnsi="Cambria Math"/>
                <w:szCs w:val="21"/>
              </w:rPr>
              <m:t>j,r</m:t>
            </m:r>
          </m:sub>
        </m:sSub>
        <m:r>
          <m:rPr>
            <m:sty m:val="p"/>
          </m:rPr>
          <w:rPr>
            <w:rFonts w:ascii="Cambria Math" w:hAnsi="Cambria Math"/>
            <w:szCs w:val="21"/>
          </w:rPr>
          <m:t>+</m:t>
        </m:r>
        <m:sSub>
          <m:sSubPr>
            <m:ctrlPr>
              <w:rPr>
                <w:rFonts w:ascii="Cambria Math" w:hAnsi="Cambria Math"/>
                <w:szCs w:val="21"/>
              </w:rPr>
            </m:ctrlPr>
          </m:sSubPr>
          <m:e>
            <m:r>
              <m:rPr>
                <m:sty m:val="p"/>
              </m:rPr>
              <w:rPr>
                <w:rFonts w:ascii="Cambria Math" w:hAnsi="Cambria Math"/>
                <w:szCs w:val="21"/>
              </w:rPr>
              <m:t>F_EEQROR_J</m:t>
            </m:r>
          </m:e>
          <m:sub>
            <m:r>
              <m:rPr>
                <m:sty m:val="p"/>
              </m:rPr>
              <w:rPr>
                <w:rFonts w:ascii="Cambria Math" w:hAnsi="Cambria Math"/>
                <w:szCs w:val="21"/>
              </w:rPr>
              <m:t>r</m:t>
            </m:r>
          </m:sub>
        </m:sSub>
        <m:r>
          <m:rPr>
            <m:sty m:val="p"/>
          </m:rPr>
          <w:rPr>
            <w:rFonts w:ascii="Cambria Math" w:hAnsi="Cambria Math"/>
            <w:szCs w:val="21"/>
          </w:rPr>
          <m:t>+</m:t>
        </m:r>
        <m:sSub>
          <m:sSubPr>
            <m:ctrlPr>
              <w:rPr>
                <w:rFonts w:ascii="Cambria Math" w:hAnsi="Cambria Math"/>
                <w:szCs w:val="21"/>
              </w:rPr>
            </m:ctrlPr>
          </m:sSubPr>
          <m:e>
            <m:r>
              <m:rPr>
                <m:sty m:val="p"/>
              </m:rPr>
              <w:rPr>
                <w:rFonts w:ascii="Cambria Math" w:hAnsi="Cambria Math"/>
                <w:szCs w:val="21"/>
              </w:rPr>
              <m:t>F_EEQROR</m:t>
            </m:r>
          </m:e>
          <m:sub>
            <m:r>
              <m:rPr>
                <m:sty m:val="p"/>
              </m:rPr>
              <w:rPr>
                <w:rFonts w:ascii="Cambria Math" w:hAnsi="Cambria Math" w:hint="eastAsia"/>
                <w:szCs w:val="21"/>
                <w:vertAlign w:val="subscript"/>
              </w:rPr>
              <m:t>j,r</m:t>
            </m:r>
          </m:sub>
        </m:sSub>
        <m:r>
          <m:rPr>
            <m:sty m:val="p"/>
          </m:rPr>
          <w:rPr>
            <w:rFonts w:ascii="Cambria Math" w:hAnsi="Cambria Math"/>
            <w:szCs w:val="21"/>
          </w:rPr>
          <m:t>}+(1/</m:t>
        </m:r>
        <m:sSub>
          <m:sSubPr>
            <m:ctrlPr>
              <w:rPr>
                <w:rFonts w:ascii="Cambria Math" w:hAnsi="Cambria Math"/>
                <w:szCs w:val="21"/>
              </w:rPr>
            </m:ctrlPr>
          </m:sSubPr>
          <m:e>
            <m:r>
              <m:rPr>
                <m:sty m:val="p"/>
              </m:rPr>
              <w:rPr>
                <w:rFonts w:ascii="Cambria Math" w:hAnsi="Cambria Math"/>
                <w:szCs w:val="21"/>
              </w:rPr>
              <m:t>C</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hAnsi="Cambria Math"/>
            <w:szCs w:val="21"/>
          </w:rPr>
          <m:t>)*[ln(</m:t>
        </m:r>
        <m:sSub>
          <m:sSubPr>
            <m:ctrlPr>
              <w:rPr>
                <w:rFonts w:ascii="Cambria Math" w:hAnsi="Cambria Math"/>
                <w:szCs w:val="21"/>
              </w:rPr>
            </m:ctrlPr>
          </m:sSubPr>
          <m:e>
            <m:r>
              <m:rPr>
                <m:sty m:val="p"/>
              </m:rPr>
              <w:rPr>
                <w:rFonts w:ascii="Cambria Math" w:hAnsi="Cambria Math"/>
                <w:szCs w:val="21"/>
              </w:rPr>
              <m:t>K_GR</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hAnsi="Cambria Math"/>
            <w:szCs w:val="21"/>
          </w:rPr>
          <m:t>-</m:t>
        </m:r>
        <m:sSub>
          <m:sSubPr>
            <m:ctrlPr>
              <w:rPr>
                <w:rFonts w:ascii="Cambria Math" w:hAnsi="Cambria Math"/>
                <w:szCs w:val="21"/>
              </w:rPr>
            </m:ctrlPr>
          </m:sSubPr>
          <m:e>
            <m:r>
              <m:rPr>
                <m:sty m:val="p"/>
              </m:rPr>
              <w:rPr>
                <w:rFonts w:ascii="Cambria Math" w:hAnsi="Cambria Math"/>
                <w:szCs w:val="21"/>
              </w:rPr>
              <m:t>K_GR_MIN</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hAnsi="Cambria Math"/>
            <w:szCs w:val="21"/>
          </w:rPr>
          <m:t>]-ln(</m:t>
        </m:r>
        <m:sSub>
          <m:sSubPr>
            <m:ctrlPr>
              <w:rPr>
                <w:rFonts w:ascii="Cambria Math" w:hAnsi="Cambria Math"/>
                <w:szCs w:val="21"/>
              </w:rPr>
            </m:ctrlPr>
          </m:sSubPr>
          <m:e>
            <m:r>
              <m:rPr>
                <m:sty m:val="p"/>
              </m:rPr>
              <w:rPr>
                <w:rFonts w:ascii="Cambria Math" w:hAnsi="Cambria Math"/>
                <w:szCs w:val="21"/>
              </w:rPr>
              <m:t>K_GR_MAX</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eastAsia="MS Mincho" w:hAnsi="Cambria Math" w:cs="MS Mincho" w:hint="eastAsia"/>
            <w:szCs w:val="21"/>
          </w:rPr>
          <m:t>-</m:t>
        </m:r>
        <m:sSub>
          <m:sSubPr>
            <m:ctrlPr>
              <w:rPr>
                <w:rFonts w:ascii="Cambria Math" w:hAnsi="Cambria Math"/>
                <w:szCs w:val="21"/>
              </w:rPr>
            </m:ctrlPr>
          </m:sSubPr>
          <m:e>
            <m:r>
              <m:rPr>
                <m:sty m:val="p"/>
              </m:rPr>
              <w:rPr>
                <w:rFonts w:ascii="Cambria Math" w:hAnsi="Cambria Math" w:hint="eastAsia"/>
                <w:szCs w:val="21"/>
              </w:rPr>
              <m:t>K</m:t>
            </m:r>
            <m:r>
              <m:rPr>
                <m:sty m:val="p"/>
              </m:rPr>
              <w:rPr>
                <w:rFonts w:ascii="Cambria Math" w:hAnsi="Cambria Math"/>
                <w:szCs w:val="21"/>
              </w:rPr>
              <m:t>_GR</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hAnsi="Cambria Math"/>
            <w:szCs w:val="21"/>
          </w:rPr>
          <m:t>)-ln(</m:t>
        </m:r>
        <m:sSub>
          <m:sSubPr>
            <m:ctrlPr>
              <w:rPr>
                <w:rFonts w:ascii="Cambria Math" w:hAnsi="Cambria Math"/>
                <w:szCs w:val="21"/>
              </w:rPr>
            </m:ctrlPr>
          </m:sSubPr>
          <m:e>
            <m:r>
              <m:rPr>
                <m:sty m:val="p"/>
              </m:rPr>
              <w:rPr>
                <w:rFonts w:ascii="Cambria Math" w:hAnsi="Cambria Math"/>
                <w:szCs w:val="21"/>
              </w:rPr>
              <m:t>TREND_K</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hAnsi="Cambria Math"/>
            <w:szCs w:val="21"/>
          </w:rPr>
          <m:t xml:space="preserve"> -</m:t>
        </m:r>
        <m:sSub>
          <m:sSubPr>
            <m:ctrlPr>
              <w:rPr>
                <w:rFonts w:ascii="Cambria Math" w:hAnsi="Cambria Math"/>
                <w:szCs w:val="21"/>
              </w:rPr>
            </m:ctrlPr>
          </m:sSubPr>
          <m:e>
            <m:r>
              <m:rPr>
                <m:sty m:val="p"/>
              </m:rPr>
              <w:rPr>
                <w:rFonts w:ascii="Cambria Math" w:hAnsi="Cambria Math" w:hint="eastAsia"/>
                <w:szCs w:val="21"/>
              </w:rPr>
              <m:t>K</m:t>
            </m:r>
            <m:r>
              <m:rPr>
                <m:sty m:val="p"/>
              </m:rPr>
              <w:rPr>
                <w:rFonts w:ascii="Cambria Math" w:hAnsi="Cambria Math"/>
                <w:szCs w:val="21"/>
              </w:rPr>
              <m:t>_GR_MIN</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hAnsi="Cambria Math"/>
            <w:szCs w:val="21"/>
          </w:rPr>
          <m:t>)+ln(</m:t>
        </m:r>
        <m:sSub>
          <m:sSubPr>
            <m:ctrlPr>
              <w:rPr>
                <w:rFonts w:ascii="Cambria Math" w:hAnsi="Cambria Math"/>
                <w:szCs w:val="21"/>
              </w:rPr>
            </m:ctrlPr>
          </m:sSubPr>
          <m:e>
            <m:r>
              <m:rPr>
                <m:sty m:val="p"/>
              </m:rPr>
              <w:rPr>
                <w:rFonts w:ascii="Cambria Math" w:hAnsi="Cambria Math"/>
                <w:szCs w:val="21"/>
              </w:rPr>
              <m:t>K_GR_MAX</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hAnsi="Cambria Math"/>
            <w:szCs w:val="21"/>
          </w:rPr>
          <m:t>-</m:t>
        </m:r>
        <m:sSub>
          <m:sSubPr>
            <m:ctrlPr>
              <w:rPr>
                <w:rFonts w:ascii="Cambria Math" w:hAnsi="Cambria Math"/>
                <w:szCs w:val="21"/>
              </w:rPr>
            </m:ctrlPr>
          </m:sSubPr>
          <m:e>
            <m:r>
              <m:rPr>
                <m:sty m:val="p"/>
              </m:rPr>
              <w:rPr>
                <w:rFonts w:ascii="Cambria Math" w:hAnsi="Cambria Math"/>
                <w:szCs w:val="21"/>
              </w:rPr>
              <m:t>TREND_K</m:t>
            </m:r>
          </m:e>
          <m:sub>
            <m:r>
              <m:rPr>
                <m:sty m:val="p"/>
              </m:rPr>
              <w:rPr>
                <w:rFonts w:ascii="Cambria Math" w:hAnsi="Cambria Math"/>
                <w:szCs w:val="21"/>
                <w:vertAlign w:val="subscript"/>
              </w:rPr>
              <m:t>j</m:t>
            </m:r>
            <m:r>
              <m:rPr>
                <m:sty m:val="p"/>
              </m:rPr>
              <w:rPr>
                <w:rFonts w:ascii="Cambria Math" w:hAnsi="Cambria Math" w:hint="eastAsia"/>
                <w:szCs w:val="21"/>
                <w:vertAlign w:val="subscript"/>
              </w:rPr>
              <m:t>,r</m:t>
            </m:r>
          </m:sub>
        </m:sSub>
        <m:r>
          <m:rPr>
            <m:sty m:val="p"/>
          </m:rPr>
          <w:rPr>
            <w:rFonts w:ascii="Cambria Math" w:hAnsi="Cambria Math"/>
            <w:szCs w:val="21"/>
          </w:rPr>
          <m:t>)]</m:t>
        </m:r>
        <m:r>
          <m:rPr>
            <m:sty m:val="p"/>
          </m:rPr>
          <w:rPr>
            <w:rFonts w:ascii="Cambria Math" w:hAnsi="Cambria Math" w:hint="eastAsia"/>
            <w:szCs w:val="21"/>
          </w:rPr>
          <m:t xml:space="preserve"> </m:t>
        </m:r>
      </m:oMath>
      <w:r w:rsidR="003D06FB">
        <w:rPr>
          <w:rFonts w:hint="eastAsia"/>
          <w:szCs w:val="21"/>
        </w:rPr>
        <w:t xml:space="preserve">             </w:t>
      </w:r>
      <w:r w:rsidR="003D06FB">
        <w:rPr>
          <w:rFonts w:hint="eastAsia"/>
          <w:szCs w:val="21"/>
        </w:rPr>
        <w:tab/>
      </w:r>
      <w:r w:rsidR="003D06FB">
        <w:rPr>
          <w:rFonts w:hint="eastAsia"/>
          <w:szCs w:val="21"/>
        </w:rPr>
        <w:tab/>
      </w:r>
      <w:r w:rsidR="003D06FB">
        <w:rPr>
          <w:rFonts w:hint="eastAsia"/>
          <w:szCs w:val="21"/>
        </w:rPr>
        <w:tab/>
      </w:r>
      <w:r w:rsidR="003D06FB">
        <w:rPr>
          <w:rFonts w:hint="eastAsia"/>
          <w:szCs w:val="21"/>
        </w:rPr>
        <w:tab/>
      </w:r>
      <w:r w:rsidR="003D06FB">
        <w:rPr>
          <w:rFonts w:hint="eastAsia"/>
          <w:szCs w:val="21"/>
        </w:rPr>
        <w:tab/>
      </w:r>
      <w:r w:rsidR="003D06FB">
        <w:rPr>
          <w:rFonts w:hint="eastAsia"/>
          <w:szCs w:val="21"/>
        </w:rPr>
        <w:tab/>
      </w:r>
      <w:r w:rsidR="003D06FB">
        <w:rPr>
          <w:rFonts w:hint="eastAsia"/>
          <w:szCs w:val="21"/>
        </w:rPr>
        <w:tab/>
      </w:r>
      <w:r w:rsidR="003D06FB">
        <w:rPr>
          <w:rFonts w:hint="eastAsia"/>
          <w:szCs w:val="21"/>
        </w:rPr>
        <w:tab/>
      </w:r>
      <w:r w:rsidR="003D06FB">
        <w:rPr>
          <w:rFonts w:hint="eastAsia"/>
          <w:szCs w:val="21"/>
        </w:rPr>
        <w:tab/>
      </w:r>
      <w:r w:rsidR="003D06FB">
        <w:rPr>
          <w:rFonts w:hint="eastAsia"/>
          <w:szCs w:val="21"/>
        </w:rPr>
        <w:tab/>
      </w:r>
      <w:r w:rsidR="003D06FB">
        <w:rPr>
          <w:rFonts w:hint="eastAsia"/>
          <w:szCs w:val="21"/>
        </w:rPr>
        <w:tab/>
        <w:t>(8)</w:t>
      </w:r>
    </w:p>
    <w:p w:rsidR="003D06FB" w:rsidRDefault="003D06FB" w:rsidP="00DB63DE">
      <w:pPr>
        <w:rPr>
          <w:lang w:val="en-CA"/>
        </w:rPr>
      </w:pPr>
    </w:p>
    <w:p w:rsidR="00513A81" w:rsidRDefault="00612655" w:rsidP="00DB63DE">
      <w:pPr>
        <w:rPr>
          <w:lang w:val="en-CA"/>
        </w:rPr>
      </w:pPr>
      <w:r>
        <w:rPr>
          <w:lang w:val="en-CA"/>
        </w:rPr>
        <w:t xml:space="preserve">Where K_GR is the rate of growth of capital, K_GR_MIN is the minimum possible rate for growth of capital and is set at the negative of rate of depreciation. TREND_K is the industry's historically normal capital growth rate. This is an observed growth rate in capital over an historical period. K_GR_MAX is the maximum feasible rate of capital growth. It is calculated by adding DIFF to TREND_K. C is a positive parameter that determine the elasticity of investment. RORN is the historically normal rate of return (corresponding to TREND_K). </w:t>
      </w:r>
      <w:r w:rsidR="00AD6B5B">
        <w:rPr>
          <w:lang w:val="en-CA"/>
        </w:rPr>
        <w:t xml:space="preserve">F_EEQROR_J and F_EEQROR allow for vertical shifts in capital supply curves (the AA' curves in Figure1). </w:t>
      </w:r>
    </w:p>
    <w:p w:rsidR="00DB63DE" w:rsidRDefault="00DB63DE" w:rsidP="00DB63DE">
      <w:pPr>
        <w:jc w:val="left"/>
        <w:rPr>
          <w:lang w:val="en-CA"/>
        </w:rPr>
      </w:pPr>
    </w:p>
    <w:p w:rsidR="00DB63DE" w:rsidRDefault="00DB63DE" w:rsidP="00DB63DE">
      <w:pPr>
        <w:jc w:val="left"/>
        <w:rPr>
          <w:lang w:val="en-CA"/>
        </w:rPr>
      </w:pPr>
      <w:r>
        <w:rPr>
          <w:lang w:val="en-CA"/>
        </w:rPr>
        <w:t xml:space="preserve">In the following </w:t>
      </w:r>
      <w:r w:rsidR="00206BDD">
        <w:rPr>
          <w:lang w:val="en-CA"/>
        </w:rPr>
        <w:t>section</w:t>
      </w:r>
      <w:r>
        <w:rPr>
          <w:lang w:val="en-CA"/>
        </w:rPr>
        <w:t xml:space="preserve">, </w:t>
      </w:r>
      <w:r w:rsidR="00804ED7">
        <w:rPr>
          <w:lang w:val="en-CA"/>
        </w:rPr>
        <w:t>we show the definition of equilibrium</w:t>
      </w:r>
      <w:r>
        <w:rPr>
          <w:lang w:val="en-CA"/>
        </w:rPr>
        <w:t xml:space="preserve"> expected rate of return, EEQROR. Firstly, the present value (PV) of purchasing in year t a unit of physical capital for use in industry j is:</w:t>
      </w:r>
    </w:p>
    <w:p w:rsidR="00863F48" w:rsidRDefault="00863F48" w:rsidP="00DB63DE">
      <w:pPr>
        <w:jc w:val="center"/>
        <w:rPr>
          <w:lang w:val="en-CA"/>
        </w:rPr>
      </w:pPr>
      <w:proofErr w:type="spellStart"/>
      <w:r>
        <w:rPr>
          <w:rFonts w:hint="eastAsia"/>
        </w:rPr>
        <w:t>PV</w:t>
      </w:r>
      <w:r>
        <w:rPr>
          <w:vertAlign w:val="subscript"/>
        </w:rPr>
        <w:t>j,t</w:t>
      </w:r>
      <w:proofErr w:type="spellEnd"/>
      <w:r>
        <w:rPr>
          <w:rFonts w:hint="eastAsia"/>
        </w:rPr>
        <w:t>=-</w:t>
      </w:r>
      <w:proofErr w:type="spellStart"/>
      <w:r>
        <w:rPr>
          <w:rFonts w:eastAsiaTheme="minorHAnsi"/>
        </w:rPr>
        <w:t>Π</w:t>
      </w:r>
      <w:r>
        <w:rPr>
          <w:rFonts w:hint="eastAsia"/>
          <w:vertAlign w:val="subscript"/>
        </w:rPr>
        <w:t>j</w:t>
      </w:r>
      <w:r>
        <w:rPr>
          <w:vertAlign w:val="subscript"/>
        </w:rPr>
        <w:t>,t</w:t>
      </w:r>
      <w:proofErr w:type="spellEnd"/>
      <w:r>
        <w:t>+[Q</w:t>
      </w:r>
      <w:r>
        <w:rPr>
          <w:vertAlign w:val="subscript"/>
        </w:rPr>
        <w:t>j,t+1</w:t>
      </w:r>
      <w:r>
        <w:t>*(1-T</w:t>
      </w:r>
      <w:r>
        <w:rPr>
          <w:vertAlign w:val="subscript"/>
        </w:rPr>
        <w:t>t+1</w:t>
      </w:r>
      <w:r>
        <w:t>)+</w:t>
      </w:r>
      <w:r>
        <w:rPr>
          <w:rFonts w:eastAsiaTheme="minorHAnsi"/>
        </w:rPr>
        <w:t xml:space="preserve"> Π</w:t>
      </w:r>
      <w:r>
        <w:rPr>
          <w:rFonts w:hint="eastAsia"/>
          <w:vertAlign w:val="subscript"/>
        </w:rPr>
        <w:t>j</w:t>
      </w:r>
      <w:r>
        <w:rPr>
          <w:vertAlign w:val="subscript"/>
        </w:rPr>
        <w:t>,t+1</w:t>
      </w:r>
      <w:r>
        <w:t>*(1-D</w:t>
      </w:r>
      <w:r>
        <w:rPr>
          <w:vertAlign w:val="subscript"/>
        </w:rPr>
        <w:t>j</w:t>
      </w:r>
      <w:r>
        <w:t>)]/[1+WACC</w:t>
      </w:r>
      <w:r>
        <w:rPr>
          <w:vertAlign w:val="subscript"/>
        </w:rPr>
        <w:t>t</w:t>
      </w:r>
      <w:r>
        <w:t>]</w:t>
      </w:r>
      <w:r w:rsidR="003D06FB">
        <w:rPr>
          <w:rFonts w:hint="eastAsia"/>
        </w:rPr>
        <w:t xml:space="preserve">             (9)</w:t>
      </w:r>
    </w:p>
    <w:p w:rsidR="00863F48" w:rsidRDefault="00DB63DE" w:rsidP="00DB63DE">
      <w:pPr>
        <w:jc w:val="left"/>
        <w:rPr>
          <w:lang w:val="en-CA"/>
        </w:rPr>
      </w:pPr>
      <w:r>
        <w:rPr>
          <w:lang w:val="en-CA"/>
        </w:rPr>
        <w:t>where</w:t>
      </w:r>
    </w:p>
    <w:p w:rsidR="00DB63DE" w:rsidRDefault="00DB63DE" w:rsidP="00DB63DE">
      <w:pPr>
        <w:jc w:val="left"/>
        <w:rPr>
          <w:lang w:val="en-CA"/>
        </w:rPr>
      </w:pPr>
      <w:r>
        <w:rPr>
          <w:lang w:val="en-CA"/>
        </w:rPr>
        <w:tab/>
      </w:r>
      <w:proofErr w:type="spellStart"/>
      <w:r w:rsidR="00804ED7">
        <w:rPr>
          <w:rFonts w:eastAsiaTheme="minorHAnsi"/>
        </w:rPr>
        <w:t>Π</w:t>
      </w:r>
      <w:r w:rsidR="00804ED7">
        <w:rPr>
          <w:rFonts w:hint="eastAsia"/>
          <w:vertAlign w:val="subscript"/>
        </w:rPr>
        <w:t>j</w:t>
      </w:r>
      <w:r w:rsidR="00804ED7">
        <w:rPr>
          <w:vertAlign w:val="subscript"/>
        </w:rPr>
        <w:t>,t</w:t>
      </w:r>
      <w:proofErr w:type="spellEnd"/>
      <w:r w:rsidR="00804ED7">
        <w:rPr>
          <w:lang w:val="en-CA"/>
        </w:rPr>
        <w:t xml:space="preserve">  is the cost of buying or constructing in year t a unit of capital for use in industry j; </w:t>
      </w:r>
    </w:p>
    <w:p w:rsidR="00804ED7" w:rsidRDefault="00804ED7" w:rsidP="00DB63DE">
      <w:pPr>
        <w:jc w:val="left"/>
        <w:rPr>
          <w:lang w:val="en-CA"/>
        </w:rPr>
      </w:pPr>
      <w:r>
        <w:rPr>
          <w:lang w:val="en-CA"/>
        </w:rPr>
        <w:tab/>
      </w:r>
      <w:proofErr w:type="spellStart"/>
      <w:r>
        <w:t>D</w:t>
      </w:r>
      <w:r>
        <w:rPr>
          <w:vertAlign w:val="subscript"/>
        </w:rPr>
        <w:t>j</w:t>
      </w:r>
      <w:proofErr w:type="spellEnd"/>
      <w:r>
        <w:rPr>
          <w:lang w:val="en-CA"/>
        </w:rPr>
        <w:t xml:space="preserve">  is the rate of depreciation; </w:t>
      </w:r>
    </w:p>
    <w:p w:rsidR="00804ED7" w:rsidRDefault="00804ED7" w:rsidP="00DB63DE">
      <w:pPr>
        <w:jc w:val="left"/>
        <w:rPr>
          <w:lang w:val="en-CA"/>
        </w:rPr>
      </w:pPr>
      <w:r>
        <w:rPr>
          <w:lang w:val="en-CA"/>
        </w:rPr>
        <w:tab/>
      </w:r>
      <w:r>
        <w:t>Q</w:t>
      </w:r>
      <w:r>
        <w:rPr>
          <w:vertAlign w:val="subscript"/>
        </w:rPr>
        <w:t xml:space="preserve">j,t+1 </w:t>
      </w:r>
      <w:r>
        <w:rPr>
          <w:lang w:val="en-CA"/>
        </w:rPr>
        <w:t xml:space="preserve">is the rental rate on j's capital in year t; </w:t>
      </w:r>
    </w:p>
    <w:p w:rsidR="00804ED7" w:rsidRDefault="00804ED7" w:rsidP="00DB63DE">
      <w:pPr>
        <w:jc w:val="left"/>
        <w:rPr>
          <w:lang w:val="en-CA"/>
        </w:rPr>
      </w:pPr>
      <w:r>
        <w:rPr>
          <w:lang w:val="en-CA"/>
        </w:rPr>
        <w:tab/>
      </w:r>
      <w:r>
        <w:t>T</w:t>
      </w:r>
      <w:r>
        <w:rPr>
          <w:vertAlign w:val="subscript"/>
        </w:rPr>
        <w:t xml:space="preserve">t+1 </w:t>
      </w:r>
      <w:r>
        <w:rPr>
          <w:lang w:val="en-CA"/>
        </w:rPr>
        <w:t xml:space="preserve">is the tax rate applying to capital income in all industries in year t; </w:t>
      </w:r>
    </w:p>
    <w:p w:rsidR="00804ED7" w:rsidRDefault="00804ED7" w:rsidP="00DB63DE">
      <w:pPr>
        <w:jc w:val="left"/>
        <w:rPr>
          <w:lang w:val="en-CA"/>
        </w:rPr>
      </w:pPr>
      <w:r>
        <w:rPr>
          <w:lang w:val="en-CA"/>
        </w:rPr>
        <w:tab/>
      </w:r>
      <w:proofErr w:type="spellStart"/>
      <w:r>
        <w:t>WACC</w:t>
      </w:r>
      <w:r>
        <w:rPr>
          <w:vertAlign w:val="subscript"/>
        </w:rPr>
        <w:t>t</w:t>
      </w:r>
      <w:proofErr w:type="spellEnd"/>
      <w:r>
        <w:rPr>
          <w:lang w:val="en-CA"/>
        </w:rPr>
        <w:t xml:space="preserve"> is the nominal weighed average cost of capital in year t. </w:t>
      </w:r>
    </w:p>
    <w:p w:rsidR="00804ED7" w:rsidRDefault="00804ED7" w:rsidP="00DB63DE">
      <w:pPr>
        <w:jc w:val="left"/>
        <w:rPr>
          <w:lang w:val="en-CA"/>
        </w:rPr>
      </w:pPr>
    </w:p>
    <w:p w:rsidR="00804ED7" w:rsidRDefault="00804ED7" w:rsidP="00DB63DE">
      <w:pPr>
        <w:jc w:val="left"/>
        <w:rPr>
          <w:lang w:val="en-CA"/>
        </w:rPr>
      </w:pPr>
      <w:r>
        <w:rPr>
          <w:lang w:val="en-CA"/>
        </w:rPr>
        <w:t xml:space="preserve">Dividing both sides by </w:t>
      </w:r>
      <w:proofErr w:type="spellStart"/>
      <w:r>
        <w:rPr>
          <w:rFonts w:eastAsiaTheme="minorHAnsi"/>
        </w:rPr>
        <w:t>Π</w:t>
      </w:r>
      <w:r>
        <w:rPr>
          <w:rFonts w:hint="eastAsia"/>
          <w:vertAlign w:val="subscript"/>
        </w:rPr>
        <w:t>j</w:t>
      </w:r>
      <w:r>
        <w:rPr>
          <w:vertAlign w:val="subscript"/>
        </w:rPr>
        <w:t>,t</w:t>
      </w:r>
      <w:proofErr w:type="spellEnd"/>
      <w:r>
        <w:rPr>
          <w:lang w:val="en-CA"/>
        </w:rPr>
        <w:t xml:space="preserve"> , we have the actual rate of return. </w:t>
      </w:r>
    </w:p>
    <w:p w:rsidR="00863F48" w:rsidRPr="003D06FB" w:rsidRDefault="00863F48" w:rsidP="00863F48">
      <w:pPr>
        <w:spacing w:line="276" w:lineRule="auto"/>
        <w:ind w:firstLineChars="200" w:firstLine="420"/>
        <w:jc w:val="center"/>
        <w:rPr>
          <w:vertAlign w:val="subscript"/>
          <w:lang w:val="en-CA"/>
        </w:rPr>
      </w:pPr>
      <w:r>
        <w:rPr>
          <w:rFonts w:eastAsiaTheme="minorHAnsi"/>
        </w:rPr>
        <w:t>ROR_ACT</w:t>
      </w:r>
      <w:r>
        <w:rPr>
          <w:rFonts w:eastAsiaTheme="minorHAnsi" w:hint="eastAsia"/>
          <w:vertAlign w:val="subscript"/>
        </w:rPr>
        <w:t>j,t</w:t>
      </w:r>
      <w:r>
        <w:rPr>
          <w:rFonts w:eastAsiaTheme="minorHAnsi" w:hint="eastAsia"/>
        </w:rPr>
        <w:t>=-1+</w:t>
      </w:r>
      <w:r>
        <w:rPr>
          <w:rFonts w:eastAsiaTheme="minorHAnsi"/>
        </w:rPr>
        <w:t>[(1-T</w:t>
      </w:r>
      <w:r>
        <w:rPr>
          <w:rFonts w:eastAsiaTheme="minorHAnsi"/>
          <w:vertAlign w:val="subscript"/>
        </w:rPr>
        <w:t>t+1</w:t>
      </w:r>
      <w:r>
        <w:rPr>
          <w:rFonts w:eastAsiaTheme="minorHAnsi"/>
        </w:rPr>
        <w:t>)*Q</w:t>
      </w:r>
      <w:r>
        <w:rPr>
          <w:rFonts w:eastAsiaTheme="minorHAnsi"/>
          <w:vertAlign w:val="subscript"/>
        </w:rPr>
        <w:t>j,t+1</w:t>
      </w:r>
      <w:r>
        <w:rPr>
          <w:rFonts w:eastAsiaTheme="minorHAnsi"/>
        </w:rPr>
        <w:t>/Π</w:t>
      </w:r>
      <w:r>
        <w:rPr>
          <w:rFonts w:eastAsiaTheme="minorHAnsi"/>
          <w:vertAlign w:val="subscript"/>
        </w:rPr>
        <w:t>j,t</w:t>
      </w:r>
      <w:r>
        <w:rPr>
          <w:rFonts w:eastAsiaTheme="minorHAnsi"/>
        </w:rPr>
        <w:t>+(1-D</w:t>
      </w:r>
      <w:r>
        <w:rPr>
          <w:rFonts w:eastAsiaTheme="minorHAnsi"/>
          <w:vertAlign w:val="subscript"/>
        </w:rPr>
        <w:t>j</w:t>
      </w:r>
      <w:r>
        <w:rPr>
          <w:rFonts w:eastAsiaTheme="minorHAnsi"/>
        </w:rPr>
        <w:t>)*Π</w:t>
      </w:r>
      <w:r>
        <w:rPr>
          <w:rFonts w:eastAsiaTheme="minorHAnsi"/>
          <w:vertAlign w:val="subscript"/>
        </w:rPr>
        <w:t>j,t+1</w:t>
      </w:r>
      <w:r>
        <w:rPr>
          <w:rFonts w:eastAsiaTheme="minorHAnsi"/>
        </w:rPr>
        <w:t>/Π</w:t>
      </w:r>
      <w:r>
        <w:rPr>
          <w:rFonts w:eastAsiaTheme="minorHAnsi"/>
          <w:vertAlign w:val="subscript"/>
        </w:rPr>
        <w:t>jt</w:t>
      </w:r>
      <w:r>
        <w:rPr>
          <w:rFonts w:eastAsiaTheme="minorHAnsi"/>
        </w:rPr>
        <w:t>]/[1+</w:t>
      </w:r>
      <w:r>
        <w:rPr>
          <w:rFonts w:hint="eastAsia"/>
        </w:rPr>
        <w:t>WACC</w:t>
      </w:r>
      <w:r>
        <w:rPr>
          <w:rFonts w:eastAsiaTheme="minorHAnsi"/>
          <w:vertAlign w:val="subscript"/>
        </w:rPr>
        <w:t>t</w:t>
      </w:r>
      <w:r>
        <w:rPr>
          <w:rFonts w:eastAsiaTheme="minorHAnsi"/>
        </w:rPr>
        <w:t>*(1-T</w:t>
      </w:r>
      <w:r>
        <w:rPr>
          <w:rFonts w:eastAsiaTheme="minorHAnsi"/>
          <w:vertAlign w:val="subscript"/>
        </w:rPr>
        <w:t>t</w:t>
      </w:r>
      <w:r>
        <w:rPr>
          <w:rFonts w:eastAsiaTheme="minorHAnsi" w:hint="eastAsia"/>
          <w:vertAlign w:val="subscript"/>
        </w:rPr>
        <w:t>+</w:t>
      </w:r>
      <w:r>
        <w:rPr>
          <w:rFonts w:eastAsiaTheme="minorHAnsi"/>
          <w:vertAlign w:val="subscript"/>
        </w:rPr>
        <w:t>1</w:t>
      </w:r>
      <w:r>
        <w:rPr>
          <w:rFonts w:eastAsiaTheme="minorHAnsi" w:hint="eastAsia"/>
        </w:rPr>
        <w:t>)]</w:t>
      </w:r>
      <w:r w:rsidR="003D06FB">
        <w:rPr>
          <w:rFonts w:hint="eastAsia"/>
        </w:rPr>
        <w:t xml:space="preserve">     (10)</w:t>
      </w:r>
    </w:p>
    <w:p w:rsidR="00804ED7" w:rsidRDefault="00804ED7" w:rsidP="00804ED7">
      <w:pPr>
        <w:jc w:val="left"/>
        <w:rPr>
          <w:lang w:val="en-CA"/>
        </w:rPr>
      </w:pPr>
      <w:r>
        <w:rPr>
          <w:lang w:val="en-CA"/>
        </w:rPr>
        <w:t xml:space="preserve">USAGE-type of investment mechanism provides two possibilities for the specification of expected rates of return: static and forward-looking. Under static expectations, we assume that investors expect no change in tax rates, and that rental rates and asset prices will increase by the current rate of inflation. So the expectation of ROR_ACT is given by </w:t>
      </w:r>
    </w:p>
    <w:p w:rsidR="00863F48" w:rsidRDefault="00863F48" w:rsidP="00863F48">
      <w:pPr>
        <w:jc w:val="center"/>
        <w:rPr>
          <w:lang w:val="en-CA"/>
        </w:rPr>
      </w:pPr>
      <w:proofErr w:type="spellStart"/>
      <w:r>
        <w:t>ROR_SE</w:t>
      </w:r>
      <w:r>
        <w:rPr>
          <w:rFonts w:hint="eastAsia"/>
          <w:vertAlign w:val="subscript"/>
        </w:rPr>
        <w:t>j</w:t>
      </w:r>
      <w:r>
        <w:rPr>
          <w:vertAlign w:val="subscript"/>
        </w:rPr>
        <w:t>,t</w:t>
      </w:r>
      <w:proofErr w:type="spellEnd"/>
      <w:r>
        <w:t>=-1+[(1-T</w:t>
      </w:r>
      <w:r>
        <w:rPr>
          <w:vertAlign w:val="subscript"/>
        </w:rPr>
        <w:t>t</w:t>
      </w:r>
      <w:r>
        <w:t>)*</w:t>
      </w:r>
      <w:proofErr w:type="spellStart"/>
      <w:r>
        <w:t>Q</w:t>
      </w:r>
      <w:r>
        <w:rPr>
          <w:vertAlign w:val="subscript"/>
        </w:rPr>
        <w:t>j,t</w:t>
      </w:r>
      <w:proofErr w:type="spellEnd"/>
      <w:r>
        <w:t>/</w:t>
      </w:r>
      <w:proofErr w:type="spellStart"/>
      <w:r>
        <w:rPr>
          <w:rFonts w:eastAsiaTheme="minorHAnsi"/>
        </w:rPr>
        <w:t>Π</w:t>
      </w:r>
      <w:r>
        <w:rPr>
          <w:rFonts w:eastAsiaTheme="minorHAnsi"/>
          <w:vertAlign w:val="subscript"/>
        </w:rPr>
        <w:t>j,t</w:t>
      </w:r>
      <w:proofErr w:type="spellEnd"/>
      <w:r>
        <w:rPr>
          <w:rFonts w:eastAsiaTheme="minorHAnsi"/>
        </w:rPr>
        <w:t>+(1-D</w:t>
      </w:r>
      <w:r>
        <w:rPr>
          <w:rFonts w:eastAsiaTheme="minorHAnsi"/>
          <w:vertAlign w:val="subscript"/>
        </w:rPr>
        <w:t>j</w:t>
      </w:r>
      <w:r>
        <w:rPr>
          <w:rFonts w:eastAsiaTheme="minorHAnsi"/>
        </w:rPr>
        <w:t>)</w:t>
      </w:r>
      <w:r>
        <w:rPr>
          <w:rFonts w:eastAsiaTheme="minorHAnsi"/>
          <w:vertAlign w:val="subscript"/>
        </w:rPr>
        <w:t>j</w:t>
      </w:r>
      <w:r>
        <w:t>]/(1+R_WACC_SE</w:t>
      </w:r>
      <w:r>
        <w:rPr>
          <w:vertAlign w:val="subscript"/>
        </w:rPr>
        <w:t>t</w:t>
      </w:r>
      <w:r>
        <w:t>)</w:t>
      </w:r>
      <w:r w:rsidR="003D06FB">
        <w:rPr>
          <w:rFonts w:hint="eastAsia"/>
        </w:rPr>
        <w:t xml:space="preserve">       (11)</w:t>
      </w:r>
    </w:p>
    <w:p w:rsidR="00804ED7" w:rsidRPr="00804ED7" w:rsidRDefault="00804ED7" w:rsidP="00804ED7">
      <w:pPr>
        <w:jc w:val="left"/>
        <w:rPr>
          <w:lang w:val="en-CA"/>
        </w:rPr>
      </w:pPr>
      <w:r>
        <w:rPr>
          <w:lang w:val="en-CA"/>
        </w:rPr>
        <w:t xml:space="preserve">where </w:t>
      </w:r>
      <w:r w:rsidR="00C7419B">
        <w:rPr>
          <w:lang w:val="en-CA"/>
        </w:rPr>
        <w:t xml:space="preserve">R_WACC_SE is the static expectation of the real post-tax weighted average cost of capital. </w:t>
      </w:r>
    </w:p>
    <w:p w:rsidR="00863F48" w:rsidRPr="003D06FB" w:rsidRDefault="00863F48" w:rsidP="00863F48">
      <w:pPr>
        <w:jc w:val="center"/>
      </w:pPr>
      <w:r>
        <w:t>1</w:t>
      </w:r>
      <w:r>
        <w:rPr>
          <w:rFonts w:hint="eastAsia"/>
        </w:rPr>
        <w:t>+</w:t>
      </w:r>
      <w:r>
        <w:t>R_WACC_SE</w:t>
      </w:r>
      <w:r>
        <w:rPr>
          <w:rFonts w:hint="eastAsia"/>
          <w:vertAlign w:val="subscript"/>
        </w:rPr>
        <w:t>t</w:t>
      </w:r>
      <w:r>
        <w:rPr>
          <w:rFonts w:hint="eastAsia"/>
        </w:rPr>
        <w:t>=</w:t>
      </w:r>
      <w:r>
        <w:t>[1</w:t>
      </w:r>
      <w:r>
        <w:rPr>
          <w:rFonts w:hint="eastAsia"/>
        </w:rPr>
        <w:t>+</w:t>
      </w:r>
      <w:r>
        <w:t>WACC</w:t>
      </w:r>
      <w:r>
        <w:rPr>
          <w:rFonts w:hint="eastAsia"/>
          <w:vertAlign w:val="subscript"/>
        </w:rPr>
        <w:t>t</w:t>
      </w:r>
      <w:r>
        <w:t>]/[1+INF</w:t>
      </w:r>
      <w:r>
        <w:rPr>
          <w:vertAlign w:val="subscript"/>
        </w:rPr>
        <w:t>t</w:t>
      </w:r>
      <w:r>
        <w:t>]</w:t>
      </w:r>
      <w:r w:rsidR="003D06FB">
        <w:rPr>
          <w:rFonts w:hint="eastAsia"/>
        </w:rPr>
        <w:t xml:space="preserve">             (12)</w:t>
      </w:r>
    </w:p>
    <w:p w:rsidR="00863F48" w:rsidRDefault="00C7419B" w:rsidP="00C7419B">
      <w:pPr>
        <w:jc w:val="left"/>
        <w:rPr>
          <w:lang w:val="en-CA"/>
        </w:rPr>
      </w:pPr>
      <w:r>
        <w:rPr>
          <w:lang w:val="en-CA"/>
        </w:rPr>
        <w:t xml:space="preserve">In </w:t>
      </w:r>
      <w:r w:rsidR="0017429D">
        <w:rPr>
          <w:lang w:val="en-CA"/>
        </w:rPr>
        <w:t xml:space="preserve">the revised </w:t>
      </w:r>
      <w:proofErr w:type="spellStart"/>
      <w:r w:rsidR="0017429D">
        <w:rPr>
          <w:lang w:val="en-CA"/>
        </w:rPr>
        <w:t>GDyn</w:t>
      </w:r>
      <w:proofErr w:type="spellEnd"/>
      <w:r w:rsidR="0017429D">
        <w:rPr>
          <w:lang w:val="en-CA"/>
        </w:rPr>
        <w:t xml:space="preserve"> </w:t>
      </w:r>
      <w:r>
        <w:rPr>
          <w:lang w:val="en-CA"/>
        </w:rPr>
        <w:t>framework</w:t>
      </w:r>
      <w:r w:rsidR="0017429D">
        <w:rPr>
          <w:lang w:val="en-CA"/>
        </w:rPr>
        <w:t xml:space="preserve"> (hereafter, </w:t>
      </w:r>
      <w:proofErr w:type="spellStart"/>
      <w:r w:rsidR="00A14A80">
        <w:rPr>
          <w:lang w:val="en-CA"/>
        </w:rPr>
        <w:t>GD</w:t>
      </w:r>
      <w:r w:rsidR="00A14A80">
        <w:rPr>
          <w:rFonts w:hint="eastAsia"/>
          <w:lang w:val="en-CA"/>
        </w:rPr>
        <w:t>yn</w:t>
      </w:r>
      <w:r w:rsidR="00A14A80">
        <w:rPr>
          <w:lang w:val="en-CA"/>
        </w:rPr>
        <w:t>ISM</w:t>
      </w:r>
      <w:proofErr w:type="spellEnd"/>
      <w:r w:rsidR="0017429D">
        <w:rPr>
          <w:lang w:val="en-CA"/>
        </w:rPr>
        <w:t>)</w:t>
      </w:r>
      <w:r>
        <w:rPr>
          <w:lang w:val="en-CA"/>
        </w:rPr>
        <w:t xml:space="preserve">, we assume financial market are efficient and the real post-tax WACC in region r is equal to the real rate of return (RORE), </w:t>
      </w:r>
      <w:proofErr w:type="spellStart"/>
      <w:r>
        <w:rPr>
          <w:lang w:val="en-CA"/>
        </w:rPr>
        <w:t>ie</w:t>
      </w:r>
      <w:proofErr w:type="spellEnd"/>
      <w:r>
        <w:rPr>
          <w:lang w:val="en-CA"/>
        </w:rPr>
        <w:t xml:space="preserve">, the global rate of return, RORG. </w:t>
      </w:r>
    </w:p>
    <w:p w:rsidR="00863F48" w:rsidRDefault="00863F48" w:rsidP="00863F48">
      <w:pPr>
        <w:jc w:val="center"/>
      </w:pPr>
      <w:proofErr w:type="spellStart"/>
      <w:r>
        <w:rPr>
          <w:rFonts w:hint="eastAsia"/>
        </w:rPr>
        <w:t>R_</w:t>
      </w:r>
      <w:r>
        <w:t>WACC</w:t>
      </w:r>
      <w:r>
        <w:rPr>
          <w:rFonts w:hint="eastAsia"/>
        </w:rPr>
        <w:t>_S</w:t>
      </w:r>
      <w:r>
        <w:t>E</w:t>
      </w:r>
      <w:r>
        <w:rPr>
          <w:rFonts w:hint="eastAsia"/>
          <w:vertAlign w:val="subscript"/>
        </w:rPr>
        <w:t>t</w:t>
      </w:r>
      <w:proofErr w:type="spellEnd"/>
      <w:r>
        <w:rPr>
          <w:rFonts w:hint="eastAsia"/>
        </w:rPr>
        <w:t>(r) = RORE(r) = RORG</w:t>
      </w:r>
      <w:r w:rsidR="003D06FB">
        <w:rPr>
          <w:rFonts w:hint="eastAsia"/>
        </w:rPr>
        <w:t xml:space="preserve">      (13)</w:t>
      </w:r>
    </w:p>
    <w:p w:rsidR="00863F48" w:rsidRPr="00C7419B" w:rsidRDefault="00C7419B" w:rsidP="00C7419B">
      <w:pPr>
        <w:jc w:val="left"/>
        <w:rPr>
          <w:lang w:val="en-CA"/>
        </w:rPr>
      </w:pPr>
      <w:r>
        <w:rPr>
          <w:lang w:val="en-CA"/>
        </w:rPr>
        <w:t>We can also impose different spread</w:t>
      </w:r>
      <w:r w:rsidR="0017429D">
        <w:rPr>
          <w:lang w:val="en-CA"/>
        </w:rPr>
        <w:t>s</w:t>
      </w:r>
      <w:r>
        <w:rPr>
          <w:lang w:val="en-CA"/>
        </w:rPr>
        <w:t xml:space="preserve"> between R_WACC_SE and the RORE to capture the change of country risk. </w:t>
      </w:r>
    </w:p>
    <w:p w:rsidR="00863F48" w:rsidRPr="003D06FB" w:rsidRDefault="00863F48" w:rsidP="00863F48">
      <w:pPr>
        <w:jc w:val="center"/>
      </w:pPr>
      <w:proofErr w:type="spellStart"/>
      <w:r>
        <w:t>ROR_SE</w:t>
      </w:r>
      <w:r>
        <w:rPr>
          <w:rFonts w:hint="eastAsia"/>
          <w:vertAlign w:val="subscript"/>
        </w:rPr>
        <w:t>j</w:t>
      </w:r>
      <w:r>
        <w:rPr>
          <w:vertAlign w:val="subscript"/>
        </w:rPr>
        <w:t>,t</w:t>
      </w:r>
      <w:proofErr w:type="spellEnd"/>
      <w:r>
        <w:t>=-1+[(</w:t>
      </w:r>
      <w:proofErr w:type="spellStart"/>
      <w:r>
        <w:rPr>
          <w:rFonts w:hint="eastAsia"/>
        </w:rPr>
        <w:t>P</w:t>
      </w:r>
      <w:r>
        <w:t>T</w:t>
      </w:r>
      <w:r>
        <w:rPr>
          <w:vertAlign w:val="subscript"/>
        </w:rPr>
        <w:t>t</w:t>
      </w:r>
      <w:proofErr w:type="spellEnd"/>
      <w:r>
        <w:t>*</w:t>
      </w:r>
      <w:proofErr w:type="spellStart"/>
      <w:r>
        <w:t>Q</w:t>
      </w:r>
      <w:r>
        <w:rPr>
          <w:vertAlign w:val="subscript"/>
        </w:rPr>
        <w:t>j,t</w:t>
      </w:r>
      <w:proofErr w:type="spellEnd"/>
      <w:r>
        <w:t>/</w:t>
      </w:r>
      <w:proofErr w:type="spellStart"/>
      <w:r>
        <w:rPr>
          <w:rFonts w:eastAsiaTheme="minorHAnsi"/>
        </w:rPr>
        <w:t>Π</w:t>
      </w:r>
      <w:r>
        <w:rPr>
          <w:rFonts w:eastAsiaTheme="minorHAnsi"/>
          <w:vertAlign w:val="subscript"/>
        </w:rPr>
        <w:t>j,t</w:t>
      </w:r>
      <w:proofErr w:type="spellEnd"/>
      <w:r>
        <w:rPr>
          <w:rFonts w:eastAsiaTheme="minorHAnsi"/>
        </w:rPr>
        <w:t>+(1-D</w:t>
      </w:r>
      <w:r>
        <w:rPr>
          <w:rFonts w:eastAsiaTheme="minorHAnsi"/>
          <w:vertAlign w:val="subscript"/>
        </w:rPr>
        <w:t>j</w:t>
      </w:r>
      <w:r>
        <w:rPr>
          <w:rFonts w:eastAsiaTheme="minorHAnsi"/>
        </w:rPr>
        <w:t>)</w:t>
      </w:r>
      <w:r>
        <w:rPr>
          <w:rFonts w:eastAsiaTheme="minorHAnsi"/>
          <w:vertAlign w:val="subscript"/>
        </w:rPr>
        <w:t>j</w:t>
      </w:r>
      <w:r>
        <w:t>]/(1+R_WACC_SE</w:t>
      </w:r>
      <w:r>
        <w:rPr>
          <w:vertAlign w:val="subscript"/>
        </w:rPr>
        <w:t>t</w:t>
      </w:r>
      <w:r>
        <w:t>)</w:t>
      </w:r>
      <w:r w:rsidR="003D06FB">
        <w:rPr>
          <w:rFonts w:hint="eastAsia"/>
        </w:rPr>
        <w:t xml:space="preserve">      (14)</w:t>
      </w:r>
    </w:p>
    <w:p w:rsidR="00C43299" w:rsidRDefault="00C43299">
      <w:pPr>
        <w:rPr>
          <w:lang w:val="en-CA"/>
        </w:rPr>
      </w:pPr>
    </w:p>
    <w:p w:rsidR="00C7419B" w:rsidRDefault="00C7419B">
      <w:pPr>
        <w:rPr>
          <w:lang w:val="en-CA"/>
        </w:rPr>
      </w:pPr>
      <w:r>
        <w:rPr>
          <w:lang w:val="en-CA"/>
        </w:rPr>
        <w:t>Under forward-looking or rational expectations, we assume that investors correctly predict actual rates of returns</w:t>
      </w:r>
      <w:r w:rsidR="009B3C95">
        <w:rPr>
          <w:lang w:val="en-CA"/>
        </w:rPr>
        <w:t xml:space="preserve"> (see Dixon and </w:t>
      </w:r>
      <w:proofErr w:type="spellStart"/>
      <w:r w:rsidR="009B3C95">
        <w:rPr>
          <w:lang w:val="en-CA"/>
        </w:rPr>
        <w:t>Rimmer</w:t>
      </w:r>
      <w:proofErr w:type="spellEnd"/>
      <w:r w:rsidR="009B3C95">
        <w:rPr>
          <w:lang w:val="en-CA"/>
        </w:rPr>
        <w:t>, 2002)</w:t>
      </w:r>
      <w:r>
        <w:rPr>
          <w:lang w:val="en-CA"/>
        </w:rPr>
        <w:t xml:space="preserve">. </w:t>
      </w:r>
    </w:p>
    <w:p w:rsidR="00C43299" w:rsidRDefault="00C43299">
      <w:pPr>
        <w:rPr>
          <w:lang w:val="en-CA"/>
        </w:rPr>
      </w:pPr>
    </w:p>
    <w:p w:rsidR="00943B24" w:rsidRPr="00943B24" w:rsidRDefault="00D43C0D" w:rsidP="00943B24">
      <w:pPr>
        <w:rPr>
          <w:b/>
          <w:lang w:val="en-CA"/>
        </w:rPr>
      </w:pPr>
      <w:r>
        <w:rPr>
          <w:b/>
          <w:lang w:val="en-CA"/>
        </w:rPr>
        <w:t>3</w:t>
      </w:r>
      <w:r w:rsidR="00943B24">
        <w:rPr>
          <w:rFonts w:hint="eastAsia"/>
          <w:b/>
          <w:lang w:val="en-CA"/>
        </w:rPr>
        <w:t>.</w:t>
      </w:r>
      <w:r>
        <w:rPr>
          <w:b/>
          <w:lang w:val="en-CA"/>
        </w:rPr>
        <w:t>2</w:t>
      </w:r>
      <w:r w:rsidR="00943B24">
        <w:rPr>
          <w:rFonts w:hint="eastAsia"/>
          <w:b/>
          <w:lang w:val="en-CA"/>
        </w:rPr>
        <w:t>. Sticky/Flexible wage mechanism</w:t>
      </w:r>
    </w:p>
    <w:p w:rsidR="00AF3128" w:rsidRDefault="00E902E7">
      <w:pPr>
        <w:rPr>
          <w:lang w:val="en-CA"/>
        </w:rPr>
      </w:pPr>
      <w:r>
        <w:rPr>
          <w:lang w:val="en-CA"/>
        </w:rPr>
        <w:t xml:space="preserve">In most CGE analyses of the effects of policy, one of the following two assumptions is made: a) real wages adjust so there is no effect on employment; or b) real wages remain unaffected and employment adjusts. However, once we introduce the sticky/flexible wage mechanism, the model can take an intermediate position between a and b. We can assume that real wages are sticky in the short run and flexible in the long run. </w:t>
      </w:r>
      <w:r w:rsidR="00DC3E17">
        <w:rPr>
          <w:lang w:val="en-CA"/>
        </w:rPr>
        <w:t xml:space="preserve">For example, in this case favorable shocks generate short-run gains in aggregate employment and long-run gains in real wages. </w:t>
      </w:r>
    </w:p>
    <w:p w:rsidR="00AF3128" w:rsidRDefault="00AF3128">
      <w:pPr>
        <w:rPr>
          <w:lang w:val="en-CA"/>
        </w:rPr>
      </w:pPr>
    </w:p>
    <w:p w:rsidR="008C0336" w:rsidRDefault="008C0336">
      <w:pPr>
        <w:rPr>
          <w:lang w:val="en-CA"/>
        </w:rPr>
      </w:pPr>
      <w:r>
        <w:rPr>
          <w:rFonts w:hint="eastAsia"/>
          <w:lang w:val="en-CA"/>
        </w:rPr>
        <w:t>In the model the employment-wage specification is as follows:</w:t>
      </w:r>
    </w:p>
    <w:p w:rsidR="008C0336" w:rsidRPr="008C0336" w:rsidRDefault="00B20695">
      <w:pPr>
        <w:rPr>
          <w:vertAlign w:val="subscript"/>
        </w:rPr>
      </w:pPr>
      <m:oMath>
        <m:d>
          <m:dPr>
            <m:begChr m:val="{"/>
            <m:endChr m:val="}"/>
            <m:ctrlPr>
              <w:rPr>
                <w:rFonts w:ascii="Cambria Math" w:hAnsi="Cambria Math" w:cs="Cambria Math"/>
                <w:i/>
                <w:vertAlign w:val="subscript"/>
              </w:rPr>
            </m:ctrlPr>
          </m:dPr>
          <m:e>
            <m:f>
              <m:fPr>
                <m:ctrlPr>
                  <w:rPr>
                    <w:rFonts w:ascii="Cambria Math" w:hAnsi="Cambria Math" w:cs="Cambria Math"/>
                    <w:i/>
                    <w:vertAlign w:val="subscript"/>
                  </w:rPr>
                </m:ctrlPr>
              </m:fPr>
              <m:num>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t</m:t>
                    </m:r>
                  </m:sub>
                </m:sSub>
              </m:num>
              <m:den>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t,old</m:t>
                    </m:r>
                  </m:sub>
                </m:sSub>
              </m:den>
            </m:f>
            <m:r>
              <w:rPr>
                <w:rFonts w:ascii="Cambria Math" w:hAnsi="Cambria Math" w:cs="Cambria Math"/>
                <w:vertAlign w:val="subscript"/>
              </w:rPr>
              <m:t>-1</m:t>
            </m:r>
          </m:e>
        </m:d>
        <m:r>
          <m:rPr>
            <m:sty m:val="p"/>
          </m:rPr>
          <w:rPr>
            <w:rFonts w:ascii="Cambria Math" w:eastAsia="Cambria Math" w:hAnsi="Cambria Math" w:cs="Cambria Math"/>
            <w:vertAlign w:val="subscript"/>
          </w:rPr>
          <m:t>=</m:t>
        </m:r>
        <m:d>
          <m:dPr>
            <m:begChr m:val="{"/>
            <m:endChr m:val="}"/>
            <m:ctrlPr>
              <w:rPr>
                <w:rFonts w:ascii="Cambria Math" w:hAnsi="Cambria Math" w:cs="Cambria Math"/>
                <w:i/>
                <w:vertAlign w:val="subscript"/>
              </w:rPr>
            </m:ctrlPr>
          </m:dPr>
          <m:e>
            <m:f>
              <m:fPr>
                <m:ctrlPr>
                  <w:rPr>
                    <w:rFonts w:ascii="Cambria Math" w:hAnsi="Cambria Math" w:cs="Cambria Math"/>
                    <w:i/>
                    <w:vertAlign w:val="subscript"/>
                  </w:rPr>
                </m:ctrlPr>
              </m:fPr>
              <m:num>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t-1</m:t>
                    </m:r>
                  </m:sub>
                </m:sSub>
              </m:num>
              <m:den>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t-1,old</m:t>
                    </m:r>
                  </m:sub>
                </m:sSub>
              </m:den>
            </m:f>
            <m:r>
              <w:rPr>
                <w:rFonts w:ascii="Cambria Math" w:hAnsi="Cambria Math" w:cs="Cambria Math"/>
                <w:vertAlign w:val="subscript"/>
              </w:rPr>
              <m:t>-1</m:t>
            </m:r>
          </m:e>
        </m:d>
        <m:r>
          <m:rPr>
            <m:sty m:val="p"/>
          </m:rPr>
          <w:rPr>
            <w:rFonts w:ascii="Cambria Math" w:hAnsi="Cambria Math"/>
            <w:vertAlign w:val="subscript"/>
          </w:rPr>
          <m:t>+</m:t>
        </m:r>
        <m:sSub>
          <m:sSubPr>
            <m:ctrlPr>
              <w:rPr>
                <w:rFonts w:ascii="Cambria Math" w:hAnsi="Cambria Math"/>
                <w:vertAlign w:val="subscript"/>
              </w:rPr>
            </m:ctrlPr>
          </m:sSubPr>
          <m:e>
            <m:r>
              <w:rPr>
                <w:rFonts w:ascii="Cambria Math" w:hAnsi="Cambria Math" w:hint="eastAsia"/>
                <w:vertAlign w:val="subscript"/>
              </w:rPr>
              <m:t>α</m:t>
            </m:r>
          </m:e>
          <m:sub>
            <m:r>
              <w:rPr>
                <w:rFonts w:ascii="Cambria Math" w:hAnsi="Cambria Math"/>
                <w:vertAlign w:val="subscript"/>
              </w:rPr>
              <m:t>1</m:t>
            </m:r>
          </m:sub>
        </m:sSub>
        <m:d>
          <m:dPr>
            <m:begChr m:val="{"/>
            <m:endChr m:val="}"/>
            <m:ctrlPr>
              <w:rPr>
                <w:rFonts w:ascii="Cambria Math" w:hAnsi="Cambria Math"/>
                <w:vertAlign w:val="subscript"/>
              </w:rPr>
            </m:ctrlPr>
          </m:dPr>
          <m:e>
            <m:f>
              <m:fPr>
                <m:ctrlPr>
                  <w:rPr>
                    <w:rFonts w:ascii="Cambria Math" w:hAnsi="Cambria Math" w:cs="Cambria Math"/>
                    <w:i/>
                    <w:vertAlign w:val="subscript"/>
                  </w:rPr>
                </m:ctrlPr>
              </m:fPr>
              <m:num>
                <m:sSub>
                  <m:sSubPr>
                    <m:ctrlPr>
                      <w:rPr>
                        <w:rFonts w:ascii="Cambria Math" w:hAnsi="Cambria Math" w:cs="Cambria Math"/>
                        <w:i/>
                        <w:vertAlign w:val="subscript"/>
                      </w:rPr>
                    </m:ctrlPr>
                  </m:sSubPr>
                  <m:e>
                    <m:r>
                      <w:rPr>
                        <w:rFonts w:ascii="Cambria Math" w:hAnsi="Cambria Math" w:cs="Cambria Math"/>
                        <w:vertAlign w:val="subscript"/>
                      </w:rPr>
                      <m:t>E</m:t>
                    </m:r>
                  </m:e>
                  <m:sub>
                    <m:r>
                      <w:rPr>
                        <w:rFonts w:ascii="Cambria Math" w:hAnsi="Cambria Math" w:cs="Cambria Math"/>
                        <w:vertAlign w:val="subscript"/>
                      </w:rPr>
                      <m:t>t</m:t>
                    </m:r>
                  </m:sub>
                </m:sSub>
              </m:num>
              <m:den>
                <m:sSub>
                  <m:sSubPr>
                    <m:ctrlPr>
                      <w:rPr>
                        <w:rFonts w:ascii="Cambria Math" w:hAnsi="Cambria Math" w:cs="Cambria Math"/>
                        <w:i/>
                        <w:vertAlign w:val="subscript"/>
                      </w:rPr>
                    </m:ctrlPr>
                  </m:sSubPr>
                  <m:e>
                    <m:r>
                      <w:rPr>
                        <w:rFonts w:ascii="Cambria Math" w:hAnsi="Cambria Math" w:cs="Cambria Math"/>
                        <w:vertAlign w:val="subscript"/>
                      </w:rPr>
                      <m:t>E</m:t>
                    </m:r>
                  </m:e>
                  <m:sub>
                    <m:r>
                      <w:rPr>
                        <w:rFonts w:ascii="Cambria Math" w:hAnsi="Cambria Math" w:cs="Cambria Math"/>
                        <w:vertAlign w:val="subscript"/>
                      </w:rPr>
                      <m:t>t,old</m:t>
                    </m:r>
                  </m:sub>
                </m:sSub>
              </m:den>
            </m:f>
            <m:r>
              <w:rPr>
                <w:rFonts w:ascii="Cambria Math" w:hAnsi="Cambria Math" w:cs="Cambria Math"/>
                <w:vertAlign w:val="subscript"/>
              </w:rPr>
              <m:t>-F</m:t>
            </m:r>
            <m:d>
              <m:dPr>
                <m:ctrlPr>
                  <w:rPr>
                    <w:rFonts w:ascii="Cambria Math" w:hAnsi="Cambria Math" w:cs="Cambria Math"/>
                    <w:i/>
                    <w:vertAlign w:val="subscript"/>
                  </w:rPr>
                </m:ctrlPr>
              </m:dPr>
              <m:e>
                <m:f>
                  <m:fPr>
                    <m:ctrlPr>
                      <w:rPr>
                        <w:rFonts w:ascii="Cambria Math" w:hAnsi="Cambria Math" w:cs="Cambria Math"/>
                        <w:i/>
                        <w:vertAlign w:val="subscript"/>
                      </w:rPr>
                    </m:ctrlPr>
                  </m:fPr>
                  <m:num>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t-1</m:t>
                        </m:r>
                      </m:sub>
                    </m:sSub>
                  </m:num>
                  <m:den>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t-1,old</m:t>
                        </m:r>
                      </m:sub>
                    </m:sSub>
                  </m:den>
                </m:f>
                <m:r>
                  <w:rPr>
                    <w:rFonts w:ascii="Cambria Math" w:hAnsi="Cambria Math" w:cs="Cambria Math"/>
                    <w:vertAlign w:val="subscript"/>
                  </w:rPr>
                  <m:t>-1</m:t>
                </m:r>
              </m:e>
            </m:d>
            <m:ctrlPr>
              <w:rPr>
                <w:rFonts w:ascii="Cambria Math" w:hAnsi="Cambria Math" w:cs="Cambria Math"/>
                <w:i/>
                <w:vertAlign w:val="subscript"/>
              </w:rPr>
            </m:ctrlPr>
          </m:e>
        </m:d>
      </m:oMath>
      <w:r w:rsidR="003D06FB">
        <w:rPr>
          <w:rFonts w:hint="eastAsia"/>
          <w:vertAlign w:val="subscript"/>
        </w:rPr>
        <w:tab/>
      </w:r>
      <w:r w:rsidR="003D06FB">
        <w:rPr>
          <w:rFonts w:hint="eastAsia"/>
          <w:vertAlign w:val="subscript"/>
        </w:rPr>
        <w:tab/>
      </w:r>
      <w:r w:rsidR="003D06FB">
        <w:rPr>
          <w:rFonts w:hint="eastAsia"/>
          <w:vertAlign w:val="subscript"/>
        </w:rPr>
        <w:tab/>
      </w:r>
      <w:r w:rsidR="003D06FB">
        <w:rPr>
          <w:rFonts w:hint="eastAsia"/>
          <w:vertAlign w:val="subscript"/>
        </w:rPr>
        <w:tab/>
      </w:r>
      <w:r w:rsidR="003D06FB">
        <w:rPr>
          <w:rFonts w:hint="eastAsia"/>
        </w:rPr>
        <w:t>(15)</w:t>
      </w:r>
    </w:p>
    <w:p w:rsidR="008C0336" w:rsidRDefault="008C0336">
      <w:pPr>
        <w:rPr>
          <w:lang w:val="en-CA"/>
        </w:rPr>
      </w:pPr>
      <w:r>
        <w:rPr>
          <w:lang w:val="en-CA"/>
        </w:rPr>
        <w:t>In the equation</w:t>
      </w:r>
      <w:r w:rsidR="00A2320D">
        <w:rPr>
          <w:lang w:val="en-CA"/>
        </w:rPr>
        <w:t>,</w:t>
      </w:r>
      <w:r>
        <w:rPr>
          <w:lang w:val="en-CA"/>
        </w:rPr>
        <w:t xml:space="preserve"> </w:t>
      </w:r>
      <w:r w:rsidRPr="008C0336">
        <w:rPr>
          <w:i/>
          <w:lang w:val="en-CA"/>
        </w:rPr>
        <w:t>old</w:t>
      </w:r>
      <w:r>
        <w:rPr>
          <w:lang w:val="en-CA"/>
        </w:rPr>
        <w:t xml:space="preserve"> indicates a </w:t>
      </w:r>
      <w:proofErr w:type="spellStart"/>
      <w:r>
        <w:rPr>
          <w:lang w:val="en-CA"/>
        </w:rPr>
        <w:t>basecase</w:t>
      </w:r>
      <w:proofErr w:type="spellEnd"/>
      <w:r>
        <w:rPr>
          <w:lang w:val="en-CA"/>
        </w:rPr>
        <w:t xml:space="preserve"> forecast value, that is, a value in the simulation without the policy. </w:t>
      </w:r>
      <m:oMath>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t</m:t>
            </m:r>
          </m:sub>
        </m:sSub>
      </m:oMath>
      <w:r w:rsidR="00A2320D">
        <w:rPr>
          <w:rFonts w:hint="eastAsia"/>
          <w:i/>
          <w:lang w:val="en-CA"/>
        </w:rPr>
        <w:t xml:space="preserve"> </w:t>
      </w:r>
      <w:r w:rsidR="00A2320D">
        <w:rPr>
          <w:lang w:val="en-CA"/>
        </w:rPr>
        <w:t>and</w:t>
      </w:r>
      <w:r>
        <w:rPr>
          <w:lang w:val="en-CA"/>
        </w:rPr>
        <w:t xml:space="preserve"> </w:t>
      </w:r>
      <m:oMath>
        <m:sSub>
          <m:sSubPr>
            <m:ctrlPr>
              <w:rPr>
                <w:rFonts w:ascii="Cambria Math" w:hAnsi="Cambria Math" w:cs="Cambria Math"/>
                <w:i/>
                <w:vertAlign w:val="subscript"/>
              </w:rPr>
            </m:ctrlPr>
          </m:sSubPr>
          <m:e>
            <m:r>
              <w:rPr>
                <w:rFonts w:ascii="Cambria Math" w:hAnsi="Cambria Math" w:cs="Cambria Math"/>
                <w:vertAlign w:val="subscript"/>
              </w:rPr>
              <m:t>E</m:t>
            </m:r>
          </m:e>
          <m:sub>
            <m:r>
              <w:rPr>
                <w:rFonts w:ascii="Cambria Math" w:hAnsi="Cambria Math" w:cs="Cambria Math"/>
                <w:vertAlign w:val="subscript"/>
              </w:rPr>
              <m:t>t</m:t>
            </m:r>
          </m:sub>
        </m:sSub>
      </m:oMath>
      <w:r>
        <w:rPr>
          <w:lang w:val="en-CA"/>
        </w:rPr>
        <w:t xml:space="preserve"> are the real wage rate and the level of employment</w:t>
      </w:r>
      <w:r w:rsidR="00A2320D">
        <w:rPr>
          <w:lang w:val="en-CA"/>
        </w:rPr>
        <w:t xml:space="preserve"> in year t</w:t>
      </w:r>
      <w:r>
        <w:rPr>
          <w:lang w:val="en-CA"/>
        </w:rPr>
        <w:t xml:space="preserve"> in the policy simulation, that is the simulation with the shock. F is a long-run supply function of labour and </w:t>
      </w:r>
      <m:oMath>
        <m:sSub>
          <m:sSubPr>
            <m:ctrlPr>
              <w:rPr>
                <w:rFonts w:ascii="Cambria Math" w:hAnsi="Cambria Math" w:cs="Cambria Math"/>
                <w:i/>
                <w:vertAlign w:val="subscript"/>
              </w:rPr>
            </m:ctrlPr>
          </m:sSubPr>
          <m:e>
            <m:r>
              <w:rPr>
                <w:rFonts w:ascii="Cambria Math" w:hAnsi="Cambria Math" w:cs="Cambria Math"/>
                <w:vertAlign w:val="subscript"/>
              </w:rPr>
              <m:t>α</m:t>
            </m:r>
          </m:e>
          <m:sub>
            <m:r>
              <w:rPr>
                <w:rFonts w:ascii="Cambria Math" w:hAnsi="Cambria Math" w:cs="Cambria Math"/>
                <w:vertAlign w:val="subscript"/>
              </w:rPr>
              <m:t>1</m:t>
            </m:r>
          </m:sub>
        </m:sSub>
      </m:oMath>
      <w:r w:rsidR="00A2320D">
        <w:rPr>
          <w:vertAlign w:val="subscript"/>
          <w:lang w:val="en-CA"/>
        </w:rPr>
        <w:t xml:space="preserve"> </w:t>
      </w:r>
      <w:r>
        <w:rPr>
          <w:lang w:val="en-CA"/>
        </w:rPr>
        <w:t xml:space="preserve">is a positive parameter. In most simulations we assume that F(Y) =1 for all Y, that is, the long-run supply of labour is independent of wage rates. </w:t>
      </w:r>
    </w:p>
    <w:p w:rsidR="00F35396" w:rsidRDefault="00F35396">
      <w:pPr>
        <w:rPr>
          <w:lang w:val="en-CA"/>
        </w:rPr>
      </w:pPr>
    </w:p>
    <w:p w:rsidR="00F35396" w:rsidRDefault="00F35396">
      <w:pPr>
        <w:rPr>
          <w:lang w:val="en-CA"/>
        </w:rPr>
      </w:pPr>
      <w:r>
        <w:rPr>
          <w:lang w:val="en-CA"/>
        </w:rPr>
        <w:t xml:space="preserve">The operation of the employment-wage specification is illustrated in Figure 2 for a steady-state case in which the forecasts for technology, consumer tastes, capital availability etc. are unchanged from year to year, leaving the demand curve for labour in each year t at DD, employment and the labour supply at </w:t>
      </w:r>
      <m:oMath>
        <m:sSub>
          <m:sSubPr>
            <m:ctrlPr>
              <w:rPr>
                <w:rFonts w:ascii="Cambria Math" w:hAnsi="Cambria Math" w:cs="Cambria Math"/>
                <w:i/>
                <w:vertAlign w:val="subscript"/>
              </w:rPr>
            </m:ctrlPr>
          </m:sSubPr>
          <m:e>
            <m:r>
              <w:rPr>
                <w:rFonts w:ascii="Cambria Math" w:hAnsi="Cambria Math" w:cs="Cambria Math"/>
                <w:vertAlign w:val="subscript"/>
              </w:rPr>
              <m:t>E</m:t>
            </m:r>
          </m:e>
          <m:sub>
            <m:r>
              <w:rPr>
                <w:rFonts w:ascii="Cambria Math" w:hAnsi="Cambria Math" w:cs="Cambria Math"/>
                <w:vertAlign w:val="subscript"/>
              </w:rPr>
              <m:t>old</m:t>
            </m:r>
          </m:sub>
        </m:sSub>
      </m:oMath>
      <w:r>
        <w:rPr>
          <w:lang w:val="en-CA"/>
        </w:rPr>
        <w:t xml:space="preserve"> and the wage rate at </w:t>
      </w:r>
      <m:oMath>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old</m:t>
            </m:r>
          </m:sub>
        </m:sSub>
      </m:oMath>
      <w:r>
        <w:rPr>
          <w:lang w:val="en-CA"/>
        </w:rPr>
        <w:t xml:space="preserve">, so that in each year the employment-wage combination is at point I. in the policy simulation there is an outward movement in demand curves in year 1. This causes the demand curve for labour shift up to D'D', where it remains for all future years. The short-run labour supply curve for year 1 in the policy simulation is SS. Together, SS and D'D' give policy simulation levels for employment and the real wage rate of </w:t>
      </w:r>
      <m:oMath>
        <m:sSub>
          <m:sSubPr>
            <m:ctrlPr>
              <w:rPr>
                <w:rFonts w:ascii="Cambria Math" w:hAnsi="Cambria Math" w:cs="Cambria Math"/>
                <w:i/>
                <w:vertAlign w:val="subscript"/>
              </w:rPr>
            </m:ctrlPr>
          </m:sSubPr>
          <m:e>
            <m:r>
              <w:rPr>
                <w:rFonts w:ascii="Cambria Math" w:hAnsi="Cambria Math" w:cs="Cambria Math"/>
                <w:vertAlign w:val="subscript"/>
              </w:rPr>
              <m:t>E</m:t>
            </m:r>
          </m:e>
          <m:sub>
            <m:r>
              <w:rPr>
                <w:rFonts w:ascii="Cambria Math" w:hAnsi="Cambria Math" w:cs="Cambria Math"/>
                <w:vertAlign w:val="subscript"/>
              </w:rPr>
              <m:t>1</m:t>
            </m:r>
          </m:sub>
        </m:sSub>
      </m:oMath>
      <w:r w:rsidR="00A2320D">
        <w:rPr>
          <w:lang w:val="en-CA"/>
        </w:rPr>
        <w:t xml:space="preserve"> and</w:t>
      </w:r>
      <w:r w:rsidR="00A14A80">
        <w:rPr>
          <w:rFonts w:hint="eastAsia"/>
          <w:lang w:val="en-CA"/>
        </w:rPr>
        <w:t xml:space="preserve"> </w:t>
      </w:r>
      <m:oMath>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1</m:t>
            </m:r>
          </m:sub>
        </m:sSub>
      </m:oMath>
      <w:r>
        <w:rPr>
          <w:lang w:val="en-CA"/>
        </w:rPr>
        <w:t xml:space="preserve">. In year 2 there is a vertical upward shift in the short-run supply curve reflecting the gap between </w:t>
      </w:r>
      <w:r w:rsidR="0017429D">
        <w:rPr>
          <w:lang w:val="en-CA"/>
        </w:rPr>
        <w:t xml:space="preserve"> </w:t>
      </w:r>
      <m:oMath>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1</m:t>
            </m:r>
          </m:sub>
        </m:sSub>
      </m:oMath>
      <w:r>
        <w:rPr>
          <w:lang w:val="en-CA"/>
        </w:rPr>
        <w:t xml:space="preserve"> and </w:t>
      </w:r>
      <m:oMath>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old</m:t>
            </m:r>
          </m:sub>
        </m:sSub>
      </m:oMath>
      <w:r>
        <w:rPr>
          <w:lang w:val="en-CA"/>
        </w:rPr>
        <w:t>. In our diagram, employment and the real wage ra</w:t>
      </w:r>
      <w:r w:rsidR="00A2320D">
        <w:rPr>
          <w:lang w:val="en-CA"/>
        </w:rPr>
        <w:t xml:space="preserve">te in year 2 are </w:t>
      </w:r>
      <m:oMath>
        <m:sSub>
          <m:sSubPr>
            <m:ctrlPr>
              <w:rPr>
                <w:rFonts w:ascii="Cambria Math" w:hAnsi="Cambria Math" w:cs="Cambria Math"/>
                <w:i/>
                <w:vertAlign w:val="subscript"/>
              </w:rPr>
            </m:ctrlPr>
          </m:sSubPr>
          <m:e>
            <m:r>
              <w:rPr>
                <w:rFonts w:ascii="Cambria Math" w:hAnsi="Cambria Math" w:cs="Cambria Math"/>
                <w:vertAlign w:val="subscript"/>
              </w:rPr>
              <m:t>E</m:t>
            </m:r>
          </m:e>
          <m:sub>
            <m:r>
              <w:rPr>
                <w:rFonts w:ascii="Cambria Math" w:hAnsi="Cambria Math" w:cs="Cambria Math"/>
                <w:vertAlign w:val="subscript"/>
              </w:rPr>
              <m:t>2</m:t>
            </m:r>
          </m:sub>
        </m:sSub>
      </m:oMath>
      <w:r>
        <w:rPr>
          <w:lang w:val="en-CA"/>
        </w:rPr>
        <w:t xml:space="preserve"> and </w:t>
      </w:r>
      <m:oMath>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2</m:t>
            </m:r>
          </m:sub>
        </m:sSub>
      </m:oMath>
      <w:r>
        <w:rPr>
          <w:lang w:val="en-CA"/>
        </w:rPr>
        <w:t>. Eventually the short-run supply curve for labour stops m</w:t>
      </w:r>
      <w:r w:rsidR="00A2320D">
        <w:rPr>
          <w:lang w:val="en-CA"/>
        </w:rPr>
        <w:t xml:space="preserve">oving when W reaches </w:t>
      </w:r>
      <m:oMath>
        <m:sSub>
          <m:sSubPr>
            <m:ctrlPr>
              <w:rPr>
                <w:rFonts w:ascii="Cambria Math" w:hAnsi="Cambria Math" w:cs="Cambria Math"/>
                <w:i/>
                <w:vertAlign w:val="subscript"/>
              </w:rPr>
            </m:ctrlPr>
          </m:sSubPr>
          <m:e>
            <m:r>
              <w:rPr>
                <w:rFonts w:ascii="Cambria Math" w:hAnsi="Cambria Math" w:cs="Cambria Math"/>
                <w:vertAlign w:val="subscript"/>
              </w:rPr>
              <m:t>W</m:t>
            </m:r>
          </m:e>
          <m:sub>
            <m:r>
              <w:rPr>
                <w:rFonts w:ascii="Cambria Math" w:hAnsi="Cambria Math" w:cs="Cambria Math"/>
                <w:vertAlign w:val="subscript"/>
              </w:rPr>
              <m:t>∞</m:t>
            </m:r>
          </m:sub>
        </m:sSub>
      </m:oMath>
      <w:r>
        <w:rPr>
          <w:lang w:val="en-CA"/>
        </w:rPr>
        <w:t xml:space="preserve">. At this stage employment has return to </w:t>
      </w:r>
      <m:oMath>
        <m:sSub>
          <m:sSubPr>
            <m:ctrlPr>
              <w:rPr>
                <w:rFonts w:ascii="Cambria Math" w:hAnsi="Cambria Math" w:cs="Cambria Math"/>
                <w:i/>
                <w:vertAlign w:val="subscript"/>
              </w:rPr>
            </m:ctrlPr>
          </m:sSubPr>
          <m:e>
            <m:r>
              <w:rPr>
                <w:rFonts w:ascii="Cambria Math" w:hAnsi="Cambria Math" w:cs="Cambria Math"/>
                <w:vertAlign w:val="subscript"/>
              </w:rPr>
              <m:t>E</m:t>
            </m:r>
          </m:e>
          <m:sub>
            <m:r>
              <w:rPr>
                <w:rFonts w:ascii="Cambria Math" w:hAnsi="Cambria Math" w:cs="Cambria Math"/>
                <w:vertAlign w:val="subscript"/>
              </w:rPr>
              <m:t>old</m:t>
            </m:r>
          </m:sub>
        </m:sSub>
      </m:oMath>
      <w:r>
        <w:rPr>
          <w:lang w:val="en-CA"/>
        </w:rPr>
        <w:t xml:space="preserve">.  </w:t>
      </w:r>
    </w:p>
    <w:p w:rsidR="00F35396" w:rsidRDefault="00F35396">
      <w:pPr>
        <w:rPr>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067999" w:rsidRDefault="00067999">
      <w:pPr>
        <w:rPr>
          <w:rFonts w:hint="eastAsia"/>
          <w:b/>
          <w:lang w:val="en-CA"/>
        </w:rPr>
      </w:pPr>
    </w:p>
    <w:p w:rsidR="00F35396" w:rsidRPr="00067999" w:rsidRDefault="00F35396">
      <w:pPr>
        <w:rPr>
          <w:b/>
          <w:lang w:val="en-CA"/>
        </w:rPr>
      </w:pPr>
      <w:r w:rsidRPr="00067999">
        <w:rPr>
          <w:b/>
          <w:lang w:val="en-CA"/>
        </w:rPr>
        <w:lastRenderedPageBreak/>
        <w:t>Figure 2. Operation of the employment-wage specification in a steady state</w:t>
      </w:r>
    </w:p>
    <w:p w:rsidR="008C0336" w:rsidRDefault="00F35396" w:rsidP="00F35396">
      <w:pPr>
        <w:jc w:val="center"/>
        <w:rPr>
          <w:lang w:val="en-CA"/>
        </w:rPr>
      </w:pPr>
      <w:r>
        <w:rPr>
          <w:noProof/>
        </w:rPr>
        <w:drawing>
          <wp:inline distT="0" distB="0" distL="0" distR="0">
            <wp:extent cx="3922978" cy="2995286"/>
            <wp:effectExtent l="19050" t="0" r="1322"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925672" cy="2997343"/>
                    </a:xfrm>
                    <a:prstGeom prst="rect">
                      <a:avLst/>
                    </a:prstGeom>
                    <a:noFill/>
                    <a:ln w="9525">
                      <a:noFill/>
                      <a:miter lim="800000"/>
                      <a:headEnd/>
                      <a:tailEnd/>
                    </a:ln>
                  </pic:spPr>
                </pic:pic>
              </a:graphicData>
            </a:graphic>
          </wp:inline>
        </w:drawing>
      </w:r>
    </w:p>
    <w:p w:rsidR="00F35396" w:rsidRPr="008C0336" w:rsidRDefault="00F35396">
      <w:pPr>
        <w:rPr>
          <w:lang w:val="en-CA"/>
        </w:rPr>
      </w:pPr>
    </w:p>
    <w:p w:rsidR="00943B24" w:rsidRPr="00943B24" w:rsidRDefault="00943B24">
      <w:pPr>
        <w:rPr>
          <w:b/>
          <w:lang w:val="en-CA"/>
        </w:rPr>
      </w:pPr>
      <w:r w:rsidRPr="00943B24">
        <w:rPr>
          <w:rFonts w:hint="eastAsia"/>
          <w:b/>
          <w:lang w:val="en-CA"/>
        </w:rPr>
        <w:t>3.3. Disaggregation of region-</w:t>
      </w:r>
      <w:r>
        <w:rPr>
          <w:rFonts w:hint="eastAsia"/>
          <w:b/>
          <w:lang w:val="en-CA"/>
        </w:rPr>
        <w:t>specific investment Coefficients</w:t>
      </w:r>
    </w:p>
    <w:p w:rsidR="00943B24" w:rsidRDefault="00943B24">
      <w:pPr>
        <w:rPr>
          <w:lang w:val="en-CA"/>
        </w:rPr>
      </w:pPr>
    </w:p>
    <w:p w:rsidR="009F737E" w:rsidRDefault="009F737E" w:rsidP="009F737E">
      <w:pPr>
        <w:pStyle w:val="Default"/>
        <w:jc w:val="both"/>
        <w:rPr>
          <w:rFonts w:asciiTheme="minorHAnsi" w:hAnsiTheme="minorHAnsi" w:cstheme="minorBidi"/>
          <w:color w:val="auto"/>
          <w:kern w:val="2"/>
          <w:sz w:val="21"/>
          <w:szCs w:val="22"/>
          <w:lang w:val="en-CA"/>
        </w:rPr>
      </w:pPr>
      <w:r w:rsidRPr="009F737E">
        <w:rPr>
          <w:rFonts w:asciiTheme="minorHAnsi" w:hAnsiTheme="minorHAnsi" w:cstheme="minorBidi"/>
          <w:color w:val="auto"/>
          <w:kern w:val="2"/>
          <w:sz w:val="21"/>
          <w:szCs w:val="22"/>
          <w:lang w:val="en-CA"/>
        </w:rPr>
        <w:t>Based on firm-level data from Standard &amp; Poor’s Capital IQ database, we assign</w:t>
      </w:r>
      <w:r w:rsidR="00FF59E3">
        <w:rPr>
          <w:rFonts w:asciiTheme="minorHAnsi" w:hAnsiTheme="minorHAnsi" w:cstheme="minorBidi" w:hint="eastAsia"/>
          <w:color w:val="auto"/>
          <w:kern w:val="2"/>
          <w:sz w:val="21"/>
          <w:szCs w:val="22"/>
          <w:lang w:val="en-CA"/>
        </w:rPr>
        <w:t xml:space="preserve"> over 40,000</w:t>
      </w:r>
      <w:r w:rsidRPr="009F737E">
        <w:rPr>
          <w:rFonts w:asciiTheme="minorHAnsi" w:hAnsiTheme="minorHAnsi" w:cstheme="minorBidi"/>
          <w:color w:val="auto"/>
          <w:kern w:val="2"/>
          <w:sz w:val="21"/>
          <w:szCs w:val="22"/>
          <w:lang w:val="en-CA"/>
        </w:rPr>
        <w:t xml:space="preserve"> listed firms to GTAP </w:t>
      </w:r>
      <w:r w:rsidR="00FF59E3">
        <w:rPr>
          <w:rFonts w:asciiTheme="minorHAnsi" w:hAnsiTheme="minorHAnsi" w:cstheme="minorBidi" w:hint="eastAsia"/>
          <w:color w:val="auto"/>
          <w:kern w:val="2"/>
          <w:sz w:val="21"/>
          <w:szCs w:val="22"/>
          <w:lang w:val="en-CA"/>
        </w:rPr>
        <w:t xml:space="preserve">regions and </w:t>
      </w:r>
      <w:r w:rsidRPr="009F737E">
        <w:rPr>
          <w:rFonts w:asciiTheme="minorHAnsi" w:hAnsiTheme="minorHAnsi" w:cstheme="minorBidi"/>
          <w:color w:val="auto"/>
          <w:kern w:val="2"/>
          <w:sz w:val="21"/>
          <w:szCs w:val="22"/>
          <w:lang w:val="en-CA"/>
        </w:rPr>
        <w:t xml:space="preserve">sectors. We extract information on gross operating surplus, rate of return and depreciation rate for each firm in the sample. We then generate initial estimates of the capital stock, the value of depreciation and the level of investment through the equations described in Figures A1 and A2. These values are then aggregated to construct corresponding values for a representative firm corresponding to the GTAP sector classification. </w:t>
      </w:r>
    </w:p>
    <w:p w:rsidR="009F737E" w:rsidRPr="009F737E" w:rsidRDefault="009F737E" w:rsidP="009F737E">
      <w:pPr>
        <w:pStyle w:val="Default"/>
        <w:jc w:val="both"/>
        <w:rPr>
          <w:rFonts w:asciiTheme="minorHAnsi" w:hAnsiTheme="minorHAnsi" w:cstheme="minorBidi"/>
          <w:color w:val="auto"/>
          <w:kern w:val="2"/>
          <w:sz w:val="21"/>
          <w:szCs w:val="22"/>
          <w:lang w:val="en-CA"/>
        </w:rPr>
      </w:pPr>
    </w:p>
    <w:p w:rsidR="009F737E" w:rsidRDefault="009F737E" w:rsidP="009F737E">
      <w:pPr>
        <w:rPr>
          <w:lang w:val="en-CA"/>
        </w:rPr>
      </w:pPr>
      <w:r w:rsidRPr="009F737E">
        <w:rPr>
          <w:lang w:val="en-CA"/>
        </w:rPr>
        <w:t>These initial levels are not, however, consistent with the levels of capital, depreciation and investment for the aggregate single representative firm in the GTAP database. To preserve the consistency of the GTAP database, we scale the initial estimates of the values of the capital stock, depreciation and investment for the domestic and foreign-owned representative firms such that the sum is consistent with the values in the GTAP database.</w:t>
      </w:r>
    </w:p>
    <w:p w:rsidR="00943B24" w:rsidRDefault="00943B24">
      <w:pPr>
        <w:rPr>
          <w:lang w:val="en-CA"/>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067999" w:rsidRDefault="00067999" w:rsidP="00FF59E3">
      <w:pPr>
        <w:rPr>
          <w:rFonts w:hint="eastAsia"/>
          <w:b/>
        </w:rPr>
      </w:pPr>
    </w:p>
    <w:p w:rsidR="00FF59E3" w:rsidRPr="00EC0435" w:rsidRDefault="00FF59E3" w:rsidP="00FF59E3">
      <w:pPr>
        <w:rPr>
          <w:b/>
        </w:rPr>
      </w:pPr>
      <w:r>
        <w:rPr>
          <w:b/>
        </w:rPr>
        <w:lastRenderedPageBreak/>
        <w:t xml:space="preserve">Figure </w:t>
      </w:r>
      <w:r w:rsidR="00513A81">
        <w:rPr>
          <w:b/>
        </w:rPr>
        <w:t>2</w:t>
      </w:r>
      <w:r w:rsidRPr="00EC0435">
        <w:rPr>
          <w:b/>
        </w:rPr>
        <w:t>.</w:t>
      </w:r>
      <w:r>
        <w:rPr>
          <w:b/>
        </w:rPr>
        <w:t xml:space="preserve"> </w:t>
      </w:r>
      <w:r w:rsidRPr="00EC0435">
        <w:rPr>
          <w:b/>
        </w:rPr>
        <w:t>The procedure in creating investment matrices</w:t>
      </w:r>
    </w:p>
    <w:p w:rsidR="009F737E" w:rsidRDefault="004E617C" w:rsidP="004E617C">
      <w:pPr>
        <w:jc w:val="center"/>
        <w:rPr>
          <w:lang w:val="en-CA"/>
        </w:rPr>
      </w:pPr>
      <w:r>
        <w:rPr>
          <w:rFonts w:hint="eastAsia"/>
          <w:noProof/>
        </w:rPr>
        <w:drawing>
          <wp:inline distT="0" distB="0" distL="0" distR="0">
            <wp:extent cx="4961890" cy="347472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4961890" cy="3474720"/>
                    </a:xfrm>
                    <a:prstGeom prst="rect">
                      <a:avLst/>
                    </a:prstGeom>
                    <a:noFill/>
                    <a:ln w="9525">
                      <a:noFill/>
                      <a:miter lim="800000"/>
                      <a:headEnd/>
                      <a:tailEnd/>
                    </a:ln>
                  </pic:spPr>
                </pic:pic>
              </a:graphicData>
            </a:graphic>
          </wp:inline>
        </w:drawing>
      </w:r>
    </w:p>
    <w:p w:rsidR="00943B24" w:rsidRPr="00943B24" w:rsidRDefault="00943B24">
      <w:pPr>
        <w:rPr>
          <w:lang w:val="en-CA"/>
        </w:rPr>
      </w:pPr>
    </w:p>
    <w:p w:rsidR="00DA4719" w:rsidRPr="00943B24" w:rsidRDefault="006527FD" w:rsidP="00943B24">
      <w:pPr>
        <w:pStyle w:val="ListParagraph"/>
        <w:numPr>
          <w:ilvl w:val="0"/>
          <w:numId w:val="1"/>
        </w:numPr>
        <w:ind w:firstLineChars="0"/>
        <w:rPr>
          <w:b/>
          <w:sz w:val="24"/>
          <w:szCs w:val="24"/>
          <w:lang w:val="en-CA"/>
        </w:rPr>
      </w:pPr>
      <w:r>
        <w:rPr>
          <w:b/>
          <w:sz w:val="24"/>
          <w:szCs w:val="24"/>
          <w:lang w:val="en-CA"/>
        </w:rPr>
        <w:t>Simulation</w:t>
      </w:r>
      <w:r w:rsidR="0067364D">
        <w:rPr>
          <w:b/>
          <w:sz w:val="24"/>
          <w:szCs w:val="24"/>
          <w:lang w:val="en-CA"/>
        </w:rPr>
        <w:t>s</w:t>
      </w:r>
    </w:p>
    <w:p w:rsidR="00DA4719" w:rsidRDefault="00DA4719">
      <w:pPr>
        <w:rPr>
          <w:lang w:val="en-CA"/>
        </w:rPr>
      </w:pPr>
    </w:p>
    <w:p w:rsidR="00D43C0D" w:rsidRDefault="0070402D" w:rsidP="00F04CF5">
      <w:r>
        <w:rPr>
          <w:lang w:val="en-CA"/>
        </w:rPr>
        <w:t>In this section, we use the "renegotiation of the North American Free Trade Agreement (NAFTA)" (</w:t>
      </w:r>
      <w:proofErr w:type="spellStart"/>
      <w:r>
        <w:rPr>
          <w:lang w:val="en-CA"/>
        </w:rPr>
        <w:t>Ciuriak</w:t>
      </w:r>
      <w:proofErr w:type="spellEnd"/>
      <w:r>
        <w:rPr>
          <w:lang w:val="en-CA"/>
        </w:rPr>
        <w:t xml:space="preserve"> et al, 2017) as a case study to compare the newly adjusted dynamic GTAP and the </w:t>
      </w:r>
      <w:proofErr w:type="spellStart"/>
      <w:r>
        <w:rPr>
          <w:lang w:val="en-CA"/>
        </w:rPr>
        <w:t>GDyn</w:t>
      </w:r>
      <w:proofErr w:type="spellEnd"/>
      <w:r>
        <w:rPr>
          <w:lang w:val="en-CA"/>
        </w:rPr>
        <w:t xml:space="preserve"> models. In </w:t>
      </w:r>
      <w:proofErr w:type="spellStart"/>
      <w:r>
        <w:rPr>
          <w:lang w:val="en-CA"/>
        </w:rPr>
        <w:t>Ciuriak</w:t>
      </w:r>
      <w:proofErr w:type="spellEnd"/>
      <w:r>
        <w:rPr>
          <w:lang w:val="en-CA"/>
        </w:rPr>
        <w:t xml:space="preserve"> </w:t>
      </w:r>
      <w:r w:rsidR="00E64650">
        <w:rPr>
          <w:lang w:val="en-CA"/>
        </w:rPr>
        <w:t xml:space="preserve">et al </w:t>
      </w:r>
      <w:r>
        <w:rPr>
          <w:lang w:val="en-CA"/>
        </w:rPr>
        <w:t xml:space="preserve">paper, </w:t>
      </w:r>
      <w:r>
        <w:t>the authors</w:t>
      </w:r>
      <w:r w:rsidR="00F04CF5" w:rsidRPr="00EE42B1">
        <w:t xml:space="preserve"> evaluate</w:t>
      </w:r>
      <w:r>
        <w:t>d</w:t>
      </w:r>
      <w:r w:rsidR="00F04CF5" w:rsidRPr="00EE42B1">
        <w:t xml:space="preserve"> the </w:t>
      </w:r>
      <w:r w:rsidR="00F04CF5">
        <w:t>trade and economic</w:t>
      </w:r>
      <w:r w:rsidR="00F04CF5" w:rsidRPr="00EE42B1">
        <w:t xml:space="preserve"> </w:t>
      </w:r>
      <w:r w:rsidR="00F04CF5">
        <w:t>impacts</w:t>
      </w:r>
      <w:r w:rsidR="00F04CF5" w:rsidRPr="00EE42B1">
        <w:t xml:space="preserve"> of </w:t>
      </w:r>
      <w:r w:rsidR="00F04CF5">
        <w:t xml:space="preserve">the United States walking away from the NAFTA under three </w:t>
      </w:r>
      <w:r w:rsidR="00F04CF5" w:rsidRPr="00EE42B1">
        <w:t xml:space="preserve">alternative scenarios regarding </w:t>
      </w:r>
      <w:r w:rsidR="00F04CF5">
        <w:t xml:space="preserve">the reaction of Canada and Mexico. </w:t>
      </w:r>
      <w:r>
        <w:t xml:space="preserve">Particularly, in our study, we only focus on </w:t>
      </w:r>
      <w:r w:rsidR="00D43C0D">
        <w:t>the</w:t>
      </w:r>
      <w:r>
        <w:t xml:space="preserve"> first case of their paper, i.e.,</w:t>
      </w:r>
      <w:r w:rsidR="00D43C0D">
        <w:t xml:space="preserve"> implications of the three Parties reverting to World Trade Organization (WTO) rules for trade amongst themselves, including the imposition of most-</w:t>
      </w:r>
      <w:proofErr w:type="spellStart"/>
      <w:r w:rsidR="00D43C0D">
        <w:t>favoured</w:t>
      </w:r>
      <w:proofErr w:type="spellEnd"/>
      <w:r w:rsidR="00D43C0D">
        <w:t xml:space="preserve"> national (MFN) tariffs to all intra-NAFTA trade. </w:t>
      </w:r>
    </w:p>
    <w:p w:rsidR="00217F88" w:rsidRDefault="00217F88" w:rsidP="00F04CF5"/>
    <w:p w:rsidR="004726EA" w:rsidRPr="00217F88" w:rsidRDefault="00217F88" w:rsidP="00F04CF5">
      <w:pPr>
        <w:rPr>
          <w:b/>
          <w:lang w:val="en-CA"/>
        </w:rPr>
      </w:pPr>
      <w:r w:rsidRPr="00217F88">
        <w:rPr>
          <w:b/>
          <w:lang w:val="en-CA"/>
        </w:rPr>
        <w:t>Table 1. GDP and welfare comparison across four scenario.</w:t>
      </w:r>
    </w:p>
    <w:tbl>
      <w:tblPr>
        <w:tblStyle w:val="LightShading-Accent11"/>
        <w:tblW w:w="7240" w:type="dxa"/>
        <w:jc w:val="center"/>
        <w:tblLook w:val="04A0"/>
      </w:tblPr>
      <w:tblGrid>
        <w:gridCol w:w="1480"/>
        <w:gridCol w:w="1389"/>
        <w:gridCol w:w="1491"/>
        <w:gridCol w:w="1440"/>
        <w:gridCol w:w="1440"/>
      </w:tblGrid>
      <w:tr w:rsidR="004726EA" w:rsidRPr="0024046B" w:rsidTr="00A14A80">
        <w:trPr>
          <w:cnfStyle w:val="100000000000"/>
          <w:trHeight w:val="680"/>
          <w:jc w:val="center"/>
        </w:trPr>
        <w:tc>
          <w:tcPr>
            <w:cnfStyle w:val="001000000000"/>
            <w:tcW w:w="1480" w:type="dxa"/>
            <w:noWrap/>
            <w:hideMark/>
          </w:tcPr>
          <w:p w:rsidR="004726EA" w:rsidRPr="0024046B" w:rsidRDefault="004726EA" w:rsidP="004726EA">
            <w:pPr>
              <w:widowControl/>
              <w:jc w:val="left"/>
              <w:rPr>
                <w:rFonts w:ascii="Garamond" w:eastAsia="SimSun" w:hAnsi="Garamond" w:cs="SimSun"/>
                <w:color w:val="000000"/>
                <w:kern w:val="0"/>
                <w:sz w:val="18"/>
                <w:szCs w:val="18"/>
              </w:rPr>
            </w:pPr>
            <w:r w:rsidRPr="0024046B">
              <w:rPr>
                <w:rFonts w:ascii="Garamond" w:eastAsia="SimSun" w:hAnsi="Calibri" w:cs="SimSun"/>
                <w:color w:val="000000"/>
                <w:kern w:val="0"/>
                <w:sz w:val="18"/>
                <w:szCs w:val="18"/>
              </w:rPr>
              <w:t xml:space="preserve">　</w:t>
            </w:r>
          </w:p>
        </w:tc>
        <w:tc>
          <w:tcPr>
            <w:tcW w:w="1389" w:type="dxa"/>
            <w:hideMark/>
          </w:tcPr>
          <w:p w:rsidR="004726EA" w:rsidRPr="0024046B" w:rsidRDefault="00A14A80" w:rsidP="004726EA">
            <w:pPr>
              <w:widowControl/>
              <w:jc w:val="left"/>
              <w:cnfStyle w:val="100000000000"/>
              <w:rPr>
                <w:rFonts w:ascii="Garamond" w:eastAsia="SimSun" w:hAnsi="Garamond" w:cs="Times New Roman"/>
                <w:color w:val="000000"/>
                <w:kern w:val="0"/>
                <w:sz w:val="18"/>
                <w:szCs w:val="18"/>
              </w:rPr>
            </w:pPr>
            <w:r>
              <w:rPr>
                <w:rFonts w:ascii="Garamond" w:eastAsia="SimSun" w:hAnsi="Garamond" w:cs="Times New Roman"/>
                <w:color w:val="000000"/>
                <w:kern w:val="0"/>
                <w:sz w:val="18"/>
                <w:szCs w:val="18"/>
              </w:rPr>
              <w:t>(1) </w:t>
            </w:r>
            <w:proofErr w:type="spellStart"/>
            <w:r>
              <w:rPr>
                <w:rFonts w:ascii="Garamond" w:eastAsia="SimSun" w:hAnsi="Garamond" w:cs="Times New Roman"/>
                <w:color w:val="000000"/>
                <w:kern w:val="0"/>
                <w:sz w:val="18"/>
                <w:szCs w:val="18"/>
              </w:rPr>
              <w:t>G</w:t>
            </w:r>
            <w:r>
              <w:rPr>
                <w:rFonts w:ascii="Garamond" w:hAnsi="Garamond" w:cs="Times New Roman" w:hint="eastAsia"/>
                <w:color w:val="000000"/>
                <w:kern w:val="0"/>
                <w:sz w:val="18"/>
                <w:szCs w:val="18"/>
              </w:rPr>
              <w:t>D</w:t>
            </w:r>
            <w:r w:rsidR="004726EA" w:rsidRPr="0024046B">
              <w:rPr>
                <w:rFonts w:ascii="Garamond" w:eastAsia="SimSun" w:hAnsi="Garamond" w:cs="Times New Roman"/>
                <w:color w:val="000000"/>
                <w:kern w:val="0"/>
                <w:sz w:val="18"/>
                <w:szCs w:val="18"/>
              </w:rPr>
              <w:t>yn</w:t>
            </w:r>
            <w:proofErr w:type="spellEnd"/>
            <w:r w:rsidR="004726EA" w:rsidRPr="0024046B">
              <w:rPr>
                <w:rFonts w:ascii="Garamond" w:eastAsia="SimSun" w:hAnsi="Garamond" w:cs="Times New Roman"/>
                <w:color w:val="000000"/>
                <w:kern w:val="0"/>
                <w:sz w:val="18"/>
                <w:szCs w:val="18"/>
              </w:rPr>
              <w:t xml:space="preserve"> </w:t>
            </w:r>
          </w:p>
          <w:p w:rsidR="004726EA" w:rsidRPr="0024046B" w:rsidRDefault="004726EA" w:rsidP="004726EA">
            <w:pPr>
              <w:widowControl/>
              <w:jc w:val="left"/>
              <w:cnfStyle w:val="100000000000"/>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(Fixed L)</w:t>
            </w:r>
          </w:p>
        </w:tc>
        <w:tc>
          <w:tcPr>
            <w:tcW w:w="1491" w:type="dxa"/>
            <w:hideMark/>
          </w:tcPr>
          <w:p w:rsidR="004726EA" w:rsidRPr="0024046B" w:rsidRDefault="00A14A80" w:rsidP="004726EA">
            <w:pPr>
              <w:widowControl/>
              <w:jc w:val="left"/>
              <w:cnfStyle w:val="100000000000"/>
              <w:rPr>
                <w:rFonts w:ascii="Garamond" w:eastAsia="SimSun" w:hAnsi="Garamond" w:cs="Times New Roman"/>
                <w:color w:val="000000"/>
                <w:kern w:val="0"/>
                <w:sz w:val="18"/>
                <w:szCs w:val="18"/>
              </w:rPr>
            </w:pPr>
            <w:r>
              <w:rPr>
                <w:rFonts w:ascii="Garamond" w:eastAsia="SimSun" w:hAnsi="Garamond" w:cs="Times New Roman"/>
                <w:color w:val="000000"/>
                <w:kern w:val="0"/>
                <w:sz w:val="18"/>
                <w:szCs w:val="18"/>
              </w:rPr>
              <w:t xml:space="preserve">(2) </w:t>
            </w:r>
            <w:proofErr w:type="spellStart"/>
            <w:r>
              <w:rPr>
                <w:rFonts w:ascii="Garamond" w:eastAsia="SimSun" w:hAnsi="Garamond" w:cs="Times New Roman"/>
                <w:color w:val="000000"/>
                <w:kern w:val="0"/>
                <w:sz w:val="18"/>
                <w:szCs w:val="18"/>
              </w:rPr>
              <w:t>G</w:t>
            </w:r>
            <w:r>
              <w:rPr>
                <w:rFonts w:ascii="Garamond" w:hAnsi="Garamond" w:cs="Times New Roman" w:hint="eastAsia"/>
                <w:color w:val="000000"/>
                <w:kern w:val="0"/>
                <w:sz w:val="18"/>
                <w:szCs w:val="18"/>
              </w:rPr>
              <w:t>D</w:t>
            </w:r>
            <w:r w:rsidR="004726EA" w:rsidRPr="0024046B">
              <w:rPr>
                <w:rFonts w:ascii="Garamond" w:eastAsia="SimSun" w:hAnsi="Garamond" w:cs="Times New Roman"/>
                <w:color w:val="000000"/>
                <w:kern w:val="0"/>
                <w:sz w:val="18"/>
                <w:szCs w:val="18"/>
              </w:rPr>
              <w:t>yn</w:t>
            </w:r>
            <w:proofErr w:type="spellEnd"/>
            <w:r w:rsidR="004726EA" w:rsidRPr="0024046B">
              <w:rPr>
                <w:rFonts w:ascii="Garamond" w:eastAsia="SimSun" w:hAnsi="Garamond" w:cs="Times New Roman"/>
                <w:color w:val="000000"/>
                <w:kern w:val="0"/>
                <w:sz w:val="18"/>
                <w:szCs w:val="18"/>
              </w:rPr>
              <w:t xml:space="preserve"> (Fixed DKHAT)</w:t>
            </w:r>
          </w:p>
        </w:tc>
        <w:tc>
          <w:tcPr>
            <w:tcW w:w="1440" w:type="dxa"/>
            <w:hideMark/>
          </w:tcPr>
          <w:p w:rsidR="004726EA" w:rsidRPr="0024046B" w:rsidRDefault="004726EA" w:rsidP="00217F88">
            <w:pPr>
              <w:widowControl/>
              <w:jc w:val="left"/>
              <w:cnfStyle w:val="100000000000"/>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 xml:space="preserve">(3) </w:t>
            </w:r>
            <w:proofErr w:type="spellStart"/>
            <w:r w:rsidR="00A14A80">
              <w:rPr>
                <w:rFonts w:ascii="Garamond" w:eastAsia="SimSun" w:hAnsi="Garamond" w:cs="Times New Roman"/>
                <w:color w:val="000000"/>
                <w:kern w:val="0"/>
                <w:sz w:val="18"/>
                <w:szCs w:val="18"/>
              </w:rPr>
              <w:t>GD</w:t>
            </w:r>
            <w:r w:rsidR="00A14A80">
              <w:rPr>
                <w:rFonts w:ascii="Garamond" w:hAnsi="Garamond" w:cs="Times New Roman" w:hint="eastAsia"/>
                <w:color w:val="000000"/>
                <w:kern w:val="0"/>
                <w:sz w:val="18"/>
                <w:szCs w:val="18"/>
              </w:rPr>
              <w:t>yn</w:t>
            </w:r>
            <w:r w:rsidR="00A14A80">
              <w:rPr>
                <w:rFonts w:ascii="Garamond" w:eastAsia="SimSun" w:hAnsi="Garamond" w:cs="Times New Roman"/>
                <w:color w:val="000000"/>
                <w:kern w:val="0"/>
                <w:sz w:val="18"/>
                <w:szCs w:val="18"/>
              </w:rPr>
              <w:t>ISM</w:t>
            </w:r>
            <w:proofErr w:type="spellEnd"/>
            <w:r w:rsidR="00217F88" w:rsidRPr="0024046B">
              <w:rPr>
                <w:rFonts w:ascii="Garamond" w:eastAsia="SimSun" w:hAnsi="Garamond" w:cs="Times New Roman"/>
                <w:color w:val="000000"/>
                <w:kern w:val="0"/>
                <w:sz w:val="18"/>
                <w:szCs w:val="18"/>
              </w:rPr>
              <w:t xml:space="preserve"> (</w:t>
            </w:r>
            <w:r w:rsidRPr="0024046B">
              <w:rPr>
                <w:rFonts w:ascii="Garamond" w:eastAsia="SimSun" w:hAnsi="Garamond" w:cs="Times New Roman"/>
                <w:color w:val="000000"/>
                <w:kern w:val="0"/>
                <w:sz w:val="18"/>
                <w:szCs w:val="18"/>
              </w:rPr>
              <w:t>Fixed L)</w:t>
            </w:r>
          </w:p>
        </w:tc>
        <w:tc>
          <w:tcPr>
            <w:tcW w:w="1440" w:type="dxa"/>
            <w:hideMark/>
          </w:tcPr>
          <w:p w:rsidR="004726EA" w:rsidRPr="0024046B" w:rsidRDefault="004726EA" w:rsidP="004726EA">
            <w:pPr>
              <w:widowControl/>
              <w:jc w:val="left"/>
              <w:cnfStyle w:val="100000000000"/>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 xml:space="preserve">(4) </w:t>
            </w:r>
            <w:proofErr w:type="spellStart"/>
            <w:r w:rsidR="00A14A80">
              <w:rPr>
                <w:rFonts w:ascii="Garamond" w:eastAsia="SimSun" w:hAnsi="Garamond" w:cs="Times New Roman"/>
                <w:color w:val="000000"/>
                <w:kern w:val="0"/>
                <w:sz w:val="18"/>
                <w:szCs w:val="18"/>
              </w:rPr>
              <w:t>GD</w:t>
            </w:r>
            <w:r w:rsidR="00A14A80">
              <w:rPr>
                <w:rFonts w:ascii="Garamond" w:hAnsi="Garamond" w:cs="Times New Roman" w:hint="eastAsia"/>
                <w:color w:val="000000"/>
                <w:kern w:val="0"/>
                <w:sz w:val="18"/>
                <w:szCs w:val="18"/>
              </w:rPr>
              <w:t>yn</w:t>
            </w:r>
            <w:r w:rsidR="00A14A80">
              <w:rPr>
                <w:rFonts w:ascii="Garamond" w:eastAsia="SimSun" w:hAnsi="Garamond" w:cs="Times New Roman"/>
                <w:color w:val="000000"/>
                <w:kern w:val="0"/>
                <w:sz w:val="18"/>
                <w:szCs w:val="18"/>
              </w:rPr>
              <w:t>ISM</w:t>
            </w:r>
            <w:proofErr w:type="spellEnd"/>
            <w:r w:rsidRPr="0024046B">
              <w:rPr>
                <w:rFonts w:ascii="Garamond" w:eastAsia="SimSun" w:hAnsi="Garamond" w:cs="Times New Roman"/>
                <w:color w:val="000000"/>
                <w:kern w:val="0"/>
                <w:sz w:val="18"/>
                <w:szCs w:val="18"/>
              </w:rPr>
              <w:t xml:space="preserve"> (Sticky-Wage)</w:t>
            </w:r>
          </w:p>
        </w:tc>
      </w:tr>
      <w:tr w:rsidR="004726EA" w:rsidRPr="0024046B" w:rsidTr="004726EA">
        <w:trPr>
          <w:cnfStyle w:val="000000100000"/>
          <w:trHeight w:val="285"/>
          <w:jc w:val="center"/>
        </w:trPr>
        <w:tc>
          <w:tcPr>
            <w:cnfStyle w:val="001000000000"/>
            <w:tcW w:w="7240" w:type="dxa"/>
            <w:gridSpan w:val="5"/>
            <w:noWrap/>
            <w:hideMark/>
          </w:tcPr>
          <w:p w:rsidR="004726EA" w:rsidRPr="0024046B" w:rsidRDefault="004726EA" w:rsidP="004726EA">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Real GDP (% Change) </w:t>
            </w:r>
          </w:p>
        </w:tc>
      </w:tr>
      <w:tr w:rsidR="004726EA" w:rsidRPr="0024046B" w:rsidTr="00A14A80">
        <w:trPr>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Canada</w:t>
            </w:r>
          </w:p>
        </w:tc>
        <w:tc>
          <w:tcPr>
            <w:tcW w:w="1389"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-0.409 </w:t>
            </w:r>
          </w:p>
        </w:tc>
        <w:tc>
          <w:tcPr>
            <w:tcW w:w="1491"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-0.258 </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-0.200 </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-0.235 </w:t>
            </w:r>
          </w:p>
        </w:tc>
      </w:tr>
      <w:tr w:rsidR="004726EA" w:rsidRPr="0024046B" w:rsidTr="00A14A80">
        <w:trPr>
          <w:cnfStyle w:val="000000100000"/>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United States</w:t>
            </w:r>
          </w:p>
        </w:tc>
        <w:tc>
          <w:tcPr>
            <w:tcW w:w="1389"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-0.028 </w:t>
            </w:r>
          </w:p>
        </w:tc>
        <w:tc>
          <w:tcPr>
            <w:tcW w:w="1491"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0.004 </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-0.029 </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-0.046 </w:t>
            </w:r>
          </w:p>
        </w:tc>
      </w:tr>
      <w:tr w:rsidR="004726EA" w:rsidRPr="0024046B" w:rsidTr="00A14A80">
        <w:trPr>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Mexico</w:t>
            </w:r>
          </w:p>
        </w:tc>
        <w:tc>
          <w:tcPr>
            <w:tcW w:w="1389" w:type="dxa"/>
            <w:noWrap/>
            <w:hideMark/>
          </w:tcPr>
          <w:p w:rsidR="004726EA" w:rsidRPr="00852194" w:rsidRDefault="004726EA" w:rsidP="004726EA">
            <w:pPr>
              <w:widowControl/>
              <w:jc w:val="right"/>
              <w:cnfStyle w:val="000000000000"/>
              <w:rPr>
                <w:rFonts w:ascii="Garamond" w:eastAsia="SimSun" w:hAnsi="Garamond" w:cs="SimSun"/>
                <w:b/>
                <w:color w:val="C00000"/>
                <w:kern w:val="0"/>
                <w:sz w:val="18"/>
                <w:szCs w:val="18"/>
              </w:rPr>
            </w:pPr>
            <w:r w:rsidRPr="00852194">
              <w:rPr>
                <w:rFonts w:ascii="Garamond" w:eastAsia="SimSun" w:hAnsi="Garamond" w:cs="SimSun"/>
                <w:b/>
                <w:color w:val="C00000"/>
                <w:kern w:val="0"/>
                <w:sz w:val="18"/>
                <w:szCs w:val="18"/>
              </w:rPr>
              <w:t xml:space="preserve">-3.957 </w:t>
            </w:r>
          </w:p>
        </w:tc>
        <w:tc>
          <w:tcPr>
            <w:tcW w:w="1491" w:type="dxa"/>
            <w:noWrap/>
            <w:hideMark/>
          </w:tcPr>
          <w:p w:rsidR="004726EA" w:rsidRPr="00852194" w:rsidRDefault="004726EA" w:rsidP="004726EA">
            <w:pPr>
              <w:widowControl/>
              <w:jc w:val="right"/>
              <w:cnfStyle w:val="000000000000"/>
              <w:rPr>
                <w:rFonts w:ascii="Garamond" w:eastAsia="SimSun" w:hAnsi="Garamond" w:cs="SimSun"/>
                <w:b/>
                <w:color w:val="C00000"/>
                <w:kern w:val="0"/>
                <w:sz w:val="18"/>
                <w:szCs w:val="18"/>
              </w:rPr>
            </w:pPr>
            <w:r w:rsidRPr="00852194">
              <w:rPr>
                <w:rFonts w:ascii="Garamond" w:eastAsia="SimSun" w:hAnsi="Garamond" w:cs="SimSun"/>
                <w:b/>
                <w:color w:val="C00000"/>
                <w:kern w:val="0"/>
                <w:sz w:val="18"/>
                <w:szCs w:val="18"/>
              </w:rPr>
              <w:t xml:space="preserve">-1.622 </w:t>
            </w:r>
          </w:p>
        </w:tc>
        <w:tc>
          <w:tcPr>
            <w:tcW w:w="1440" w:type="dxa"/>
            <w:noWrap/>
            <w:hideMark/>
          </w:tcPr>
          <w:p w:rsidR="004726EA" w:rsidRPr="00852194" w:rsidRDefault="004726EA" w:rsidP="004726EA">
            <w:pPr>
              <w:widowControl/>
              <w:jc w:val="right"/>
              <w:cnfStyle w:val="000000000000"/>
              <w:rPr>
                <w:rFonts w:ascii="Garamond" w:eastAsia="SimSun" w:hAnsi="Garamond" w:cs="SimSun"/>
                <w:b/>
                <w:color w:val="C00000"/>
                <w:kern w:val="0"/>
                <w:sz w:val="18"/>
                <w:szCs w:val="18"/>
              </w:rPr>
            </w:pPr>
            <w:r w:rsidRPr="00852194">
              <w:rPr>
                <w:rFonts w:ascii="Garamond" w:eastAsia="SimSun" w:hAnsi="Garamond" w:cs="SimSun"/>
                <w:b/>
                <w:color w:val="C00000"/>
                <w:kern w:val="0"/>
                <w:sz w:val="18"/>
                <w:szCs w:val="18"/>
              </w:rPr>
              <w:t xml:space="preserve">-1.207 </w:t>
            </w:r>
          </w:p>
        </w:tc>
        <w:tc>
          <w:tcPr>
            <w:tcW w:w="1440" w:type="dxa"/>
            <w:noWrap/>
            <w:hideMark/>
          </w:tcPr>
          <w:p w:rsidR="004726EA" w:rsidRPr="00852194" w:rsidRDefault="004726EA" w:rsidP="004726EA">
            <w:pPr>
              <w:widowControl/>
              <w:jc w:val="right"/>
              <w:cnfStyle w:val="000000000000"/>
              <w:rPr>
                <w:rFonts w:ascii="Garamond" w:eastAsia="SimSun" w:hAnsi="Garamond" w:cs="SimSun"/>
                <w:b/>
                <w:color w:val="C00000"/>
                <w:kern w:val="0"/>
                <w:sz w:val="18"/>
                <w:szCs w:val="18"/>
              </w:rPr>
            </w:pPr>
            <w:r w:rsidRPr="00852194">
              <w:rPr>
                <w:rFonts w:ascii="Garamond" w:eastAsia="SimSun" w:hAnsi="Garamond" w:cs="SimSun"/>
                <w:b/>
                <w:color w:val="C00000"/>
                <w:kern w:val="0"/>
                <w:sz w:val="18"/>
                <w:szCs w:val="18"/>
              </w:rPr>
              <w:t xml:space="preserve">-1.421 </w:t>
            </w:r>
          </w:p>
        </w:tc>
      </w:tr>
      <w:tr w:rsidR="004726EA" w:rsidRPr="0024046B" w:rsidTr="00A14A80">
        <w:trPr>
          <w:cnfStyle w:val="000000100000"/>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China</w:t>
            </w:r>
          </w:p>
        </w:tc>
        <w:tc>
          <w:tcPr>
            <w:tcW w:w="1389"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0.072 </w:t>
            </w:r>
          </w:p>
        </w:tc>
        <w:tc>
          <w:tcPr>
            <w:tcW w:w="1491"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0.029 </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0.026 </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0.030 </w:t>
            </w:r>
          </w:p>
        </w:tc>
      </w:tr>
      <w:tr w:rsidR="004726EA" w:rsidRPr="0024046B" w:rsidTr="00A14A80">
        <w:trPr>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EU28</w:t>
            </w:r>
          </w:p>
        </w:tc>
        <w:tc>
          <w:tcPr>
            <w:tcW w:w="1389"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0.085 </w:t>
            </w:r>
          </w:p>
        </w:tc>
        <w:tc>
          <w:tcPr>
            <w:tcW w:w="1491"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0.028 </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0.021 </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0.028 </w:t>
            </w:r>
          </w:p>
        </w:tc>
      </w:tr>
      <w:tr w:rsidR="004726EA" w:rsidRPr="0024046B" w:rsidTr="00A14A80">
        <w:trPr>
          <w:cnfStyle w:val="000000100000"/>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ROW</w:t>
            </w:r>
          </w:p>
        </w:tc>
        <w:tc>
          <w:tcPr>
            <w:tcW w:w="1389"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0.102 </w:t>
            </w:r>
          </w:p>
        </w:tc>
        <w:tc>
          <w:tcPr>
            <w:tcW w:w="1491"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0.036 </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0.027 </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0.032 </w:t>
            </w:r>
          </w:p>
        </w:tc>
      </w:tr>
      <w:tr w:rsidR="004726EA" w:rsidRPr="0024046B" w:rsidTr="004726EA">
        <w:trPr>
          <w:trHeight w:val="285"/>
          <w:jc w:val="center"/>
        </w:trPr>
        <w:tc>
          <w:tcPr>
            <w:cnfStyle w:val="001000000000"/>
            <w:tcW w:w="7240" w:type="dxa"/>
            <w:gridSpan w:val="5"/>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Welfare (USD Millions)</w:t>
            </w:r>
          </w:p>
        </w:tc>
      </w:tr>
      <w:tr w:rsidR="004726EA" w:rsidRPr="0024046B" w:rsidTr="00A14A80">
        <w:trPr>
          <w:cnfStyle w:val="000000100000"/>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Canada</w:t>
            </w:r>
          </w:p>
        </w:tc>
        <w:tc>
          <w:tcPr>
            <w:tcW w:w="1389"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-5,326</w:t>
            </w:r>
          </w:p>
        </w:tc>
        <w:tc>
          <w:tcPr>
            <w:tcW w:w="1491"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-4,246</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-3,654</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-4,093</w:t>
            </w:r>
          </w:p>
        </w:tc>
      </w:tr>
      <w:tr w:rsidR="004726EA" w:rsidRPr="0024046B" w:rsidTr="00A14A80">
        <w:trPr>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United States</w:t>
            </w:r>
          </w:p>
        </w:tc>
        <w:tc>
          <w:tcPr>
            <w:tcW w:w="1389"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-9,145</w:t>
            </w:r>
          </w:p>
        </w:tc>
        <w:tc>
          <w:tcPr>
            <w:tcW w:w="1491"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-4,581</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-3,109</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-5,606</w:t>
            </w:r>
          </w:p>
        </w:tc>
      </w:tr>
      <w:tr w:rsidR="004726EA" w:rsidRPr="0024046B" w:rsidTr="00A14A80">
        <w:trPr>
          <w:cnfStyle w:val="000000100000"/>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lastRenderedPageBreak/>
              <w:t>Mexico</w:t>
            </w:r>
          </w:p>
        </w:tc>
        <w:tc>
          <w:tcPr>
            <w:tcW w:w="1389"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-19,046</w:t>
            </w:r>
          </w:p>
        </w:tc>
        <w:tc>
          <w:tcPr>
            <w:tcW w:w="1491"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-15,130</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-13,997</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-16,509</w:t>
            </w:r>
          </w:p>
        </w:tc>
      </w:tr>
      <w:tr w:rsidR="004726EA" w:rsidRPr="0024046B" w:rsidTr="00A14A80">
        <w:trPr>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China</w:t>
            </w:r>
          </w:p>
        </w:tc>
        <w:tc>
          <w:tcPr>
            <w:tcW w:w="1389"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1,242</w:t>
            </w:r>
          </w:p>
        </w:tc>
        <w:tc>
          <w:tcPr>
            <w:tcW w:w="1491"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1,506</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3,000</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3,242</w:t>
            </w:r>
          </w:p>
        </w:tc>
      </w:tr>
      <w:tr w:rsidR="004726EA" w:rsidRPr="0024046B" w:rsidTr="00A14A80">
        <w:trPr>
          <w:cnfStyle w:val="000000100000"/>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EU28</w:t>
            </w:r>
          </w:p>
        </w:tc>
        <w:tc>
          <w:tcPr>
            <w:tcW w:w="1389"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5,692</w:t>
            </w:r>
          </w:p>
        </w:tc>
        <w:tc>
          <w:tcPr>
            <w:tcW w:w="1491"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2,579</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1,702</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2,712</w:t>
            </w:r>
          </w:p>
        </w:tc>
      </w:tr>
      <w:tr w:rsidR="004726EA" w:rsidRPr="0024046B" w:rsidTr="00A14A80">
        <w:trPr>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ROW</w:t>
            </w:r>
          </w:p>
        </w:tc>
        <w:tc>
          <w:tcPr>
            <w:tcW w:w="1389"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16,388</w:t>
            </w:r>
          </w:p>
        </w:tc>
        <w:tc>
          <w:tcPr>
            <w:tcW w:w="1491"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8,982</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5,609</w:t>
            </w:r>
          </w:p>
        </w:tc>
        <w:tc>
          <w:tcPr>
            <w:tcW w:w="1440" w:type="dxa"/>
            <w:noWrap/>
            <w:hideMark/>
          </w:tcPr>
          <w:p w:rsidR="004726EA" w:rsidRPr="0024046B" w:rsidRDefault="004726EA" w:rsidP="004726EA">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6,343</w:t>
            </w:r>
          </w:p>
        </w:tc>
      </w:tr>
      <w:tr w:rsidR="004726EA" w:rsidRPr="0024046B" w:rsidTr="00A14A80">
        <w:trPr>
          <w:cnfStyle w:val="000000100000"/>
          <w:trHeight w:val="285"/>
          <w:jc w:val="center"/>
        </w:trPr>
        <w:tc>
          <w:tcPr>
            <w:cnfStyle w:val="001000000000"/>
            <w:tcW w:w="1480" w:type="dxa"/>
            <w:noWrap/>
            <w:hideMark/>
          </w:tcPr>
          <w:p w:rsidR="004726EA" w:rsidRPr="0024046B" w:rsidRDefault="004726EA" w:rsidP="004726EA">
            <w:pPr>
              <w:widowControl/>
              <w:jc w:val="left"/>
              <w:rPr>
                <w:rFonts w:ascii="Garamond" w:eastAsia="SimSun" w:hAnsi="Garamond" w:cs="Times New Roman"/>
                <w:color w:val="000000"/>
                <w:kern w:val="0"/>
                <w:sz w:val="18"/>
                <w:szCs w:val="18"/>
              </w:rPr>
            </w:pPr>
            <w:r w:rsidRPr="0024046B">
              <w:rPr>
                <w:rFonts w:ascii="Garamond" w:eastAsia="SimSun" w:hAnsi="Garamond" w:cs="Times New Roman"/>
                <w:color w:val="000000"/>
                <w:kern w:val="0"/>
                <w:sz w:val="18"/>
                <w:szCs w:val="18"/>
              </w:rPr>
              <w:t>Memo: NAFTA</w:t>
            </w:r>
          </w:p>
        </w:tc>
        <w:tc>
          <w:tcPr>
            <w:tcW w:w="1389"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-33,517</w:t>
            </w:r>
          </w:p>
        </w:tc>
        <w:tc>
          <w:tcPr>
            <w:tcW w:w="1491"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-23,956</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-20,760</w:t>
            </w:r>
          </w:p>
        </w:tc>
        <w:tc>
          <w:tcPr>
            <w:tcW w:w="1440" w:type="dxa"/>
            <w:noWrap/>
            <w:hideMark/>
          </w:tcPr>
          <w:p w:rsidR="004726EA" w:rsidRPr="0024046B" w:rsidRDefault="004726EA" w:rsidP="004726EA">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-26,209</w:t>
            </w:r>
          </w:p>
        </w:tc>
      </w:tr>
    </w:tbl>
    <w:p w:rsidR="004726EA" w:rsidRDefault="00217F88" w:rsidP="00F04CF5">
      <w:pPr>
        <w:rPr>
          <w:lang w:val="en-CA"/>
        </w:rPr>
      </w:pPr>
      <w:r>
        <w:rPr>
          <w:lang w:val="en-CA"/>
        </w:rPr>
        <w:tab/>
        <w:t>source:</w:t>
      </w:r>
      <w:r>
        <w:rPr>
          <w:rFonts w:hint="eastAsia"/>
          <w:lang w:val="en-CA"/>
        </w:rPr>
        <w:t xml:space="preserve"> Calculation</w:t>
      </w:r>
      <w:r>
        <w:rPr>
          <w:lang w:val="en-CA"/>
        </w:rPr>
        <w:t>s</w:t>
      </w:r>
      <w:r>
        <w:rPr>
          <w:rFonts w:hint="eastAsia"/>
          <w:lang w:val="en-CA"/>
        </w:rPr>
        <w:t xml:space="preserve"> by </w:t>
      </w:r>
      <w:r>
        <w:rPr>
          <w:lang w:val="en-CA"/>
        </w:rPr>
        <w:t>authors</w:t>
      </w:r>
    </w:p>
    <w:p w:rsidR="004726EA" w:rsidRPr="004726EA" w:rsidRDefault="004726EA" w:rsidP="00F04CF5">
      <w:pPr>
        <w:rPr>
          <w:lang w:val="en-CA"/>
        </w:rPr>
      </w:pPr>
    </w:p>
    <w:p w:rsidR="004726EA" w:rsidRPr="004726EA" w:rsidRDefault="00217F88" w:rsidP="00F04CF5">
      <w:pPr>
        <w:rPr>
          <w:lang w:val="en-CA"/>
        </w:rPr>
      </w:pPr>
      <w:r>
        <w:rPr>
          <w:rFonts w:hint="eastAsia"/>
          <w:lang w:val="en-CA"/>
        </w:rPr>
        <w:t xml:space="preserve">Table 1 shows that the results from </w:t>
      </w:r>
      <w:proofErr w:type="spellStart"/>
      <w:r>
        <w:rPr>
          <w:rFonts w:hint="eastAsia"/>
          <w:lang w:val="en-CA"/>
        </w:rPr>
        <w:t>GDyn</w:t>
      </w:r>
      <w:proofErr w:type="spellEnd"/>
      <w:r>
        <w:rPr>
          <w:rFonts w:hint="eastAsia"/>
          <w:lang w:val="en-CA"/>
        </w:rPr>
        <w:t xml:space="preserve"> model </w:t>
      </w:r>
      <w:r w:rsidR="0077675C">
        <w:rPr>
          <w:lang w:val="en-CA"/>
        </w:rPr>
        <w:t xml:space="preserve">(2nd column, </w:t>
      </w:r>
      <w:proofErr w:type="spellStart"/>
      <w:r w:rsidR="0077675C">
        <w:rPr>
          <w:lang w:val="en-CA"/>
        </w:rPr>
        <w:t>GDyn</w:t>
      </w:r>
      <w:proofErr w:type="spellEnd"/>
      <w:r w:rsidR="0077675C">
        <w:rPr>
          <w:lang w:val="en-CA"/>
        </w:rPr>
        <w:t xml:space="preserve"> with Fixed Labour) </w:t>
      </w:r>
      <w:r>
        <w:rPr>
          <w:rFonts w:hint="eastAsia"/>
          <w:lang w:val="en-CA"/>
        </w:rPr>
        <w:t xml:space="preserve">are 2-4 times </w:t>
      </w:r>
      <w:r w:rsidR="0067364D">
        <w:rPr>
          <w:lang w:val="en-CA"/>
        </w:rPr>
        <w:t>as big as</w:t>
      </w:r>
      <w:r>
        <w:rPr>
          <w:lang w:val="en-CA"/>
        </w:rPr>
        <w:t xml:space="preserve"> the ones from </w:t>
      </w:r>
      <w:proofErr w:type="spellStart"/>
      <w:r w:rsidR="00A14A80">
        <w:rPr>
          <w:lang w:val="en-CA"/>
        </w:rPr>
        <w:t>GD</w:t>
      </w:r>
      <w:r w:rsidR="00A14A80">
        <w:rPr>
          <w:rFonts w:hint="eastAsia"/>
          <w:lang w:val="en-CA"/>
        </w:rPr>
        <w:t>yn</w:t>
      </w:r>
      <w:r w:rsidR="00A14A80">
        <w:rPr>
          <w:lang w:val="en-CA"/>
        </w:rPr>
        <w:t>ISM</w:t>
      </w:r>
      <w:proofErr w:type="spellEnd"/>
      <w:r>
        <w:rPr>
          <w:lang w:val="en-CA"/>
        </w:rPr>
        <w:t xml:space="preserve"> model</w:t>
      </w:r>
      <w:r w:rsidR="0077675C">
        <w:rPr>
          <w:lang w:val="en-CA"/>
        </w:rPr>
        <w:t xml:space="preserve"> (last two columns)</w:t>
      </w:r>
      <w:r>
        <w:rPr>
          <w:lang w:val="en-CA"/>
        </w:rPr>
        <w:t xml:space="preserve">. </w:t>
      </w:r>
      <w:r w:rsidR="00516D88">
        <w:rPr>
          <w:lang w:val="en-CA"/>
        </w:rPr>
        <w:t xml:space="preserve">The </w:t>
      </w:r>
      <w:proofErr w:type="spellStart"/>
      <w:r w:rsidR="00516D88">
        <w:rPr>
          <w:lang w:val="en-CA"/>
        </w:rPr>
        <w:t>GDyn</w:t>
      </w:r>
      <w:proofErr w:type="spellEnd"/>
      <w:r w:rsidR="00516D88">
        <w:rPr>
          <w:lang w:val="en-CA"/>
        </w:rPr>
        <w:t xml:space="preserve"> model with fix</w:t>
      </w:r>
      <w:r w:rsidR="0067364D">
        <w:rPr>
          <w:lang w:val="en-CA"/>
        </w:rPr>
        <w:t>ed</w:t>
      </w:r>
      <w:r w:rsidR="00516D88">
        <w:rPr>
          <w:lang w:val="en-CA"/>
        </w:rPr>
        <w:t xml:space="preserve"> labour shows that reverting NAFTA will cost Mexico almost 4% lost in its real GDP, which is </w:t>
      </w:r>
      <w:r w:rsidR="00E33D26">
        <w:rPr>
          <w:lang w:val="en-CA"/>
        </w:rPr>
        <w:t>substantially</w:t>
      </w:r>
      <w:r w:rsidR="00516D88">
        <w:rPr>
          <w:lang w:val="en-CA"/>
        </w:rPr>
        <w:t xml:space="preserve"> bigger than </w:t>
      </w:r>
      <w:r w:rsidR="0067364D">
        <w:rPr>
          <w:lang w:val="en-CA"/>
        </w:rPr>
        <w:t xml:space="preserve">one from </w:t>
      </w:r>
      <w:r w:rsidR="00516D88">
        <w:rPr>
          <w:lang w:val="en-CA"/>
        </w:rPr>
        <w:t xml:space="preserve">the </w:t>
      </w:r>
      <w:proofErr w:type="spellStart"/>
      <w:r w:rsidR="00A14A80">
        <w:rPr>
          <w:lang w:val="en-CA"/>
        </w:rPr>
        <w:t>GD</w:t>
      </w:r>
      <w:r w:rsidR="00A14A80">
        <w:rPr>
          <w:rFonts w:hint="eastAsia"/>
          <w:lang w:val="en-CA"/>
        </w:rPr>
        <w:t>yn</w:t>
      </w:r>
      <w:r w:rsidR="00A14A80">
        <w:rPr>
          <w:lang w:val="en-CA"/>
        </w:rPr>
        <w:t>ISM</w:t>
      </w:r>
      <w:proofErr w:type="spellEnd"/>
      <w:r w:rsidR="00516D88">
        <w:rPr>
          <w:lang w:val="en-CA"/>
        </w:rPr>
        <w:t xml:space="preserve"> model with a </w:t>
      </w:r>
      <w:r w:rsidR="00E33D26">
        <w:rPr>
          <w:lang w:val="en-CA"/>
        </w:rPr>
        <w:t xml:space="preserve">USAGE-type investment function (loosing 1.2% instead). </w:t>
      </w:r>
      <w:r w:rsidR="007E62C4">
        <w:rPr>
          <w:lang w:val="en-CA"/>
        </w:rPr>
        <w:t>The two model</w:t>
      </w:r>
      <w:r w:rsidR="0077675C">
        <w:rPr>
          <w:lang w:val="en-CA"/>
        </w:rPr>
        <w:t>s</w:t>
      </w:r>
      <w:r w:rsidR="007E62C4">
        <w:rPr>
          <w:lang w:val="en-CA"/>
        </w:rPr>
        <w:t xml:space="preserve"> use the same </w:t>
      </w:r>
      <w:r w:rsidR="0077675C">
        <w:rPr>
          <w:lang w:val="en-CA"/>
        </w:rPr>
        <w:t xml:space="preserve">shocks and the </w:t>
      </w:r>
      <w:r w:rsidR="007E62C4">
        <w:rPr>
          <w:lang w:val="en-CA"/>
        </w:rPr>
        <w:t xml:space="preserve">database except the </w:t>
      </w:r>
      <w:proofErr w:type="spellStart"/>
      <w:r w:rsidR="00A14A80">
        <w:rPr>
          <w:lang w:val="en-CA"/>
        </w:rPr>
        <w:t>GD</w:t>
      </w:r>
      <w:r w:rsidR="00A14A80">
        <w:rPr>
          <w:rFonts w:hint="eastAsia"/>
          <w:lang w:val="en-CA"/>
        </w:rPr>
        <w:t>yn</w:t>
      </w:r>
      <w:r w:rsidR="00A14A80">
        <w:rPr>
          <w:lang w:val="en-CA"/>
        </w:rPr>
        <w:t>ISM</w:t>
      </w:r>
      <w:proofErr w:type="spellEnd"/>
      <w:r w:rsidR="007E62C4">
        <w:rPr>
          <w:lang w:val="en-CA"/>
        </w:rPr>
        <w:t xml:space="preserve"> model has the sector-specific investment and capital data. The elasticity of investment </w:t>
      </w:r>
      <w:r w:rsidR="0067364D">
        <w:rPr>
          <w:lang w:val="en-CA"/>
        </w:rPr>
        <w:t xml:space="preserve"> </w:t>
      </w:r>
      <w:r w:rsidR="007E62C4">
        <w:rPr>
          <w:lang w:val="en-CA"/>
        </w:rPr>
        <w:t>to rate of return</w:t>
      </w:r>
      <w:r w:rsidR="0067364D">
        <w:rPr>
          <w:lang w:val="en-CA"/>
        </w:rPr>
        <w:t xml:space="preserve"> (RORGFLEX in </w:t>
      </w:r>
      <w:proofErr w:type="spellStart"/>
      <w:r w:rsidR="0067364D">
        <w:rPr>
          <w:lang w:val="en-CA"/>
        </w:rPr>
        <w:t>GDyn</w:t>
      </w:r>
      <w:proofErr w:type="spellEnd"/>
      <w:r w:rsidR="0067364D">
        <w:rPr>
          <w:lang w:val="en-CA"/>
        </w:rPr>
        <w:t xml:space="preserve"> and SMURF in </w:t>
      </w:r>
      <w:proofErr w:type="spellStart"/>
      <w:r w:rsidR="00A14A80">
        <w:rPr>
          <w:lang w:val="en-CA"/>
        </w:rPr>
        <w:t>GD</w:t>
      </w:r>
      <w:r w:rsidR="00A14A80">
        <w:rPr>
          <w:rFonts w:hint="eastAsia"/>
          <w:lang w:val="en-CA"/>
        </w:rPr>
        <w:t>yn</w:t>
      </w:r>
      <w:r w:rsidR="00A14A80">
        <w:rPr>
          <w:lang w:val="en-CA"/>
        </w:rPr>
        <w:t>ISM</w:t>
      </w:r>
      <w:proofErr w:type="spellEnd"/>
      <w:r w:rsidR="0067364D">
        <w:rPr>
          <w:lang w:val="en-CA"/>
        </w:rPr>
        <w:t>)</w:t>
      </w:r>
      <w:r w:rsidR="007E62C4">
        <w:rPr>
          <w:lang w:val="en-CA"/>
        </w:rPr>
        <w:t xml:space="preserve"> are similar in two model</w:t>
      </w:r>
      <w:r w:rsidR="0067364D">
        <w:rPr>
          <w:lang w:val="en-CA"/>
        </w:rPr>
        <w:t>s</w:t>
      </w:r>
      <w:r w:rsidR="007E62C4">
        <w:rPr>
          <w:lang w:val="en-CA"/>
        </w:rPr>
        <w:t xml:space="preserve">, which </w:t>
      </w:r>
      <w:r w:rsidR="0067364D">
        <w:rPr>
          <w:lang w:val="en-CA"/>
        </w:rPr>
        <w:t xml:space="preserve">are </w:t>
      </w:r>
      <w:r w:rsidR="007E62C4">
        <w:rPr>
          <w:lang w:val="en-CA"/>
        </w:rPr>
        <w:t>close to 1.</w:t>
      </w:r>
      <w:r w:rsidR="0077675C">
        <w:rPr>
          <w:lang w:val="en-CA"/>
        </w:rPr>
        <w:t xml:space="preserve"> We believe </w:t>
      </w:r>
      <w:r w:rsidR="0017429D">
        <w:rPr>
          <w:lang w:val="en-CA"/>
        </w:rPr>
        <w:t xml:space="preserve">that the difference in results </w:t>
      </w:r>
      <w:r w:rsidR="0077675C">
        <w:rPr>
          <w:lang w:val="en-CA"/>
        </w:rPr>
        <w:t xml:space="preserve">is due to the </w:t>
      </w:r>
      <w:r w:rsidR="002E3F2D">
        <w:rPr>
          <w:lang w:val="en-CA"/>
        </w:rPr>
        <w:t>feedback mechanism on the growth rate of capital stock (KHAT)</w:t>
      </w:r>
      <w:r w:rsidR="0017429D">
        <w:rPr>
          <w:lang w:val="en-CA"/>
        </w:rPr>
        <w:t>—i.e.,</w:t>
      </w:r>
      <w:r w:rsidR="005F0148">
        <w:rPr>
          <w:lang w:val="en-CA"/>
        </w:rPr>
        <w:t xml:space="preserve"> </w:t>
      </w:r>
      <w:r w:rsidR="0017429D">
        <w:rPr>
          <w:lang w:val="en-CA"/>
        </w:rPr>
        <w:t xml:space="preserve">the </w:t>
      </w:r>
      <w:proofErr w:type="spellStart"/>
      <w:r w:rsidR="005F0148">
        <w:rPr>
          <w:lang w:val="en-CA"/>
        </w:rPr>
        <w:t>GDyn</w:t>
      </w:r>
      <w:proofErr w:type="spellEnd"/>
      <w:r w:rsidR="005F0148">
        <w:rPr>
          <w:lang w:val="en-CA"/>
        </w:rPr>
        <w:t xml:space="preserve"> model </w:t>
      </w:r>
      <w:r w:rsidR="0017429D">
        <w:rPr>
          <w:lang w:val="en-CA"/>
        </w:rPr>
        <w:t>results in</w:t>
      </w:r>
      <w:r w:rsidR="005F0148">
        <w:rPr>
          <w:lang w:val="en-CA"/>
        </w:rPr>
        <w:t xml:space="preserve"> bigger </w:t>
      </w:r>
      <w:r w:rsidR="0077675C">
        <w:rPr>
          <w:lang w:val="en-CA"/>
        </w:rPr>
        <w:t xml:space="preserve"> </w:t>
      </w:r>
      <w:r w:rsidR="005F0148">
        <w:rPr>
          <w:lang w:val="en-CA"/>
        </w:rPr>
        <w:t>impacts.</w:t>
      </w:r>
      <w:r w:rsidR="002E3F2D">
        <w:rPr>
          <w:lang w:val="en-CA"/>
        </w:rPr>
        <w:t xml:space="preserve"> The change of capital growth rate during the simulation is described by Equation (7)</w:t>
      </w:r>
      <w:r w:rsidR="005F0148">
        <w:rPr>
          <w:lang w:val="en-CA"/>
        </w:rPr>
        <w:t>. When co</w:t>
      </w:r>
      <w:r w:rsidR="002E3F2D">
        <w:rPr>
          <w:lang w:val="en-CA"/>
        </w:rPr>
        <w:t>untry faces a negative impact caused by external</w:t>
      </w:r>
      <w:r w:rsidR="005F0148">
        <w:rPr>
          <w:lang w:val="en-CA"/>
        </w:rPr>
        <w:t xml:space="preserve"> shocks, such as, Mexico in this case, the rate of return, </w:t>
      </w:r>
      <w:proofErr w:type="spellStart"/>
      <w:r w:rsidR="005F0148">
        <w:rPr>
          <w:lang w:val="en-CA"/>
        </w:rPr>
        <w:t>rora</w:t>
      </w:r>
      <w:proofErr w:type="spellEnd"/>
      <w:r w:rsidR="005F0148">
        <w:rPr>
          <w:lang w:val="en-CA"/>
        </w:rPr>
        <w:t>, in this region will be reduced in the first year. The growth rate of capital stock, DKHAT, will shrink due to the relationship described in Equation (7). The reduction of DKHAT will lead to a lower investment rate (</w:t>
      </w:r>
      <w:r w:rsidR="002E3F2D">
        <w:rPr>
          <w:lang w:val="en-CA"/>
        </w:rPr>
        <w:t xml:space="preserve">from </w:t>
      </w:r>
      <w:r w:rsidR="005F0148">
        <w:rPr>
          <w:lang w:val="en-CA"/>
        </w:rPr>
        <w:t>Equation 3).</w:t>
      </w:r>
      <w:r w:rsidR="00A309B6">
        <w:rPr>
          <w:lang w:val="en-CA"/>
        </w:rPr>
        <w:t xml:space="preserve"> To test this argument, we turn off Equation (7) by swapping DKHAT and the shift variable SDKHAT</w:t>
      </w:r>
      <w:r w:rsidR="002E3F2D">
        <w:rPr>
          <w:lang w:val="en-CA"/>
        </w:rPr>
        <w:t>. The results in third column of</w:t>
      </w:r>
      <w:r w:rsidR="00A309B6">
        <w:rPr>
          <w:lang w:val="en-CA"/>
        </w:rPr>
        <w:t xml:space="preserve"> Table 1 (</w:t>
      </w:r>
      <w:proofErr w:type="spellStart"/>
      <w:r w:rsidR="00A309B6">
        <w:rPr>
          <w:lang w:val="en-CA"/>
        </w:rPr>
        <w:t>GDyn</w:t>
      </w:r>
      <w:proofErr w:type="spellEnd"/>
      <w:r w:rsidR="00A309B6">
        <w:rPr>
          <w:lang w:val="en-CA"/>
        </w:rPr>
        <w:t xml:space="preserve"> with Fixed DKHAT) show that the impact i</w:t>
      </w:r>
      <w:r w:rsidR="00E33D26">
        <w:rPr>
          <w:lang w:val="en-CA"/>
        </w:rPr>
        <w:t>s only</w:t>
      </w:r>
      <w:r w:rsidR="00A309B6">
        <w:rPr>
          <w:lang w:val="en-CA"/>
        </w:rPr>
        <w:t xml:space="preserve"> half</w:t>
      </w:r>
      <w:r w:rsidR="00E33D26">
        <w:rPr>
          <w:lang w:val="en-CA"/>
        </w:rPr>
        <w:t xml:space="preserve"> of the impact in the standard </w:t>
      </w:r>
      <w:proofErr w:type="spellStart"/>
      <w:r w:rsidR="00E33D26">
        <w:rPr>
          <w:lang w:val="en-CA"/>
        </w:rPr>
        <w:t>GDyn</w:t>
      </w:r>
      <w:proofErr w:type="spellEnd"/>
      <w:r w:rsidR="00E33D26">
        <w:rPr>
          <w:lang w:val="en-CA"/>
        </w:rPr>
        <w:t xml:space="preserve"> model. After this adjustment, the results are much </w:t>
      </w:r>
      <w:r w:rsidR="00A309B6">
        <w:rPr>
          <w:lang w:val="en-CA"/>
        </w:rPr>
        <w:t xml:space="preserve">similar to </w:t>
      </w:r>
      <w:r w:rsidR="00516D88">
        <w:rPr>
          <w:lang w:val="en-CA"/>
        </w:rPr>
        <w:t xml:space="preserve">the one of </w:t>
      </w:r>
      <w:r w:rsidR="00A309B6">
        <w:rPr>
          <w:lang w:val="en-CA"/>
        </w:rPr>
        <w:t>t</w:t>
      </w:r>
      <w:r w:rsidR="00E33D26">
        <w:rPr>
          <w:lang w:val="en-CA"/>
        </w:rPr>
        <w:t xml:space="preserve">he </w:t>
      </w:r>
      <w:proofErr w:type="spellStart"/>
      <w:r w:rsidR="00A14A80">
        <w:rPr>
          <w:lang w:val="en-CA"/>
        </w:rPr>
        <w:t>GD</w:t>
      </w:r>
      <w:r w:rsidR="00A14A80">
        <w:rPr>
          <w:rFonts w:hint="eastAsia"/>
          <w:lang w:val="en-CA"/>
        </w:rPr>
        <w:t>yn</w:t>
      </w:r>
      <w:r w:rsidR="00A14A80">
        <w:rPr>
          <w:lang w:val="en-CA"/>
        </w:rPr>
        <w:t>ISM</w:t>
      </w:r>
      <w:proofErr w:type="spellEnd"/>
      <w:r w:rsidR="00E33D26">
        <w:rPr>
          <w:lang w:val="en-CA"/>
        </w:rPr>
        <w:t xml:space="preserve"> with fixed labour.</w:t>
      </w:r>
    </w:p>
    <w:p w:rsidR="0070402D" w:rsidRDefault="0070402D" w:rsidP="00F04CF5">
      <w:pPr>
        <w:rPr>
          <w:lang w:val="en-CA"/>
        </w:rPr>
      </w:pPr>
    </w:p>
    <w:p w:rsidR="00115D51" w:rsidRDefault="00115D51" w:rsidP="00F04CF5">
      <w:pPr>
        <w:rPr>
          <w:lang w:val="en-CA"/>
        </w:rPr>
      </w:pPr>
      <w:r>
        <w:rPr>
          <w:lang w:val="en-CA"/>
        </w:rPr>
        <w:t xml:space="preserve">Tables 2-4 list the macro results of the simulations for USA, Canada and Mexico respectively. Comparing the results from </w:t>
      </w:r>
      <w:proofErr w:type="spellStart"/>
      <w:r>
        <w:rPr>
          <w:lang w:val="en-CA"/>
        </w:rPr>
        <w:t>GDyn</w:t>
      </w:r>
      <w:proofErr w:type="spellEnd"/>
      <w:r>
        <w:rPr>
          <w:lang w:val="en-CA"/>
        </w:rPr>
        <w:t xml:space="preserve"> and </w:t>
      </w:r>
      <w:proofErr w:type="spellStart"/>
      <w:r w:rsidR="00A14A80">
        <w:rPr>
          <w:lang w:val="en-CA"/>
        </w:rPr>
        <w:t>GD</w:t>
      </w:r>
      <w:r w:rsidR="00A14A80">
        <w:rPr>
          <w:rFonts w:hint="eastAsia"/>
          <w:lang w:val="en-CA"/>
        </w:rPr>
        <w:t>yn</w:t>
      </w:r>
      <w:r w:rsidR="00A14A80">
        <w:rPr>
          <w:lang w:val="en-CA"/>
        </w:rPr>
        <w:t>ISM</w:t>
      </w:r>
      <w:proofErr w:type="spellEnd"/>
      <w:r>
        <w:rPr>
          <w:lang w:val="en-CA"/>
        </w:rPr>
        <w:t xml:space="preserve">, the investment reduced by much more in </w:t>
      </w:r>
      <w:proofErr w:type="spellStart"/>
      <w:r>
        <w:rPr>
          <w:lang w:val="en-CA"/>
        </w:rPr>
        <w:t>GDyn</w:t>
      </w:r>
      <w:proofErr w:type="spellEnd"/>
      <w:r>
        <w:rPr>
          <w:lang w:val="en-CA"/>
        </w:rPr>
        <w:t xml:space="preserve"> (for Mexico, -7.5% vs -2.9%). The bigger decline in investment leads to bigger trade surplus when the supply side of the economy constrained by </w:t>
      </w:r>
      <w:r w:rsidR="00BB592B">
        <w:rPr>
          <w:lang w:val="en-CA"/>
        </w:rPr>
        <w:t xml:space="preserve">the </w:t>
      </w:r>
      <w:r>
        <w:rPr>
          <w:lang w:val="en-CA"/>
        </w:rPr>
        <w:t xml:space="preserve">fixed labour.  </w:t>
      </w:r>
    </w:p>
    <w:p w:rsidR="00BB592B" w:rsidRPr="00E33D26" w:rsidRDefault="00BB592B" w:rsidP="00F04CF5">
      <w:pPr>
        <w:rPr>
          <w:lang w:val="en-CA"/>
        </w:rPr>
      </w:pPr>
    </w:p>
    <w:p w:rsidR="00E33D26" w:rsidRPr="00E33D26" w:rsidRDefault="00E33D26">
      <w:pPr>
        <w:rPr>
          <w:b/>
          <w:lang w:val="en-CA"/>
        </w:rPr>
      </w:pPr>
      <w:r w:rsidRPr="00E33D26">
        <w:rPr>
          <w:b/>
          <w:lang w:val="en-CA"/>
        </w:rPr>
        <w:t>Table 2. Macro results of renegotiation NAFTA for USA</w:t>
      </w:r>
    </w:p>
    <w:tbl>
      <w:tblPr>
        <w:tblStyle w:val="LightShading-Accent11"/>
        <w:tblW w:w="8472" w:type="dxa"/>
        <w:tblLook w:val="04A0"/>
      </w:tblPr>
      <w:tblGrid>
        <w:gridCol w:w="3860"/>
        <w:gridCol w:w="1214"/>
        <w:gridCol w:w="1130"/>
        <w:gridCol w:w="1134"/>
        <w:gridCol w:w="1134"/>
      </w:tblGrid>
      <w:tr w:rsidR="00E33D26" w:rsidRPr="0024046B" w:rsidTr="00E33D26">
        <w:trPr>
          <w:cnfStyle w:val="100000000000"/>
          <w:trHeight w:val="336"/>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p>
        </w:tc>
        <w:tc>
          <w:tcPr>
            <w:tcW w:w="1214" w:type="dxa"/>
            <w:hideMark/>
          </w:tcPr>
          <w:p w:rsidR="00E33D26" w:rsidRPr="0024046B" w:rsidRDefault="00E33D26" w:rsidP="00E33D26">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w:t>
            </w:r>
          </w:p>
        </w:tc>
        <w:tc>
          <w:tcPr>
            <w:tcW w:w="1130" w:type="dxa"/>
            <w:hideMark/>
          </w:tcPr>
          <w:p w:rsidR="00E33D26" w:rsidRPr="0024046B" w:rsidRDefault="00E33D26" w:rsidP="00E33D26">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w:t>
            </w:r>
          </w:p>
        </w:tc>
        <w:tc>
          <w:tcPr>
            <w:tcW w:w="1134" w:type="dxa"/>
            <w:hideMark/>
          </w:tcPr>
          <w:p w:rsidR="00E33D26" w:rsidRPr="0024046B" w:rsidRDefault="00E33D26" w:rsidP="00E33D26">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w:t>
            </w:r>
          </w:p>
        </w:tc>
        <w:tc>
          <w:tcPr>
            <w:tcW w:w="1134" w:type="dxa"/>
            <w:hideMark/>
          </w:tcPr>
          <w:p w:rsidR="00E33D26" w:rsidRPr="0024046B" w:rsidRDefault="00E33D26" w:rsidP="00E33D26">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w:t>
            </w:r>
          </w:p>
        </w:tc>
      </w:tr>
      <w:tr w:rsidR="00E33D26" w:rsidRPr="0024046B" w:rsidTr="00E33D26">
        <w:trPr>
          <w:cnfStyle w:val="000000100000"/>
          <w:trHeight w:val="30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Major aggregates</w:t>
            </w:r>
          </w:p>
        </w:tc>
        <w:tc>
          <w:tcPr>
            <w:tcW w:w="1214"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130"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134"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134"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Economic Welfare </w:t>
            </w:r>
            <w:r w:rsidR="00115D51" w:rsidRPr="0024046B">
              <w:rPr>
                <w:rFonts w:ascii="Garamond" w:eastAsia="SimSun" w:hAnsi="Garamond" w:cs="SimSun"/>
                <w:color w:val="000000"/>
                <w:kern w:val="0"/>
                <w:sz w:val="18"/>
                <w:szCs w:val="18"/>
              </w:rPr>
              <w:t>($</w:t>
            </w:r>
            <w:proofErr w:type="spellStart"/>
            <w:r w:rsidR="00115D51" w:rsidRPr="0024046B">
              <w:rPr>
                <w:rFonts w:ascii="Garamond" w:eastAsia="SimSun" w:hAnsi="Garamond" w:cs="SimSun"/>
                <w:color w:val="000000"/>
                <w:kern w:val="0"/>
                <w:sz w:val="18"/>
                <w:szCs w:val="18"/>
              </w:rPr>
              <w:t>mn</w:t>
            </w:r>
            <w:proofErr w:type="spellEnd"/>
            <w:r w:rsidR="00115D51" w:rsidRPr="0024046B">
              <w:rPr>
                <w:rFonts w:ascii="Garamond" w:eastAsia="SimSun" w:hAnsi="Garamond" w:cs="SimSun"/>
                <w:color w:val="000000"/>
                <w:kern w:val="0"/>
                <w:sz w:val="18"/>
                <w:szCs w:val="18"/>
              </w:rPr>
              <w:t>)</w:t>
            </w:r>
          </w:p>
        </w:tc>
        <w:tc>
          <w:tcPr>
            <w:tcW w:w="121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-9,145</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-4,581</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-3,109</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-5,606</w:t>
            </w:r>
          </w:p>
        </w:tc>
      </w:tr>
      <w:tr w:rsidR="00064689"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GDP volume </w:t>
            </w:r>
          </w:p>
        </w:tc>
        <w:tc>
          <w:tcPr>
            <w:tcW w:w="121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-0.028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0.004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-0.029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-0.046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GDP deflator </w:t>
            </w:r>
          </w:p>
        </w:tc>
        <w:tc>
          <w:tcPr>
            <w:tcW w:w="121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-0.322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-0.252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-0.105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-0.101 </w:t>
            </w:r>
          </w:p>
        </w:tc>
      </w:tr>
      <w:tr w:rsidR="00064689"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CPI </w:t>
            </w:r>
          </w:p>
        </w:tc>
        <w:tc>
          <w:tcPr>
            <w:tcW w:w="121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-0.248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-0.191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-0.091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-0.088 </w:t>
            </w:r>
          </w:p>
        </w:tc>
      </w:tr>
      <w:tr w:rsidR="00E33D26" w:rsidRPr="0024046B" w:rsidTr="00E33D26">
        <w:trPr>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National Accounts Aggregates (quantity)</w:t>
            </w:r>
          </w:p>
        </w:tc>
        <w:tc>
          <w:tcPr>
            <w:tcW w:w="1214"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0"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064689"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Consumption  </w:t>
            </w:r>
          </w:p>
        </w:tc>
        <w:tc>
          <w:tcPr>
            <w:tcW w:w="121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-0.067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-0.039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-0.029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-0.044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Government Expenditure </w:t>
            </w:r>
          </w:p>
        </w:tc>
        <w:tc>
          <w:tcPr>
            <w:tcW w:w="121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0.015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0.039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0.030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0.014 </w:t>
            </w:r>
          </w:p>
        </w:tc>
      </w:tr>
      <w:tr w:rsidR="00064689"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Investment </w:t>
            </w:r>
          </w:p>
        </w:tc>
        <w:tc>
          <w:tcPr>
            <w:tcW w:w="121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-0.461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-0.249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-0.171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-0.187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Exports of Goods &amp; Services) </w:t>
            </w:r>
          </w:p>
        </w:tc>
        <w:tc>
          <w:tcPr>
            <w:tcW w:w="121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-1.395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-1.305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-1.166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-1.195 </w:t>
            </w:r>
          </w:p>
        </w:tc>
      </w:tr>
      <w:tr w:rsidR="00064689"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Imports of Goods &amp; Services) </w:t>
            </w:r>
          </w:p>
        </w:tc>
        <w:tc>
          <w:tcPr>
            <w:tcW w:w="121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-1.576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-1.380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-1.111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-1.129 </w:t>
            </w:r>
          </w:p>
        </w:tc>
      </w:tr>
      <w:tr w:rsidR="00E33D26" w:rsidRPr="0024046B" w:rsidTr="00E33D26">
        <w:trPr>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Trade Impacts (value)</w:t>
            </w:r>
          </w:p>
        </w:tc>
        <w:tc>
          <w:tcPr>
            <w:tcW w:w="1214"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0"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064689"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lastRenderedPageBreak/>
              <w:t xml:space="preserve">Total Exports </w:t>
            </w:r>
          </w:p>
        </w:tc>
        <w:tc>
          <w:tcPr>
            <w:tcW w:w="121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-1.395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-1.305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-1.166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-1.195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Imports </w:t>
            </w:r>
          </w:p>
        </w:tc>
        <w:tc>
          <w:tcPr>
            <w:tcW w:w="121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-1.576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-1.380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-1.111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-1.129 </w:t>
            </w:r>
          </w:p>
        </w:tc>
      </w:tr>
      <w:tr w:rsidR="00064689"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Trade balance ($</w:t>
            </w:r>
            <w:proofErr w:type="spellStart"/>
            <w:r w:rsidRPr="0024046B">
              <w:rPr>
                <w:rFonts w:ascii="Garamond" w:eastAsia="SimSun" w:hAnsi="Garamond" w:cs="SimSun"/>
                <w:color w:val="000000"/>
                <w:kern w:val="0"/>
                <w:sz w:val="18"/>
                <w:szCs w:val="18"/>
              </w:rPr>
              <w:t>mn</w:t>
            </w:r>
            <w:proofErr w:type="spellEnd"/>
            <w:r w:rsidRPr="0024046B">
              <w:rPr>
                <w:rFonts w:ascii="Garamond" w:eastAsia="SimSun" w:hAnsi="Garamond" w:cs="SimSun"/>
                <w:color w:val="000000"/>
                <w:kern w:val="0"/>
                <w:sz w:val="18"/>
                <w:szCs w:val="18"/>
              </w:rPr>
              <w:t>)</w:t>
            </w:r>
          </w:p>
        </w:tc>
        <w:tc>
          <w:tcPr>
            <w:tcW w:w="121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3,251</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1,248</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1,242</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1,081</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Terms of Trade </w:t>
            </w:r>
          </w:p>
        </w:tc>
        <w:tc>
          <w:tcPr>
            <w:tcW w:w="121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-0.339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-0.257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-0.082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-0.079 </w:t>
            </w:r>
          </w:p>
        </w:tc>
      </w:tr>
      <w:tr w:rsidR="00064689" w:rsidRPr="0024046B" w:rsidTr="00E33D26">
        <w:trPr>
          <w:cnfStyle w:val="000000100000"/>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Factor Markets</w:t>
            </w:r>
          </w:p>
        </w:tc>
        <w:tc>
          <w:tcPr>
            <w:tcW w:w="1214"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0"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Capital Stock </w:t>
            </w:r>
          </w:p>
        </w:tc>
        <w:tc>
          <w:tcPr>
            <w:tcW w:w="121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-0.216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-0.103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-0.083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-0.100 </w:t>
            </w:r>
          </w:p>
        </w:tc>
      </w:tr>
      <w:tr w:rsidR="00064689"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Real wage of Unskilled </w:t>
            </w:r>
            <w:proofErr w:type="spellStart"/>
            <w:r w:rsidRPr="0024046B">
              <w:rPr>
                <w:rFonts w:ascii="Garamond" w:eastAsia="SimSun" w:hAnsi="Garamond" w:cs="SimSun"/>
                <w:color w:val="000000"/>
                <w:kern w:val="0"/>
                <w:sz w:val="18"/>
                <w:szCs w:val="18"/>
              </w:rPr>
              <w:t>labour</w:t>
            </w:r>
            <w:proofErr w:type="spellEnd"/>
            <w:r w:rsidRPr="0024046B">
              <w:rPr>
                <w:rFonts w:ascii="Garamond" w:eastAsia="SimSun" w:hAnsi="Garamond" w:cs="SimSun"/>
                <w:color w:val="000000"/>
                <w:kern w:val="0"/>
                <w:sz w:val="18"/>
                <w:szCs w:val="18"/>
              </w:rPr>
              <w:t xml:space="preserve"> </w:t>
            </w:r>
          </w:p>
        </w:tc>
        <w:tc>
          <w:tcPr>
            <w:tcW w:w="121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-0.224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-0.174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-0.156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-0.152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Real wage of skilled </w:t>
            </w:r>
            <w:proofErr w:type="spellStart"/>
            <w:r w:rsidRPr="0024046B">
              <w:rPr>
                <w:rFonts w:ascii="Garamond" w:eastAsia="SimSun" w:hAnsi="Garamond" w:cs="SimSun"/>
                <w:color w:val="000000"/>
                <w:kern w:val="0"/>
                <w:sz w:val="18"/>
                <w:szCs w:val="18"/>
              </w:rPr>
              <w:t>labour</w:t>
            </w:r>
            <w:proofErr w:type="spellEnd"/>
            <w:r w:rsidRPr="0024046B">
              <w:rPr>
                <w:rFonts w:ascii="Garamond" w:eastAsia="SimSun" w:hAnsi="Garamond" w:cs="SimSun"/>
                <w:color w:val="000000"/>
                <w:kern w:val="0"/>
                <w:sz w:val="18"/>
                <w:szCs w:val="18"/>
              </w:rPr>
              <w:t xml:space="preserve"> </w:t>
            </w:r>
          </w:p>
        </w:tc>
        <w:tc>
          <w:tcPr>
            <w:tcW w:w="121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-0.156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-0.120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-0.106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-0.107 </w:t>
            </w:r>
          </w:p>
        </w:tc>
      </w:tr>
    </w:tbl>
    <w:p w:rsidR="00324AA0" w:rsidRDefault="00324AA0" w:rsidP="00324AA0">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E33D26" w:rsidRDefault="00E33D26">
      <w:pPr>
        <w:rPr>
          <w:lang w:val="en-CA"/>
        </w:rPr>
      </w:pPr>
    </w:p>
    <w:p w:rsidR="00E33D26" w:rsidRPr="00E33D26" w:rsidRDefault="00E33D26" w:rsidP="00E33D26">
      <w:pPr>
        <w:rPr>
          <w:b/>
          <w:lang w:val="en-CA"/>
        </w:rPr>
      </w:pPr>
      <w:r w:rsidRPr="00E33D26">
        <w:rPr>
          <w:b/>
          <w:lang w:val="en-CA"/>
        </w:rPr>
        <w:t>Table 3. Macro results of renegotiation NAFTA for Canada</w:t>
      </w:r>
    </w:p>
    <w:tbl>
      <w:tblPr>
        <w:tblStyle w:val="LightShading-Accent11"/>
        <w:tblW w:w="8300" w:type="dxa"/>
        <w:tblLook w:val="04A0"/>
      </w:tblPr>
      <w:tblGrid>
        <w:gridCol w:w="3860"/>
        <w:gridCol w:w="1068"/>
        <w:gridCol w:w="1134"/>
        <w:gridCol w:w="992"/>
        <w:gridCol w:w="142"/>
        <w:gridCol w:w="1104"/>
      </w:tblGrid>
      <w:tr w:rsidR="00E33D26" w:rsidRPr="0024046B" w:rsidTr="00E33D26">
        <w:trPr>
          <w:cnfStyle w:val="100000000000"/>
          <w:trHeight w:val="247"/>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Canada</w:t>
            </w:r>
          </w:p>
        </w:tc>
        <w:tc>
          <w:tcPr>
            <w:tcW w:w="1068" w:type="dxa"/>
            <w:hideMark/>
          </w:tcPr>
          <w:p w:rsidR="00E33D26" w:rsidRPr="0024046B" w:rsidRDefault="00E33D26" w:rsidP="001849B7">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w:t>
            </w:r>
          </w:p>
        </w:tc>
        <w:tc>
          <w:tcPr>
            <w:tcW w:w="1134" w:type="dxa"/>
            <w:hideMark/>
          </w:tcPr>
          <w:p w:rsidR="00E33D26" w:rsidRPr="0024046B" w:rsidRDefault="00E33D26" w:rsidP="001849B7">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w:t>
            </w:r>
          </w:p>
        </w:tc>
        <w:tc>
          <w:tcPr>
            <w:tcW w:w="992" w:type="dxa"/>
            <w:hideMark/>
          </w:tcPr>
          <w:p w:rsidR="00E33D26" w:rsidRPr="0024046B" w:rsidRDefault="00E33D26" w:rsidP="001849B7">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w:t>
            </w:r>
          </w:p>
        </w:tc>
        <w:tc>
          <w:tcPr>
            <w:tcW w:w="1246" w:type="dxa"/>
            <w:gridSpan w:val="2"/>
            <w:hideMark/>
          </w:tcPr>
          <w:p w:rsidR="00E33D26" w:rsidRPr="0024046B" w:rsidRDefault="00E33D26" w:rsidP="001849B7">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w:t>
            </w:r>
          </w:p>
        </w:tc>
      </w:tr>
      <w:tr w:rsidR="00E33D26" w:rsidRPr="0024046B" w:rsidTr="00E33D26">
        <w:trPr>
          <w:cnfStyle w:val="000000100000"/>
          <w:trHeight w:val="281"/>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Major aggregates</w:t>
            </w:r>
          </w:p>
        </w:tc>
        <w:tc>
          <w:tcPr>
            <w:tcW w:w="1068"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134"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134" w:type="dxa"/>
            <w:gridSpan w:val="2"/>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104"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b w:val="0"/>
                <w:color w:val="000000"/>
                <w:kern w:val="0"/>
                <w:sz w:val="18"/>
                <w:szCs w:val="18"/>
              </w:rPr>
            </w:pPr>
            <w:r w:rsidRPr="0024046B">
              <w:rPr>
                <w:rFonts w:ascii="Garamond" w:eastAsia="SimSun" w:hAnsi="Garamond" w:cs="SimSun"/>
                <w:color w:val="000000"/>
                <w:kern w:val="0"/>
                <w:sz w:val="18"/>
                <w:szCs w:val="18"/>
              </w:rPr>
              <w:t xml:space="preserve">Economic Welfare </w:t>
            </w:r>
            <w:r w:rsidR="00115D51" w:rsidRPr="0024046B">
              <w:rPr>
                <w:rFonts w:ascii="Garamond" w:eastAsia="SimSun" w:hAnsi="Garamond" w:cs="SimSun"/>
                <w:color w:val="000000"/>
                <w:kern w:val="0"/>
                <w:sz w:val="18"/>
                <w:szCs w:val="18"/>
              </w:rPr>
              <w:t>($</w:t>
            </w:r>
            <w:proofErr w:type="spellStart"/>
            <w:r w:rsidR="00115D51" w:rsidRPr="0024046B">
              <w:rPr>
                <w:rFonts w:ascii="Garamond" w:eastAsia="SimSun" w:hAnsi="Garamond" w:cs="SimSun"/>
                <w:color w:val="000000"/>
                <w:kern w:val="0"/>
                <w:sz w:val="18"/>
                <w:szCs w:val="18"/>
              </w:rPr>
              <w:t>mn</w:t>
            </w:r>
            <w:proofErr w:type="spellEnd"/>
            <w:r w:rsidR="00115D51" w:rsidRPr="0024046B">
              <w:rPr>
                <w:rFonts w:ascii="Garamond" w:eastAsia="SimSun" w:hAnsi="Garamond" w:cs="SimSun"/>
                <w:color w:val="000000"/>
                <w:kern w:val="0"/>
                <w:sz w:val="18"/>
                <w:szCs w:val="18"/>
              </w:rPr>
              <w:t>)</w:t>
            </w:r>
          </w:p>
        </w:tc>
        <w:tc>
          <w:tcPr>
            <w:tcW w:w="1068"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-5,326</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-4,246</w:t>
            </w:r>
          </w:p>
        </w:tc>
        <w:tc>
          <w:tcPr>
            <w:tcW w:w="992"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-3,654</w:t>
            </w:r>
          </w:p>
        </w:tc>
        <w:tc>
          <w:tcPr>
            <w:tcW w:w="1246" w:type="dxa"/>
            <w:gridSpan w:val="2"/>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-4,093</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GDP volume </w:t>
            </w:r>
          </w:p>
        </w:tc>
        <w:tc>
          <w:tcPr>
            <w:tcW w:w="1068"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-0.409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-0.258 </w:t>
            </w:r>
          </w:p>
        </w:tc>
        <w:tc>
          <w:tcPr>
            <w:tcW w:w="992"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-0.200 </w:t>
            </w:r>
          </w:p>
        </w:tc>
        <w:tc>
          <w:tcPr>
            <w:tcW w:w="1246" w:type="dxa"/>
            <w:gridSpan w:val="2"/>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-0.235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GDP deflator </w:t>
            </w:r>
          </w:p>
        </w:tc>
        <w:tc>
          <w:tcPr>
            <w:tcW w:w="1068"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-0.169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-0.256 </w:t>
            </w:r>
          </w:p>
        </w:tc>
        <w:tc>
          <w:tcPr>
            <w:tcW w:w="992"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-0.208 </w:t>
            </w:r>
          </w:p>
        </w:tc>
        <w:tc>
          <w:tcPr>
            <w:tcW w:w="1246" w:type="dxa"/>
            <w:gridSpan w:val="2"/>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-0.193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CPI </w:t>
            </w:r>
          </w:p>
        </w:tc>
        <w:tc>
          <w:tcPr>
            <w:tcW w:w="1068"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-0.057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-0.128 </w:t>
            </w:r>
          </w:p>
        </w:tc>
        <w:tc>
          <w:tcPr>
            <w:tcW w:w="992"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-0.043 </w:t>
            </w:r>
          </w:p>
        </w:tc>
        <w:tc>
          <w:tcPr>
            <w:tcW w:w="1246" w:type="dxa"/>
            <w:gridSpan w:val="2"/>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-0.035 </w:t>
            </w:r>
          </w:p>
        </w:tc>
      </w:tr>
      <w:tr w:rsidR="00E33D26" w:rsidRPr="0024046B" w:rsidTr="00E33D26">
        <w:trPr>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National Accounts Aggregates (quantity)</w:t>
            </w:r>
          </w:p>
        </w:tc>
        <w:tc>
          <w:tcPr>
            <w:tcW w:w="1068"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992"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246" w:type="dxa"/>
            <w:gridSpan w:val="2"/>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Consumption  </w:t>
            </w:r>
          </w:p>
        </w:tc>
        <w:tc>
          <w:tcPr>
            <w:tcW w:w="1068"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-0.334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-0.277 </w:t>
            </w:r>
          </w:p>
        </w:tc>
        <w:tc>
          <w:tcPr>
            <w:tcW w:w="992"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-0.260 </w:t>
            </w:r>
          </w:p>
        </w:tc>
        <w:tc>
          <w:tcPr>
            <w:tcW w:w="1246" w:type="dxa"/>
            <w:gridSpan w:val="2"/>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-0.281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Government Expenditure </w:t>
            </w:r>
          </w:p>
        </w:tc>
        <w:tc>
          <w:tcPr>
            <w:tcW w:w="1068"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-0.034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0.046 </w:t>
            </w:r>
          </w:p>
        </w:tc>
        <w:tc>
          <w:tcPr>
            <w:tcW w:w="992"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0.059 </w:t>
            </w:r>
          </w:p>
        </w:tc>
        <w:tc>
          <w:tcPr>
            <w:tcW w:w="1246" w:type="dxa"/>
            <w:gridSpan w:val="2"/>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0.035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Investment </w:t>
            </w:r>
          </w:p>
        </w:tc>
        <w:tc>
          <w:tcPr>
            <w:tcW w:w="1068"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-0.952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-0.798 </w:t>
            </w:r>
          </w:p>
        </w:tc>
        <w:tc>
          <w:tcPr>
            <w:tcW w:w="992"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-0.537 </w:t>
            </w:r>
          </w:p>
        </w:tc>
        <w:tc>
          <w:tcPr>
            <w:tcW w:w="1246" w:type="dxa"/>
            <w:gridSpan w:val="2"/>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-0.562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Exports of Goods &amp; Services) </w:t>
            </w:r>
          </w:p>
        </w:tc>
        <w:tc>
          <w:tcPr>
            <w:tcW w:w="1068"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-2.624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-2.334 </w:t>
            </w:r>
          </w:p>
        </w:tc>
        <w:tc>
          <w:tcPr>
            <w:tcW w:w="992"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-2.601 </w:t>
            </w:r>
          </w:p>
        </w:tc>
        <w:tc>
          <w:tcPr>
            <w:tcW w:w="1246" w:type="dxa"/>
            <w:gridSpan w:val="2"/>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-2.659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Imports of Goods &amp; Services) </w:t>
            </w:r>
          </w:p>
        </w:tc>
        <w:tc>
          <w:tcPr>
            <w:tcW w:w="1068"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-2.424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-2.381 </w:t>
            </w:r>
          </w:p>
        </w:tc>
        <w:tc>
          <w:tcPr>
            <w:tcW w:w="992"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-2.553 </w:t>
            </w:r>
          </w:p>
        </w:tc>
        <w:tc>
          <w:tcPr>
            <w:tcW w:w="1246" w:type="dxa"/>
            <w:gridSpan w:val="2"/>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-2.570 </w:t>
            </w:r>
          </w:p>
        </w:tc>
      </w:tr>
      <w:tr w:rsidR="00E33D26" w:rsidRPr="0024046B" w:rsidTr="00E33D26">
        <w:trPr>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Trade Impacts (value)</w:t>
            </w:r>
          </w:p>
        </w:tc>
        <w:tc>
          <w:tcPr>
            <w:tcW w:w="1068"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992"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246" w:type="dxa"/>
            <w:gridSpan w:val="2"/>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Exports </w:t>
            </w:r>
          </w:p>
        </w:tc>
        <w:tc>
          <w:tcPr>
            <w:tcW w:w="1068"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-2.624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-2.334 </w:t>
            </w:r>
          </w:p>
        </w:tc>
        <w:tc>
          <w:tcPr>
            <w:tcW w:w="992"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-2.601 </w:t>
            </w:r>
          </w:p>
        </w:tc>
        <w:tc>
          <w:tcPr>
            <w:tcW w:w="1246" w:type="dxa"/>
            <w:gridSpan w:val="2"/>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-2.659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Imports </w:t>
            </w:r>
          </w:p>
        </w:tc>
        <w:tc>
          <w:tcPr>
            <w:tcW w:w="1068"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-2.424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-2.381 </w:t>
            </w:r>
          </w:p>
        </w:tc>
        <w:tc>
          <w:tcPr>
            <w:tcW w:w="992"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-2.553 </w:t>
            </w:r>
          </w:p>
        </w:tc>
        <w:tc>
          <w:tcPr>
            <w:tcW w:w="1246" w:type="dxa"/>
            <w:gridSpan w:val="2"/>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-2.570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Trade balance ($</w:t>
            </w:r>
            <w:proofErr w:type="spellStart"/>
            <w:r w:rsidRPr="0024046B">
              <w:rPr>
                <w:rFonts w:ascii="Garamond" w:eastAsia="SimSun" w:hAnsi="Garamond" w:cs="SimSun"/>
                <w:color w:val="000000"/>
                <w:kern w:val="0"/>
                <w:sz w:val="18"/>
                <w:szCs w:val="18"/>
              </w:rPr>
              <w:t>mn</w:t>
            </w:r>
            <w:proofErr w:type="spellEnd"/>
            <w:r w:rsidRPr="0024046B">
              <w:rPr>
                <w:rFonts w:ascii="Garamond" w:eastAsia="SimSun" w:hAnsi="Garamond" w:cs="SimSun"/>
                <w:color w:val="000000"/>
                <w:kern w:val="0"/>
                <w:sz w:val="18"/>
                <w:szCs w:val="18"/>
              </w:rPr>
              <w:t>)</w:t>
            </w:r>
          </w:p>
        </w:tc>
        <w:tc>
          <w:tcPr>
            <w:tcW w:w="1068"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-1,411</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301</w:t>
            </w:r>
          </w:p>
        </w:tc>
        <w:tc>
          <w:tcPr>
            <w:tcW w:w="992"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-125</w:t>
            </w:r>
          </w:p>
        </w:tc>
        <w:tc>
          <w:tcPr>
            <w:tcW w:w="1246" w:type="dxa"/>
            <w:gridSpan w:val="2"/>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-211</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Terms of Trade </w:t>
            </w:r>
          </w:p>
        </w:tc>
        <w:tc>
          <w:tcPr>
            <w:tcW w:w="1068"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0.102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0.053 </w:t>
            </w:r>
          </w:p>
        </w:tc>
        <w:tc>
          <w:tcPr>
            <w:tcW w:w="992"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0.072 </w:t>
            </w:r>
          </w:p>
        </w:tc>
        <w:tc>
          <w:tcPr>
            <w:tcW w:w="1246" w:type="dxa"/>
            <w:gridSpan w:val="2"/>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0.103 </w:t>
            </w:r>
          </w:p>
        </w:tc>
      </w:tr>
      <w:tr w:rsidR="00E33D26" w:rsidRPr="0024046B" w:rsidTr="00E33D26">
        <w:trPr>
          <w:cnfStyle w:val="000000100000"/>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Factor Markets</w:t>
            </w:r>
          </w:p>
        </w:tc>
        <w:tc>
          <w:tcPr>
            <w:tcW w:w="1068"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4"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992"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246" w:type="dxa"/>
            <w:gridSpan w:val="2"/>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Capital Stock </w:t>
            </w:r>
          </w:p>
        </w:tc>
        <w:tc>
          <w:tcPr>
            <w:tcW w:w="1068"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-0.875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-0.427 </w:t>
            </w:r>
          </w:p>
        </w:tc>
        <w:tc>
          <w:tcPr>
            <w:tcW w:w="992"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-0.339 </w:t>
            </w:r>
          </w:p>
        </w:tc>
        <w:tc>
          <w:tcPr>
            <w:tcW w:w="1246" w:type="dxa"/>
            <w:gridSpan w:val="2"/>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-0.406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Real wage of Unskilled </w:t>
            </w:r>
            <w:proofErr w:type="spellStart"/>
            <w:r w:rsidRPr="0024046B">
              <w:rPr>
                <w:rFonts w:ascii="Garamond" w:eastAsia="SimSun" w:hAnsi="Garamond" w:cs="SimSun"/>
                <w:color w:val="000000"/>
                <w:kern w:val="0"/>
                <w:sz w:val="18"/>
                <w:szCs w:val="18"/>
              </w:rPr>
              <w:t>labour</w:t>
            </w:r>
            <w:proofErr w:type="spellEnd"/>
            <w:r w:rsidRPr="0024046B">
              <w:rPr>
                <w:rFonts w:ascii="Garamond" w:eastAsia="SimSun" w:hAnsi="Garamond" w:cs="SimSun"/>
                <w:color w:val="000000"/>
                <w:kern w:val="0"/>
                <w:sz w:val="18"/>
                <w:szCs w:val="18"/>
              </w:rPr>
              <w:t xml:space="preserve"> </w:t>
            </w:r>
          </w:p>
        </w:tc>
        <w:tc>
          <w:tcPr>
            <w:tcW w:w="1068"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-0.780 </w:t>
            </w:r>
          </w:p>
        </w:tc>
        <w:tc>
          <w:tcPr>
            <w:tcW w:w="1134"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-0.675 </w:t>
            </w:r>
          </w:p>
        </w:tc>
        <w:tc>
          <w:tcPr>
            <w:tcW w:w="992"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-0.684 </w:t>
            </w:r>
          </w:p>
        </w:tc>
        <w:tc>
          <w:tcPr>
            <w:tcW w:w="1246" w:type="dxa"/>
            <w:gridSpan w:val="2"/>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-0.695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Real wage of skilled </w:t>
            </w:r>
            <w:proofErr w:type="spellStart"/>
            <w:r w:rsidRPr="0024046B">
              <w:rPr>
                <w:rFonts w:ascii="Garamond" w:eastAsia="SimSun" w:hAnsi="Garamond" w:cs="SimSun"/>
                <w:color w:val="000000"/>
                <w:kern w:val="0"/>
                <w:sz w:val="18"/>
                <w:szCs w:val="18"/>
              </w:rPr>
              <w:t>labour</w:t>
            </w:r>
            <w:proofErr w:type="spellEnd"/>
            <w:r w:rsidRPr="0024046B">
              <w:rPr>
                <w:rFonts w:ascii="Garamond" w:eastAsia="SimSun" w:hAnsi="Garamond" w:cs="SimSun"/>
                <w:color w:val="000000"/>
                <w:kern w:val="0"/>
                <w:sz w:val="18"/>
                <w:szCs w:val="18"/>
              </w:rPr>
              <w:t xml:space="preserve"> </w:t>
            </w:r>
          </w:p>
        </w:tc>
        <w:tc>
          <w:tcPr>
            <w:tcW w:w="1068"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-0.654 </w:t>
            </w:r>
          </w:p>
        </w:tc>
        <w:tc>
          <w:tcPr>
            <w:tcW w:w="1134"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-0.571 </w:t>
            </w:r>
          </w:p>
        </w:tc>
        <w:tc>
          <w:tcPr>
            <w:tcW w:w="992"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-0.584 </w:t>
            </w:r>
          </w:p>
        </w:tc>
        <w:tc>
          <w:tcPr>
            <w:tcW w:w="1246" w:type="dxa"/>
            <w:gridSpan w:val="2"/>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-0.603 </w:t>
            </w:r>
          </w:p>
        </w:tc>
      </w:tr>
    </w:tbl>
    <w:p w:rsidR="00324AA0" w:rsidRDefault="00324AA0" w:rsidP="00324AA0">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324AA0" w:rsidRDefault="00324AA0">
      <w:pPr>
        <w:rPr>
          <w:lang w:val="en-CA"/>
        </w:rPr>
      </w:pPr>
    </w:p>
    <w:p w:rsidR="00E33D26" w:rsidRPr="00E33D26" w:rsidRDefault="00E33D26">
      <w:pPr>
        <w:rPr>
          <w:b/>
          <w:lang w:val="en-CA"/>
        </w:rPr>
      </w:pPr>
      <w:r w:rsidRPr="00E33D26">
        <w:rPr>
          <w:b/>
          <w:lang w:val="en-CA"/>
        </w:rPr>
        <w:t>Table</w:t>
      </w:r>
      <w:r>
        <w:rPr>
          <w:b/>
          <w:lang w:val="en-CA"/>
        </w:rPr>
        <w:t xml:space="preserve"> </w:t>
      </w:r>
      <w:r w:rsidRPr="00E33D26">
        <w:rPr>
          <w:b/>
          <w:lang w:val="en-CA"/>
        </w:rPr>
        <w:t>4. Macro results of renegotiation NAFTA for Mexico</w:t>
      </w:r>
    </w:p>
    <w:tbl>
      <w:tblPr>
        <w:tblStyle w:val="LightShading-Accent11"/>
        <w:tblW w:w="8580" w:type="dxa"/>
        <w:tblLook w:val="04A0"/>
      </w:tblPr>
      <w:tblGrid>
        <w:gridCol w:w="3860"/>
        <w:gridCol w:w="1111"/>
        <w:gridCol w:w="1130"/>
        <w:gridCol w:w="1119"/>
        <w:gridCol w:w="1360"/>
      </w:tblGrid>
      <w:tr w:rsidR="00E33D26" w:rsidRPr="0024046B" w:rsidTr="00E33D26">
        <w:trPr>
          <w:cnfStyle w:val="100000000000"/>
          <w:trHeight w:val="293"/>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p>
        </w:tc>
        <w:tc>
          <w:tcPr>
            <w:tcW w:w="1111" w:type="dxa"/>
            <w:hideMark/>
          </w:tcPr>
          <w:p w:rsidR="00E33D26" w:rsidRPr="0024046B" w:rsidRDefault="00E33D26" w:rsidP="001849B7">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w:t>
            </w:r>
          </w:p>
        </w:tc>
        <w:tc>
          <w:tcPr>
            <w:tcW w:w="1130" w:type="dxa"/>
            <w:hideMark/>
          </w:tcPr>
          <w:p w:rsidR="00E33D26" w:rsidRPr="0024046B" w:rsidRDefault="00E33D26" w:rsidP="001849B7">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w:t>
            </w:r>
          </w:p>
        </w:tc>
        <w:tc>
          <w:tcPr>
            <w:tcW w:w="1119" w:type="dxa"/>
            <w:hideMark/>
          </w:tcPr>
          <w:p w:rsidR="00E33D26" w:rsidRPr="0024046B" w:rsidRDefault="00E33D26" w:rsidP="001849B7">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w:t>
            </w:r>
          </w:p>
        </w:tc>
        <w:tc>
          <w:tcPr>
            <w:tcW w:w="1360" w:type="dxa"/>
            <w:hideMark/>
          </w:tcPr>
          <w:p w:rsidR="00E33D26" w:rsidRPr="0024046B" w:rsidRDefault="00E33D26" w:rsidP="001849B7">
            <w:pPr>
              <w:widowControl/>
              <w:jc w:val="right"/>
              <w:cnfStyle w:val="1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w:t>
            </w:r>
          </w:p>
        </w:tc>
      </w:tr>
      <w:tr w:rsidR="00E33D26" w:rsidRPr="0024046B" w:rsidTr="00E33D26">
        <w:trPr>
          <w:cnfStyle w:val="000000100000"/>
          <w:trHeight w:val="36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Major aggregates</w:t>
            </w:r>
          </w:p>
        </w:tc>
        <w:tc>
          <w:tcPr>
            <w:tcW w:w="1111"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130"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119"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c>
          <w:tcPr>
            <w:tcW w:w="1360" w:type="dxa"/>
            <w:hideMark/>
          </w:tcPr>
          <w:p w:rsidR="00E33D26" w:rsidRPr="0024046B" w:rsidRDefault="00E33D26" w:rsidP="00E33D26">
            <w:pPr>
              <w:widowControl/>
              <w:jc w:val="right"/>
              <w:cnfStyle w:val="000000100000"/>
              <w:rPr>
                <w:rFonts w:ascii="Garamond" w:eastAsia="SimSun" w:hAnsi="Garamond" w:cs="SimSun"/>
                <w:b/>
                <w:color w:val="000000"/>
                <w:kern w:val="0"/>
                <w:sz w:val="18"/>
                <w:szCs w:val="18"/>
              </w:rPr>
            </w:pPr>
            <w:r w:rsidRPr="0024046B">
              <w:rPr>
                <w:rFonts w:ascii="Garamond" w:eastAsia="SimSun" w:hAnsi="Garamond" w:cs="SimSun"/>
                <w:b/>
                <w:color w:val="000000"/>
                <w:kern w:val="0"/>
                <w:sz w:val="18"/>
                <w:szCs w:val="18"/>
              </w:rPr>
              <w:t>% change</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Economic Welfare </w:t>
            </w:r>
            <w:r w:rsidR="00115D51" w:rsidRPr="0024046B">
              <w:rPr>
                <w:rFonts w:ascii="Garamond" w:eastAsia="SimSun" w:hAnsi="Garamond" w:cs="SimSun"/>
                <w:color w:val="000000"/>
                <w:kern w:val="0"/>
                <w:sz w:val="18"/>
                <w:szCs w:val="18"/>
              </w:rPr>
              <w:t>($</w:t>
            </w:r>
            <w:proofErr w:type="spellStart"/>
            <w:r w:rsidR="00115D51" w:rsidRPr="0024046B">
              <w:rPr>
                <w:rFonts w:ascii="Garamond" w:eastAsia="SimSun" w:hAnsi="Garamond" w:cs="SimSun"/>
                <w:color w:val="000000"/>
                <w:kern w:val="0"/>
                <w:sz w:val="18"/>
                <w:szCs w:val="18"/>
              </w:rPr>
              <w:t>mn</w:t>
            </w:r>
            <w:proofErr w:type="spellEnd"/>
            <w:r w:rsidR="00115D51" w:rsidRPr="0024046B">
              <w:rPr>
                <w:rFonts w:ascii="Garamond" w:eastAsia="SimSun" w:hAnsi="Garamond" w:cs="SimSun"/>
                <w:color w:val="000000"/>
                <w:kern w:val="0"/>
                <w:sz w:val="18"/>
                <w:szCs w:val="18"/>
              </w:rPr>
              <w:t>)</w:t>
            </w:r>
          </w:p>
        </w:tc>
        <w:tc>
          <w:tcPr>
            <w:tcW w:w="1111"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-19,046</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-15,130</w:t>
            </w:r>
          </w:p>
        </w:tc>
        <w:tc>
          <w:tcPr>
            <w:tcW w:w="1119"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-13,997</w:t>
            </w:r>
          </w:p>
        </w:tc>
        <w:tc>
          <w:tcPr>
            <w:tcW w:w="136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-16,509</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GDP volume </w:t>
            </w:r>
          </w:p>
        </w:tc>
        <w:tc>
          <w:tcPr>
            <w:tcW w:w="1111"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-3.957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-1.622 </w:t>
            </w:r>
          </w:p>
        </w:tc>
        <w:tc>
          <w:tcPr>
            <w:tcW w:w="1119"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-1.207 </w:t>
            </w:r>
          </w:p>
        </w:tc>
        <w:tc>
          <w:tcPr>
            <w:tcW w:w="136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-1.421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GDP deflator </w:t>
            </w:r>
          </w:p>
        </w:tc>
        <w:tc>
          <w:tcPr>
            <w:tcW w:w="1111"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0.452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-0.098 </w:t>
            </w:r>
          </w:p>
        </w:tc>
        <w:tc>
          <w:tcPr>
            <w:tcW w:w="1119"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-0.569 </w:t>
            </w:r>
          </w:p>
        </w:tc>
        <w:tc>
          <w:tcPr>
            <w:tcW w:w="136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-0.453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CPI </w:t>
            </w:r>
          </w:p>
        </w:tc>
        <w:tc>
          <w:tcPr>
            <w:tcW w:w="1111"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0.503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0.209 </w:t>
            </w:r>
          </w:p>
        </w:tc>
        <w:tc>
          <w:tcPr>
            <w:tcW w:w="1119"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-0.356 </w:t>
            </w:r>
          </w:p>
        </w:tc>
        <w:tc>
          <w:tcPr>
            <w:tcW w:w="136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-0.271 </w:t>
            </w:r>
          </w:p>
        </w:tc>
      </w:tr>
      <w:tr w:rsidR="00E33D26" w:rsidRPr="0024046B" w:rsidTr="00E33D26">
        <w:trPr>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National Accounts Aggregates (quantity)</w:t>
            </w:r>
          </w:p>
        </w:tc>
        <w:tc>
          <w:tcPr>
            <w:tcW w:w="1111"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0"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19"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360"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Consumption  </w:t>
            </w:r>
          </w:p>
        </w:tc>
        <w:tc>
          <w:tcPr>
            <w:tcW w:w="1111"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-1.432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-1.338 </w:t>
            </w:r>
          </w:p>
        </w:tc>
        <w:tc>
          <w:tcPr>
            <w:tcW w:w="1119"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-0.967 </w:t>
            </w:r>
          </w:p>
        </w:tc>
        <w:tc>
          <w:tcPr>
            <w:tcW w:w="136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-1.128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Government Expenditure </w:t>
            </w:r>
          </w:p>
        </w:tc>
        <w:tc>
          <w:tcPr>
            <w:tcW w:w="1111"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-0.048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0.202 </w:t>
            </w:r>
          </w:p>
        </w:tc>
        <w:tc>
          <w:tcPr>
            <w:tcW w:w="1119"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-0.291 </w:t>
            </w:r>
          </w:p>
        </w:tc>
        <w:tc>
          <w:tcPr>
            <w:tcW w:w="136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-0.504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lastRenderedPageBreak/>
              <w:t xml:space="preserve">Investment </w:t>
            </w:r>
          </w:p>
        </w:tc>
        <w:tc>
          <w:tcPr>
            <w:tcW w:w="1111" w:type="dxa"/>
            <w:hideMark/>
          </w:tcPr>
          <w:p w:rsidR="00E33D26" w:rsidRPr="00852194" w:rsidRDefault="00E33D26" w:rsidP="00E33D26">
            <w:pPr>
              <w:widowControl/>
              <w:jc w:val="right"/>
              <w:cnfStyle w:val="000000100000"/>
              <w:rPr>
                <w:rFonts w:ascii="Garamond" w:eastAsia="SimSun" w:hAnsi="Garamond" w:cs="SimSun"/>
                <w:b/>
                <w:color w:val="C00000"/>
                <w:kern w:val="0"/>
                <w:sz w:val="18"/>
                <w:szCs w:val="18"/>
              </w:rPr>
            </w:pPr>
            <w:r w:rsidRPr="00852194">
              <w:rPr>
                <w:rFonts w:ascii="Garamond" w:eastAsia="SimSun" w:hAnsi="Garamond" w:cs="SimSun"/>
                <w:b/>
                <w:color w:val="C00000"/>
                <w:kern w:val="0"/>
                <w:sz w:val="18"/>
                <w:szCs w:val="18"/>
              </w:rPr>
              <w:t xml:space="preserve">-7.501 </w:t>
            </w:r>
          </w:p>
        </w:tc>
        <w:tc>
          <w:tcPr>
            <w:tcW w:w="1130" w:type="dxa"/>
            <w:hideMark/>
          </w:tcPr>
          <w:p w:rsidR="00E33D26" w:rsidRPr="00852194" w:rsidRDefault="00E33D26" w:rsidP="00E33D26">
            <w:pPr>
              <w:widowControl/>
              <w:jc w:val="right"/>
              <w:cnfStyle w:val="000000100000"/>
              <w:rPr>
                <w:rFonts w:ascii="Garamond" w:eastAsia="SimSun" w:hAnsi="Garamond" w:cs="SimSun"/>
                <w:b/>
                <w:color w:val="C00000"/>
                <w:kern w:val="0"/>
                <w:sz w:val="18"/>
                <w:szCs w:val="18"/>
              </w:rPr>
            </w:pPr>
            <w:r w:rsidRPr="00852194">
              <w:rPr>
                <w:rFonts w:ascii="Garamond" w:eastAsia="SimSun" w:hAnsi="Garamond" w:cs="SimSun"/>
                <w:b/>
                <w:color w:val="C00000"/>
                <w:kern w:val="0"/>
                <w:sz w:val="18"/>
                <w:szCs w:val="18"/>
              </w:rPr>
              <w:t xml:space="preserve">-2.667 </w:t>
            </w:r>
          </w:p>
        </w:tc>
        <w:tc>
          <w:tcPr>
            <w:tcW w:w="1119" w:type="dxa"/>
            <w:hideMark/>
          </w:tcPr>
          <w:p w:rsidR="00E33D26" w:rsidRPr="00852194" w:rsidRDefault="00E33D26" w:rsidP="00E33D26">
            <w:pPr>
              <w:widowControl/>
              <w:jc w:val="right"/>
              <w:cnfStyle w:val="000000100000"/>
              <w:rPr>
                <w:rFonts w:ascii="Garamond" w:eastAsia="SimSun" w:hAnsi="Garamond" w:cs="SimSun"/>
                <w:b/>
                <w:color w:val="C00000"/>
                <w:kern w:val="0"/>
                <w:sz w:val="18"/>
                <w:szCs w:val="18"/>
              </w:rPr>
            </w:pPr>
            <w:r w:rsidRPr="00852194">
              <w:rPr>
                <w:rFonts w:ascii="Garamond" w:eastAsia="SimSun" w:hAnsi="Garamond" w:cs="SimSun"/>
                <w:b/>
                <w:color w:val="C00000"/>
                <w:kern w:val="0"/>
                <w:sz w:val="18"/>
                <w:szCs w:val="18"/>
              </w:rPr>
              <w:t xml:space="preserve">-2.933 </w:t>
            </w:r>
          </w:p>
        </w:tc>
        <w:tc>
          <w:tcPr>
            <w:tcW w:w="1360" w:type="dxa"/>
            <w:hideMark/>
          </w:tcPr>
          <w:p w:rsidR="00E33D26" w:rsidRPr="00852194" w:rsidRDefault="00E33D26" w:rsidP="00E33D26">
            <w:pPr>
              <w:widowControl/>
              <w:jc w:val="right"/>
              <w:cnfStyle w:val="000000100000"/>
              <w:rPr>
                <w:rFonts w:ascii="Garamond" w:eastAsia="SimSun" w:hAnsi="Garamond" w:cs="SimSun"/>
                <w:b/>
                <w:color w:val="C00000"/>
                <w:kern w:val="0"/>
                <w:sz w:val="18"/>
                <w:szCs w:val="18"/>
              </w:rPr>
            </w:pPr>
            <w:r w:rsidRPr="00852194">
              <w:rPr>
                <w:rFonts w:ascii="Garamond" w:eastAsia="SimSun" w:hAnsi="Garamond" w:cs="SimSun"/>
                <w:b/>
                <w:color w:val="C00000"/>
                <w:kern w:val="0"/>
                <w:sz w:val="18"/>
                <w:szCs w:val="18"/>
              </w:rPr>
              <w:t xml:space="preserve">-3.060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Exports of Goods &amp; Services) </w:t>
            </w:r>
          </w:p>
        </w:tc>
        <w:tc>
          <w:tcPr>
            <w:tcW w:w="1111"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-5.377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-3.052 </w:t>
            </w:r>
          </w:p>
        </w:tc>
        <w:tc>
          <w:tcPr>
            <w:tcW w:w="1119"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-4.649 </w:t>
            </w:r>
          </w:p>
        </w:tc>
        <w:tc>
          <w:tcPr>
            <w:tcW w:w="136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-4.948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Imports of Goods &amp; Services) </w:t>
            </w:r>
          </w:p>
        </w:tc>
        <w:tc>
          <w:tcPr>
            <w:tcW w:w="1111"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-7.378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-4.500 </w:t>
            </w:r>
          </w:p>
        </w:tc>
        <w:tc>
          <w:tcPr>
            <w:tcW w:w="1119"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-5.765 </w:t>
            </w:r>
          </w:p>
        </w:tc>
        <w:tc>
          <w:tcPr>
            <w:tcW w:w="136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-5.901 </w:t>
            </w:r>
          </w:p>
        </w:tc>
      </w:tr>
      <w:tr w:rsidR="00E33D26" w:rsidRPr="0024046B" w:rsidTr="00E33D26">
        <w:trPr>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Trade Impacts (value)</w:t>
            </w:r>
          </w:p>
        </w:tc>
        <w:tc>
          <w:tcPr>
            <w:tcW w:w="1111"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0"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19"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360" w:type="dxa"/>
            <w:hideMark/>
          </w:tcPr>
          <w:p w:rsidR="00E33D26" w:rsidRPr="0024046B" w:rsidRDefault="00E33D26" w:rsidP="00E33D26">
            <w:pPr>
              <w:widowControl/>
              <w:jc w:val="right"/>
              <w:cnfStyle w:val="0000000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Exports </w:t>
            </w:r>
          </w:p>
        </w:tc>
        <w:tc>
          <w:tcPr>
            <w:tcW w:w="1111"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-5.377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-3.052 </w:t>
            </w:r>
          </w:p>
        </w:tc>
        <w:tc>
          <w:tcPr>
            <w:tcW w:w="1119"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-4.649 </w:t>
            </w:r>
          </w:p>
        </w:tc>
        <w:tc>
          <w:tcPr>
            <w:tcW w:w="136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-4.948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Total Imports </w:t>
            </w:r>
          </w:p>
        </w:tc>
        <w:tc>
          <w:tcPr>
            <w:tcW w:w="1111"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-7.378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-4.500 </w:t>
            </w:r>
          </w:p>
        </w:tc>
        <w:tc>
          <w:tcPr>
            <w:tcW w:w="1119"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-5.765 </w:t>
            </w:r>
          </w:p>
        </w:tc>
        <w:tc>
          <w:tcPr>
            <w:tcW w:w="136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-5.901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Trade balance ($</w:t>
            </w:r>
            <w:proofErr w:type="spellStart"/>
            <w:r w:rsidRPr="0024046B">
              <w:rPr>
                <w:rFonts w:ascii="Garamond" w:eastAsia="SimSun" w:hAnsi="Garamond" w:cs="SimSun"/>
                <w:color w:val="000000"/>
                <w:kern w:val="0"/>
                <w:sz w:val="18"/>
                <w:szCs w:val="18"/>
              </w:rPr>
              <w:t>mn</w:t>
            </w:r>
            <w:proofErr w:type="spellEnd"/>
            <w:r w:rsidRPr="0024046B">
              <w:rPr>
                <w:rFonts w:ascii="Garamond" w:eastAsia="SimSun" w:hAnsi="Garamond" w:cs="SimSun"/>
                <w:color w:val="000000"/>
                <w:kern w:val="0"/>
                <w:sz w:val="18"/>
                <w:szCs w:val="18"/>
              </w:rPr>
              <w:t>)</w:t>
            </w:r>
          </w:p>
        </w:tc>
        <w:tc>
          <w:tcPr>
            <w:tcW w:w="1111"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20,905</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11,976</w:t>
            </w:r>
          </w:p>
        </w:tc>
        <w:tc>
          <w:tcPr>
            <w:tcW w:w="1119"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496</w:t>
            </w:r>
          </w:p>
        </w:tc>
        <w:tc>
          <w:tcPr>
            <w:tcW w:w="136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38</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Terms of Trade </w:t>
            </w:r>
          </w:p>
        </w:tc>
        <w:tc>
          <w:tcPr>
            <w:tcW w:w="1111"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0.094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-0.279 </w:t>
            </w:r>
          </w:p>
        </w:tc>
        <w:tc>
          <w:tcPr>
            <w:tcW w:w="1119"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-0.449 </w:t>
            </w:r>
          </w:p>
        </w:tc>
        <w:tc>
          <w:tcPr>
            <w:tcW w:w="136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-0.350 </w:t>
            </w:r>
          </w:p>
        </w:tc>
      </w:tr>
      <w:tr w:rsidR="00E33D26" w:rsidRPr="0024046B" w:rsidTr="00E33D26">
        <w:trPr>
          <w:cnfStyle w:val="000000100000"/>
          <w:trHeight w:val="285"/>
        </w:trPr>
        <w:tc>
          <w:tcPr>
            <w:cnfStyle w:val="001000000000"/>
            <w:tcW w:w="3860" w:type="dxa"/>
            <w:noWrap/>
            <w:hideMark/>
          </w:tcPr>
          <w:p w:rsidR="00E33D26" w:rsidRPr="0024046B" w:rsidRDefault="00E33D26" w:rsidP="00E33D26">
            <w:pPr>
              <w:widowControl/>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Factor Markets</w:t>
            </w:r>
          </w:p>
        </w:tc>
        <w:tc>
          <w:tcPr>
            <w:tcW w:w="1111"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30"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119"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c>
          <w:tcPr>
            <w:tcW w:w="1360" w:type="dxa"/>
            <w:hideMark/>
          </w:tcPr>
          <w:p w:rsidR="00E33D26" w:rsidRPr="0024046B" w:rsidRDefault="00E33D26" w:rsidP="00E33D26">
            <w:pPr>
              <w:widowControl/>
              <w:jc w:val="right"/>
              <w:cnfStyle w:val="000000100000"/>
              <w:rPr>
                <w:rFonts w:ascii="Garamond" w:eastAsia="SimSun" w:hAnsi="Garamond" w:cs="SimSun"/>
                <w:b/>
                <w:bCs/>
                <w:color w:val="000000"/>
                <w:kern w:val="0"/>
                <w:sz w:val="18"/>
                <w:szCs w:val="18"/>
              </w:rPr>
            </w:pPr>
            <w:r w:rsidRPr="0024046B">
              <w:rPr>
                <w:rFonts w:ascii="Garamond" w:eastAsia="SimSun" w:hAnsi="Garamond" w:cs="SimSun"/>
                <w:b/>
                <w:bCs/>
                <w:color w:val="000000"/>
                <w:kern w:val="0"/>
                <w:sz w:val="18"/>
                <w:szCs w:val="18"/>
              </w:rPr>
              <w:t xml:space="preserve">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Capital Stock </w:t>
            </w:r>
          </w:p>
        </w:tc>
        <w:tc>
          <w:tcPr>
            <w:tcW w:w="1111"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-4.690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-1.253 </w:t>
            </w:r>
          </w:p>
        </w:tc>
        <w:tc>
          <w:tcPr>
            <w:tcW w:w="1119"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-1.679 </w:t>
            </w:r>
          </w:p>
        </w:tc>
        <w:tc>
          <w:tcPr>
            <w:tcW w:w="136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-1.887 </w:t>
            </w:r>
          </w:p>
        </w:tc>
      </w:tr>
      <w:tr w:rsidR="00E33D26" w:rsidRPr="0024046B" w:rsidTr="00E33D26">
        <w:trPr>
          <w:cnfStyle w:val="000000100000"/>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Real wage of Unskilled </w:t>
            </w:r>
            <w:proofErr w:type="spellStart"/>
            <w:r w:rsidRPr="0024046B">
              <w:rPr>
                <w:rFonts w:ascii="Garamond" w:eastAsia="SimSun" w:hAnsi="Garamond" w:cs="SimSun"/>
                <w:color w:val="000000"/>
                <w:kern w:val="0"/>
                <w:sz w:val="18"/>
                <w:szCs w:val="18"/>
              </w:rPr>
              <w:t>labour</w:t>
            </w:r>
            <w:proofErr w:type="spellEnd"/>
            <w:r w:rsidRPr="0024046B">
              <w:rPr>
                <w:rFonts w:ascii="Garamond" w:eastAsia="SimSun" w:hAnsi="Garamond" w:cs="SimSun"/>
                <w:color w:val="000000"/>
                <w:kern w:val="0"/>
                <w:sz w:val="18"/>
                <w:szCs w:val="18"/>
              </w:rPr>
              <w:t xml:space="preserve"> </w:t>
            </w:r>
          </w:p>
        </w:tc>
        <w:tc>
          <w:tcPr>
            <w:tcW w:w="1111"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-4.895 </w:t>
            </w:r>
          </w:p>
        </w:tc>
        <w:tc>
          <w:tcPr>
            <w:tcW w:w="113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-2.877 </w:t>
            </w:r>
          </w:p>
        </w:tc>
        <w:tc>
          <w:tcPr>
            <w:tcW w:w="1119"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-2.117 </w:t>
            </w:r>
          </w:p>
        </w:tc>
        <w:tc>
          <w:tcPr>
            <w:tcW w:w="1360" w:type="dxa"/>
            <w:hideMark/>
          </w:tcPr>
          <w:p w:rsidR="00E33D26" w:rsidRPr="0024046B" w:rsidRDefault="00E33D26" w:rsidP="00E33D26">
            <w:pPr>
              <w:widowControl/>
              <w:jc w:val="right"/>
              <w:cnfStyle w:val="0000001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-2.039 </w:t>
            </w:r>
          </w:p>
        </w:tc>
      </w:tr>
      <w:tr w:rsidR="00E33D26" w:rsidRPr="0024046B" w:rsidTr="00E33D26">
        <w:trPr>
          <w:trHeight w:val="285"/>
        </w:trPr>
        <w:tc>
          <w:tcPr>
            <w:cnfStyle w:val="001000000000"/>
            <w:tcW w:w="3860" w:type="dxa"/>
            <w:noWrap/>
            <w:hideMark/>
          </w:tcPr>
          <w:p w:rsidR="00E33D26" w:rsidRPr="0024046B" w:rsidRDefault="00E33D26" w:rsidP="0024046B">
            <w:pPr>
              <w:widowControl/>
              <w:ind w:firstLineChars="100" w:firstLine="181"/>
              <w:jc w:val="left"/>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Real wage of skilled </w:t>
            </w:r>
            <w:proofErr w:type="spellStart"/>
            <w:r w:rsidRPr="0024046B">
              <w:rPr>
                <w:rFonts w:ascii="Garamond" w:eastAsia="SimSun" w:hAnsi="Garamond" w:cs="SimSun"/>
                <w:color w:val="000000"/>
                <w:kern w:val="0"/>
                <w:sz w:val="18"/>
                <w:szCs w:val="18"/>
              </w:rPr>
              <w:t>labour</w:t>
            </w:r>
            <w:proofErr w:type="spellEnd"/>
            <w:r w:rsidRPr="0024046B">
              <w:rPr>
                <w:rFonts w:ascii="Garamond" w:eastAsia="SimSun" w:hAnsi="Garamond" w:cs="SimSun"/>
                <w:color w:val="000000"/>
                <w:kern w:val="0"/>
                <w:sz w:val="18"/>
                <w:szCs w:val="18"/>
              </w:rPr>
              <w:t xml:space="preserve"> </w:t>
            </w:r>
          </w:p>
        </w:tc>
        <w:tc>
          <w:tcPr>
            <w:tcW w:w="1111"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-3.651 </w:t>
            </w:r>
          </w:p>
        </w:tc>
        <w:tc>
          <w:tcPr>
            <w:tcW w:w="113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-2.704 </w:t>
            </w:r>
          </w:p>
        </w:tc>
        <w:tc>
          <w:tcPr>
            <w:tcW w:w="1119"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-1.692 </w:t>
            </w:r>
          </w:p>
        </w:tc>
        <w:tc>
          <w:tcPr>
            <w:tcW w:w="1360" w:type="dxa"/>
            <w:hideMark/>
          </w:tcPr>
          <w:p w:rsidR="00E33D26" w:rsidRPr="0024046B" w:rsidRDefault="00E33D26" w:rsidP="00E33D26">
            <w:pPr>
              <w:widowControl/>
              <w:jc w:val="right"/>
              <w:cnfStyle w:val="000000000000"/>
              <w:rPr>
                <w:rFonts w:ascii="Garamond" w:eastAsia="SimSun" w:hAnsi="Garamond" w:cs="SimSun"/>
                <w:color w:val="000000"/>
                <w:kern w:val="0"/>
                <w:sz w:val="18"/>
                <w:szCs w:val="18"/>
              </w:rPr>
            </w:pPr>
            <w:r w:rsidRPr="0024046B">
              <w:rPr>
                <w:rFonts w:ascii="Garamond" w:eastAsia="SimSun" w:hAnsi="Garamond" w:cs="SimSun"/>
                <w:color w:val="000000"/>
                <w:kern w:val="0"/>
                <w:sz w:val="18"/>
                <w:szCs w:val="18"/>
              </w:rPr>
              <w:t xml:space="preserve">-1.640 </w:t>
            </w:r>
          </w:p>
        </w:tc>
      </w:tr>
    </w:tbl>
    <w:p w:rsidR="00324AA0" w:rsidRDefault="00324AA0" w:rsidP="00324AA0">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E33D26" w:rsidRDefault="00E33D26">
      <w:pPr>
        <w:rPr>
          <w:lang w:val="en-CA"/>
        </w:rPr>
      </w:pPr>
    </w:p>
    <w:p w:rsidR="002E3F2D" w:rsidRDefault="00324AA0">
      <w:pPr>
        <w:rPr>
          <w:lang w:val="en-CA"/>
        </w:rPr>
      </w:pPr>
      <w:r>
        <w:rPr>
          <w:lang w:val="en-CA"/>
        </w:rPr>
        <w:t xml:space="preserve">To illustrate the difference of the dynamic path of the cumulative deviation of real GDP and investment in these four scenario, we pick Mexico because it </w:t>
      </w:r>
      <w:r w:rsidR="0017429D">
        <w:rPr>
          <w:lang w:val="en-CA"/>
        </w:rPr>
        <w:t xml:space="preserve">is </w:t>
      </w:r>
      <w:r w:rsidR="002E3F2D">
        <w:rPr>
          <w:lang w:val="en-CA"/>
        </w:rPr>
        <w:t xml:space="preserve">by far the most exposed economy to NAFTA lapsing. </w:t>
      </w:r>
      <w:r>
        <w:rPr>
          <w:lang w:val="en-CA"/>
        </w:rPr>
        <w:t xml:space="preserve">Figure 3 shows the deviation from the baseline of Mexico's real GDP. </w:t>
      </w:r>
      <w:r w:rsidR="0017429D">
        <w:rPr>
          <w:lang w:val="en-CA"/>
        </w:rPr>
        <w:t xml:space="preserve">We </w:t>
      </w:r>
      <w:r>
        <w:rPr>
          <w:lang w:val="en-CA"/>
        </w:rPr>
        <w:t xml:space="preserve">can see that scenario (2)-(4) reach the similar </w:t>
      </w:r>
      <w:r w:rsidR="0017429D">
        <w:rPr>
          <w:lang w:val="en-CA"/>
        </w:rPr>
        <w:t xml:space="preserve">results </w:t>
      </w:r>
      <w:r>
        <w:rPr>
          <w:lang w:val="en-CA"/>
        </w:rPr>
        <w:t xml:space="preserve">in the long run (2030), which </w:t>
      </w:r>
      <w:r w:rsidR="002E3F2D">
        <w:rPr>
          <w:lang w:val="en-CA"/>
        </w:rPr>
        <w:t>are</w:t>
      </w:r>
      <w:r>
        <w:rPr>
          <w:lang w:val="en-CA"/>
        </w:rPr>
        <w:t xml:space="preserve"> noticeably different from scenario (1). As we mentioned before, </w:t>
      </w:r>
      <w:r w:rsidR="0017429D">
        <w:rPr>
          <w:lang w:val="en-CA"/>
        </w:rPr>
        <w:t xml:space="preserve">this </w:t>
      </w:r>
      <w:r>
        <w:rPr>
          <w:lang w:val="en-CA"/>
        </w:rPr>
        <w:t xml:space="preserve">is due to the </w:t>
      </w:r>
      <w:r w:rsidR="001849B7">
        <w:rPr>
          <w:lang w:val="en-CA"/>
        </w:rPr>
        <w:t xml:space="preserve">reduction of growth rate of capital stock (KHAT) further dampen the investment when a country face an unfavourable shock. </w:t>
      </w:r>
    </w:p>
    <w:p w:rsidR="002E3F2D" w:rsidRDefault="002E3F2D">
      <w:pPr>
        <w:rPr>
          <w:lang w:val="en-CA"/>
        </w:rPr>
      </w:pPr>
    </w:p>
    <w:p w:rsidR="00324AA0" w:rsidRDefault="001849B7">
      <w:pPr>
        <w:rPr>
          <w:lang w:val="en-CA"/>
        </w:rPr>
      </w:pPr>
      <w:r>
        <w:rPr>
          <w:lang w:val="en-CA"/>
        </w:rPr>
        <w:t xml:space="preserve">Scenario (4) </w:t>
      </w:r>
      <w:r w:rsidR="0017429D">
        <w:rPr>
          <w:lang w:val="en-CA"/>
        </w:rPr>
        <w:t xml:space="preserve">shows </w:t>
      </w:r>
      <w:r>
        <w:rPr>
          <w:lang w:val="en-CA"/>
        </w:rPr>
        <w:t xml:space="preserve">a bigger drop in real GDP in the short-run because </w:t>
      </w:r>
      <w:r w:rsidR="0017429D">
        <w:rPr>
          <w:lang w:val="en-CA"/>
        </w:rPr>
        <w:t xml:space="preserve">of </w:t>
      </w:r>
      <w:r>
        <w:rPr>
          <w:lang w:val="en-CA"/>
        </w:rPr>
        <w:t>the sticky-wage mechanism. When Mexico faces the decline in demand for export, the terms of trade and p</w:t>
      </w:r>
      <w:r w:rsidR="002E3F2D">
        <w:rPr>
          <w:lang w:val="en-CA"/>
        </w:rPr>
        <w:t>rofit margin</w:t>
      </w:r>
      <w:r w:rsidR="0017429D">
        <w:rPr>
          <w:lang w:val="en-CA"/>
        </w:rPr>
        <w:t>s</w:t>
      </w:r>
      <w:r w:rsidR="002E3F2D">
        <w:rPr>
          <w:lang w:val="en-CA"/>
        </w:rPr>
        <w:t xml:space="preserve"> shrink. Producers</w:t>
      </w:r>
      <w:r>
        <w:rPr>
          <w:lang w:val="en-CA"/>
        </w:rPr>
        <w:t xml:space="preserve"> tend to lay off their </w:t>
      </w:r>
      <w:r w:rsidR="0017429D">
        <w:rPr>
          <w:lang w:val="en-CA"/>
        </w:rPr>
        <w:t xml:space="preserve">workers </w:t>
      </w:r>
      <w:r>
        <w:rPr>
          <w:lang w:val="en-CA"/>
        </w:rPr>
        <w:t xml:space="preserve">under the fix real wage in the short term </w:t>
      </w:r>
      <w:r w:rsidR="0017429D">
        <w:rPr>
          <w:lang w:val="en-CA"/>
        </w:rPr>
        <w:t xml:space="preserve">(i.e., </w:t>
      </w:r>
      <w:r>
        <w:rPr>
          <w:lang w:val="en-CA"/>
        </w:rPr>
        <w:t>sticky-wage</w:t>
      </w:r>
      <w:r w:rsidR="0017429D">
        <w:rPr>
          <w:lang w:val="en-CA"/>
        </w:rPr>
        <w:t>)</w:t>
      </w:r>
      <w:r>
        <w:rPr>
          <w:lang w:val="en-CA"/>
        </w:rPr>
        <w:t xml:space="preserve"> </w:t>
      </w:r>
      <w:r w:rsidR="006D3D46">
        <w:rPr>
          <w:lang w:val="en-CA"/>
        </w:rPr>
        <w:t>scenario</w:t>
      </w:r>
      <w:r>
        <w:rPr>
          <w:lang w:val="en-CA"/>
        </w:rPr>
        <w:t>. With higher unemployment in the short-run, the economy shrink</w:t>
      </w:r>
      <w:r w:rsidR="006D3D46">
        <w:rPr>
          <w:lang w:val="en-CA"/>
        </w:rPr>
        <w:t>s</w:t>
      </w:r>
      <w:r>
        <w:rPr>
          <w:lang w:val="en-CA"/>
        </w:rPr>
        <w:t xml:space="preserve"> more in scenario (4) com</w:t>
      </w:r>
      <w:r w:rsidR="002E3F2D">
        <w:rPr>
          <w:lang w:val="en-CA"/>
        </w:rPr>
        <w:t>pare</w:t>
      </w:r>
      <w:r w:rsidR="006D3D46">
        <w:rPr>
          <w:lang w:val="en-CA"/>
        </w:rPr>
        <w:t>d</w:t>
      </w:r>
      <w:r w:rsidR="002E3F2D">
        <w:rPr>
          <w:lang w:val="en-CA"/>
        </w:rPr>
        <w:t xml:space="preserve"> to the other </w:t>
      </w:r>
      <w:r w:rsidR="006D3D46">
        <w:rPr>
          <w:lang w:val="en-CA"/>
        </w:rPr>
        <w:t>scenarios</w:t>
      </w:r>
      <w:r w:rsidR="002E3F2D">
        <w:rPr>
          <w:lang w:val="en-CA"/>
        </w:rPr>
        <w:t xml:space="preserve">. </w:t>
      </w:r>
    </w:p>
    <w:p w:rsidR="00E64650" w:rsidRDefault="00E64650">
      <w:pPr>
        <w:rPr>
          <w:lang w:val="en-CA"/>
        </w:rPr>
      </w:pPr>
    </w:p>
    <w:p w:rsidR="00E33D26" w:rsidRPr="00324AA0" w:rsidRDefault="00324AA0">
      <w:pPr>
        <w:rPr>
          <w:b/>
          <w:lang w:val="en-CA"/>
        </w:rPr>
      </w:pPr>
      <w:r w:rsidRPr="00324AA0">
        <w:rPr>
          <w:b/>
          <w:lang w:val="en-CA"/>
        </w:rPr>
        <w:t xml:space="preserve">Figure 3. Cumulative deviation from baseline of Mexico's real GDP (%) </w:t>
      </w:r>
    </w:p>
    <w:p w:rsidR="00BB592B" w:rsidRDefault="00324AA0">
      <w:pPr>
        <w:rPr>
          <w:lang w:val="en-CA"/>
        </w:rPr>
      </w:pPr>
      <w:r w:rsidRPr="00324AA0">
        <w:rPr>
          <w:noProof/>
        </w:rPr>
        <w:drawing>
          <wp:inline distT="0" distB="0" distL="0" distR="0">
            <wp:extent cx="5274310" cy="2316057"/>
            <wp:effectExtent l="19050" t="0" r="21590" b="8043"/>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24AA0" w:rsidRDefault="00324AA0" w:rsidP="00324AA0">
      <w:pPr>
        <w:rPr>
          <w:lang w:val="en-CA"/>
        </w:rPr>
      </w:pPr>
      <w:r>
        <w:rPr>
          <w:lang w:val="en-CA"/>
        </w:rPr>
        <w:t>source: Simulation results by authors</w:t>
      </w:r>
    </w:p>
    <w:p w:rsidR="00BB592B" w:rsidRDefault="00BB592B">
      <w:pPr>
        <w:rPr>
          <w:lang w:val="en-CA"/>
        </w:rPr>
      </w:pPr>
    </w:p>
    <w:p w:rsidR="00E64650" w:rsidRPr="00D91FA3" w:rsidRDefault="001849B7">
      <w:pPr>
        <w:rPr>
          <w:lang w:val="en-CA"/>
        </w:rPr>
      </w:pPr>
      <w:r>
        <w:rPr>
          <w:lang w:val="en-CA"/>
        </w:rPr>
        <w:t xml:space="preserve">Figure 4 shows the deviation of investment </w:t>
      </w:r>
      <w:r w:rsidR="00E64650">
        <w:rPr>
          <w:lang w:val="en-CA"/>
        </w:rPr>
        <w:t xml:space="preserve">of Mexico from its baseline. The adjustable capital </w:t>
      </w:r>
      <w:r w:rsidR="00E64650">
        <w:rPr>
          <w:lang w:val="en-CA"/>
        </w:rPr>
        <w:lastRenderedPageBreak/>
        <w:t xml:space="preserve">growth rate, KHAT, contributes more than half of the total reduction of investment. When we </w:t>
      </w:r>
      <w:r w:rsidR="00C7594A">
        <w:rPr>
          <w:lang w:val="en-CA"/>
        </w:rPr>
        <w:t>turn off</w:t>
      </w:r>
      <w:r w:rsidR="00E64650">
        <w:rPr>
          <w:lang w:val="en-CA"/>
        </w:rPr>
        <w:t xml:space="preserve"> this feedback loop to the investment function</w:t>
      </w:r>
      <w:r w:rsidR="00C7594A">
        <w:rPr>
          <w:lang w:val="en-CA"/>
        </w:rPr>
        <w:t xml:space="preserve"> (scenario 2)</w:t>
      </w:r>
      <w:r w:rsidR="00E64650">
        <w:rPr>
          <w:lang w:val="en-CA"/>
        </w:rPr>
        <w:t>, we found it has similar impact with the simulation results using the USAGE-type investment function.</w:t>
      </w:r>
      <w:r w:rsidR="00D91FA3">
        <w:rPr>
          <w:lang w:val="en-CA"/>
        </w:rPr>
        <w:t xml:space="preserve"> </w:t>
      </w:r>
    </w:p>
    <w:p w:rsidR="00324AA0" w:rsidRPr="00324AA0" w:rsidRDefault="00324AA0" w:rsidP="00324AA0">
      <w:pPr>
        <w:rPr>
          <w:b/>
          <w:lang w:val="en-CA"/>
        </w:rPr>
      </w:pPr>
      <w:r>
        <w:rPr>
          <w:b/>
          <w:lang w:val="en-CA"/>
        </w:rPr>
        <w:t>Figure 4</w:t>
      </w:r>
      <w:r w:rsidRPr="00324AA0">
        <w:rPr>
          <w:b/>
          <w:lang w:val="en-CA"/>
        </w:rPr>
        <w:t>. Cumulative deviation from baseline</w:t>
      </w:r>
      <w:r>
        <w:rPr>
          <w:b/>
          <w:lang w:val="en-CA"/>
        </w:rPr>
        <w:t xml:space="preserve"> of Mexico's Investment</w:t>
      </w:r>
      <w:r w:rsidRPr="00324AA0">
        <w:rPr>
          <w:b/>
          <w:lang w:val="en-CA"/>
        </w:rPr>
        <w:t xml:space="preserve"> (%) </w:t>
      </w:r>
    </w:p>
    <w:p w:rsidR="00324AA0" w:rsidRDefault="00324AA0">
      <w:pPr>
        <w:rPr>
          <w:lang w:val="en-CA"/>
        </w:rPr>
      </w:pPr>
      <w:r w:rsidRPr="00324AA0">
        <w:rPr>
          <w:noProof/>
        </w:rPr>
        <w:drawing>
          <wp:inline distT="0" distB="0" distL="0" distR="0">
            <wp:extent cx="5274310" cy="2291639"/>
            <wp:effectExtent l="19050" t="0" r="2159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24AA0" w:rsidRDefault="00324AA0" w:rsidP="00324AA0">
      <w:pPr>
        <w:rPr>
          <w:lang w:val="en-CA"/>
        </w:rPr>
      </w:pPr>
      <w:r>
        <w:rPr>
          <w:lang w:val="en-CA"/>
        </w:rPr>
        <w:t>source: Simulation results by authors</w:t>
      </w:r>
    </w:p>
    <w:p w:rsidR="00C7594A" w:rsidRDefault="00C7594A" w:rsidP="00C7594A">
      <w:pPr>
        <w:rPr>
          <w:lang w:val="en-CA"/>
        </w:rPr>
      </w:pPr>
    </w:p>
    <w:p w:rsidR="00C7594A" w:rsidRDefault="00C7594A" w:rsidP="00C7594A">
      <w:pPr>
        <w:rPr>
          <w:lang w:val="en-CA"/>
        </w:rPr>
      </w:pPr>
      <w:r>
        <w:rPr>
          <w:lang w:val="en-CA"/>
        </w:rPr>
        <w:t>Figure 5 shows the labour market dynamic</w:t>
      </w:r>
      <w:r w:rsidR="006D3D46">
        <w:rPr>
          <w:lang w:val="en-CA"/>
        </w:rPr>
        <w:t>s</w:t>
      </w:r>
      <w:r>
        <w:rPr>
          <w:lang w:val="en-CA"/>
        </w:rPr>
        <w:t xml:space="preserve"> in the sticky-wage scenario (4). We see that in the short-run both unskilled and unskilled labour decline substantially. With the wage rates </w:t>
      </w:r>
      <w:r w:rsidR="006D3D46">
        <w:rPr>
          <w:lang w:val="en-CA"/>
        </w:rPr>
        <w:t xml:space="preserve">declining </w:t>
      </w:r>
      <w:r>
        <w:rPr>
          <w:lang w:val="en-CA"/>
        </w:rPr>
        <w:t>in the later years, employment gradually restores to its long-term base level.</w:t>
      </w:r>
    </w:p>
    <w:p w:rsidR="00324AA0" w:rsidRPr="00C7594A" w:rsidRDefault="00324AA0">
      <w:pPr>
        <w:rPr>
          <w:lang w:val="en-CA"/>
        </w:rPr>
      </w:pPr>
    </w:p>
    <w:p w:rsidR="00D91FA3" w:rsidRPr="00D91FA3" w:rsidRDefault="00D91FA3">
      <w:pPr>
        <w:rPr>
          <w:b/>
          <w:lang w:val="en-CA"/>
        </w:rPr>
      </w:pPr>
      <w:r w:rsidRPr="00D91FA3">
        <w:rPr>
          <w:b/>
          <w:lang w:val="en-CA"/>
        </w:rPr>
        <w:t>Figure 5. Cumulative Deviation from baseline of Mexico's wages and employment (%)</w:t>
      </w:r>
    </w:p>
    <w:p w:rsidR="00324AA0" w:rsidRDefault="00D91FA3">
      <w:pPr>
        <w:rPr>
          <w:lang w:val="en-CA"/>
        </w:rPr>
      </w:pPr>
      <w:r w:rsidRPr="00D91FA3">
        <w:rPr>
          <w:noProof/>
        </w:rPr>
        <w:drawing>
          <wp:inline distT="0" distB="0" distL="0" distR="0">
            <wp:extent cx="5274310" cy="2384428"/>
            <wp:effectExtent l="19050" t="0" r="21590" b="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91FA3" w:rsidRDefault="00D91FA3" w:rsidP="00D91FA3">
      <w:pPr>
        <w:rPr>
          <w:lang w:val="en-CA"/>
        </w:rPr>
      </w:pPr>
      <w:r>
        <w:rPr>
          <w:lang w:val="en-CA"/>
        </w:rPr>
        <w:t>source: Simulation results by authors</w:t>
      </w:r>
    </w:p>
    <w:p w:rsidR="00324AA0" w:rsidRDefault="00324AA0">
      <w:pPr>
        <w:rPr>
          <w:lang w:val="en-CA"/>
        </w:rPr>
      </w:pPr>
    </w:p>
    <w:p w:rsidR="00E63D80" w:rsidRDefault="009838FE">
      <w:pPr>
        <w:rPr>
          <w:lang w:val="en-CA"/>
        </w:rPr>
      </w:pPr>
      <w:r>
        <w:rPr>
          <w:lang w:val="en-CA"/>
        </w:rPr>
        <w:t xml:space="preserve">For sectoral results, </w:t>
      </w:r>
      <w:r w:rsidR="00E63D80">
        <w:rPr>
          <w:lang w:val="en-CA"/>
        </w:rPr>
        <w:t xml:space="preserve">the correlation of the </w:t>
      </w:r>
      <w:r w:rsidR="00C7594A">
        <w:rPr>
          <w:lang w:val="en-CA"/>
        </w:rPr>
        <w:t xml:space="preserve">value </w:t>
      </w:r>
      <w:r w:rsidR="00E63D80">
        <w:rPr>
          <w:lang w:val="en-CA"/>
        </w:rPr>
        <w:t>add (</w:t>
      </w:r>
      <w:proofErr w:type="spellStart"/>
      <w:r w:rsidR="00E63D80">
        <w:rPr>
          <w:lang w:val="en-CA"/>
        </w:rPr>
        <w:t>i.e.,qva</w:t>
      </w:r>
      <w:proofErr w:type="spellEnd"/>
      <w:r w:rsidR="00E63D80">
        <w:rPr>
          <w:lang w:val="en-CA"/>
        </w:rPr>
        <w:t>) are high (over 0.8</w:t>
      </w:r>
      <w:r w:rsidR="00C7594A">
        <w:rPr>
          <w:lang w:val="en-CA"/>
        </w:rPr>
        <w:t xml:space="preserve"> as shown in Table 5</w:t>
      </w:r>
      <w:r w:rsidR="00E63D80">
        <w:rPr>
          <w:lang w:val="en-CA"/>
        </w:rPr>
        <w:t>). That means two model</w:t>
      </w:r>
      <w:r w:rsidR="00C7594A">
        <w:rPr>
          <w:lang w:val="en-CA"/>
        </w:rPr>
        <w:t>s</w:t>
      </w:r>
      <w:r w:rsidR="00E63D80">
        <w:rPr>
          <w:lang w:val="en-CA"/>
        </w:rPr>
        <w:t xml:space="preserve"> predict the similar winners and losers. However,</w:t>
      </w:r>
      <w:r>
        <w:rPr>
          <w:lang w:val="en-CA"/>
        </w:rPr>
        <w:t xml:space="preserve"> </w:t>
      </w:r>
      <w:r w:rsidR="00E63D80">
        <w:rPr>
          <w:lang w:val="en-CA"/>
        </w:rPr>
        <w:t xml:space="preserve">the variance of </w:t>
      </w:r>
      <w:proofErr w:type="spellStart"/>
      <w:r w:rsidR="00E63D80">
        <w:rPr>
          <w:lang w:val="en-CA"/>
        </w:rPr>
        <w:t>sectoral</w:t>
      </w:r>
      <w:proofErr w:type="spellEnd"/>
      <w:r w:rsidR="00E63D80">
        <w:rPr>
          <w:lang w:val="en-CA"/>
        </w:rPr>
        <w:t xml:space="preserve"> results </w:t>
      </w:r>
      <w:r w:rsidR="006D3D46">
        <w:rPr>
          <w:lang w:val="en-CA"/>
        </w:rPr>
        <w:t xml:space="preserve">is </w:t>
      </w:r>
      <w:r w:rsidR="00E63D80">
        <w:rPr>
          <w:lang w:val="en-CA"/>
        </w:rPr>
        <w:t>significantly different</w:t>
      </w:r>
      <w:r w:rsidR="00C7594A">
        <w:rPr>
          <w:lang w:val="en-CA"/>
        </w:rPr>
        <w:t xml:space="preserve"> between models</w:t>
      </w:r>
      <w:r w:rsidR="00E63D80">
        <w:rPr>
          <w:lang w:val="en-CA"/>
        </w:rPr>
        <w:t xml:space="preserve">. </w:t>
      </w:r>
      <w:r w:rsidR="006D3D46">
        <w:rPr>
          <w:lang w:val="en-CA"/>
        </w:rPr>
        <w:t>In general</w:t>
      </w:r>
      <w:r>
        <w:rPr>
          <w:lang w:val="en-CA"/>
        </w:rPr>
        <w:t xml:space="preserve">, </w:t>
      </w:r>
      <w:r w:rsidR="006D3D46">
        <w:rPr>
          <w:lang w:val="en-CA"/>
        </w:rPr>
        <w:t xml:space="preserve">the </w:t>
      </w:r>
      <w:proofErr w:type="spellStart"/>
      <w:r>
        <w:rPr>
          <w:lang w:val="en-CA"/>
        </w:rPr>
        <w:t>GDyn</w:t>
      </w:r>
      <w:proofErr w:type="spellEnd"/>
      <w:r>
        <w:rPr>
          <w:lang w:val="en-CA"/>
        </w:rPr>
        <w:t xml:space="preserve"> model </w:t>
      </w:r>
      <w:r w:rsidR="006D3D46">
        <w:rPr>
          <w:lang w:val="en-CA"/>
        </w:rPr>
        <w:t xml:space="preserve">has </w:t>
      </w:r>
      <w:r>
        <w:rPr>
          <w:lang w:val="en-CA"/>
        </w:rPr>
        <w:t>much bigger variance in term</w:t>
      </w:r>
      <w:r w:rsidR="006D3D46">
        <w:rPr>
          <w:lang w:val="en-CA"/>
        </w:rPr>
        <w:t>s</w:t>
      </w:r>
      <w:r>
        <w:rPr>
          <w:lang w:val="en-CA"/>
        </w:rPr>
        <w:t xml:space="preserve"> of the </w:t>
      </w:r>
      <w:r w:rsidR="00C7594A">
        <w:rPr>
          <w:lang w:val="en-CA"/>
        </w:rPr>
        <w:t xml:space="preserve">% change of value </w:t>
      </w:r>
      <w:r>
        <w:rPr>
          <w:lang w:val="en-CA"/>
        </w:rPr>
        <w:t xml:space="preserve">add </w:t>
      </w:r>
      <w:r w:rsidR="00E63D80">
        <w:rPr>
          <w:lang w:val="en-CA"/>
        </w:rPr>
        <w:t>across 33 sectors in our study. The stand</w:t>
      </w:r>
      <w:r w:rsidR="00C7594A">
        <w:rPr>
          <w:lang w:val="en-CA"/>
        </w:rPr>
        <w:t xml:space="preserve">ard deviation of </w:t>
      </w:r>
      <w:proofErr w:type="spellStart"/>
      <w:r w:rsidR="006D3D46">
        <w:rPr>
          <w:lang w:val="en-CA"/>
        </w:rPr>
        <w:t>sectoral</w:t>
      </w:r>
      <w:proofErr w:type="spellEnd"/>
      <w:r w:rsidR="006D3D46">
        <w:rPr>
          <w:lang w:val="en-CA"/>
        </w:rPr>
        <w:t xml:space="preserve"> </w:t>
      </w:r>
      <w:r w:rsidR="00C7594A">
        <w:rPr>
          <w:lang w:val="en-CA"/>
        </w:rPr>
        <w:t xml:space="preserve">value </w:t>
      </w:r>
      <w:r w:rsidR="00E63D80">
        <w:rPr>
          <w:lang w:val="en-CA"/>
        </w:rPr>
        <w:t xml:space="preserve">add in Mexico in scenario (1) with </w:t>
      </w:r>
      <w:proofErr w:type="spellStart"/>
      <w:r w:rsidR="00E63D80">
        <w:rPr>
          <w:lang w:val="en-CA"/>
        </w:rPr>
        <w:t>GDyn</w:t>
      </w:r>
      <w:proofErr w:type="spellEnd"/>
      <w:r w:rsidR="00E63D80">
        <w:rPr>
          <w:lang w:val="en-CA"/>
        </w:rPr>
        <w:t xml:space="preserve"> is 16.96 (scenario (</w:t>
      </w:r>
      <w:r w:rsidR="00C7594A">
        <w:rPr>
          <w:lang w:val="en-CA"/>
        </w:rPr>
        <w:t>4</w:t>
      </w:r>
      <w:r w:rsidR="00E63D80">
        <w:rPr>
          <w:lang w:val="en-CA"/>
        </w:rPr>
        <w:t xml:space="preserve">) with </w:t>
      </w:r>
      <w:proofErr w:type="spellStart"/>
      <w:r w:rsidR="00A14A80">
        <w:rPr>
          <w:lang w:val="en-CA"/>
        </w:rPr>
        <w:t>G</w:t>
      </w:r>
      <w:r w:rsidR="00A14A80">
        <w:rPr>
          <w:rFonts w:hint="eastAsia"/>
          <w:lang w:val="en-CA"/>
        </w:rPr>
        <w:t>Dyn</w:t>
      </w:r>
      <w:r w:rsidR="00A14A80">
        <w:rPr>
          <w:lang w:val="en-CA"/>
        </w:rPr>
        <w:t>ISM</w:t>
      </w:r>
      <w:proofErr w:type="spellEnd"/>
      <w:r w:rsidR="00E63D80">
        <w:rPr>
          <w:lang w:val="en-CA"/>
        </w:rPr>
        <w:t xml:space="preserve"> is only 4.31). The</w:t>
      </w:r>
      <w:r w:rsidR="00C7594A">
        <w:rPr>
          <w:lang w:val="en-CA"/>
        </w:rPr>
        <w:t xml:space="preserve"> main reason </w:t>
      </w:r>
      <w:r w:rsidR="006D3D46">
        <w:rPr>
          <w:lang w:val="en-CA"/>
        </w:rPr>
        <w:t xml:space="preserve">behind </w:t>
      </w:r>
      <w:r w:rsidR="00C7594A">
        <w:rPr>
          <w:lang w:val="en-CA"/>
        </w:rPr>
        <w:t xml:space="preserve">this is </w:t>
      </w:r>
      <w:r w:rsidR="00E63D80">
        <w:rPr>
          <w:lang w:val="en-CA"/>
        </w:rPr>
        <w:t>capital mobility</w:t>
      </w:r>
      <w:r w:rsidR="00C7594A">
        <w:rPr>
          <w:lang w:val="en-CA"/>
        </w:rPr>
        <w:t xml:space="preserve"> across sectors within </w:t>
      </w:r>
      <w:r w:rsidR="00C7594A">
        <w:rPr>
          <w:lang w:val="en-CA"/>
        </w:rPr>
        <w:lastRenderedPageBreak/>
        <w:t>regions</w:t>
      </w:r>
      <w:r w:rsidR="00E63D80">
        <w:rPr>
          <w:lang w:val="en-CA"/>
        </w:rPr>
        <w:t xml:space="preserve"> in </w:t>
      </w:r>
      <w:proofErr w:type="spellStart"/>
      <w:r w:rsidR="00E63D80">
        <w:rPr>
          <w:lang w:val="en-CA"/>
        </w:rPr>
        <w:t>GDyn</w:t>
      </w:r>
      <w:proofErr w:type="spellEnd"/>
      <w:r w:rsidR="00E63D80">
        <w:rPr>
          <w:lang w:val="en-CA"/>
        </w:rPr>
        <w:t xml:space="preserve">. As we mentioned, </w:t>
      </w:r>
      <w:r w:rsidR="00022AB1">
        <w:rPr>
          <w:lang w:val="en-CA"/>
        </w:rPr>
        <w:t xml:space="preserve">there is no </w:t>
      </w:r>
      <w:r w:rsidR="006D3D46">
        <w:rPr>
          <w:lang w:val="en-CA"/>
        </w:rPr>
        <w:t>sector</w:t>
      </w:r>
      <w:r w:rsidR="00022AB1">
        <w:rPr>
          <w:lang w:val="en-CA"/>
        </w:rPr>
        <w:t xml:space="preserve">-specific </w:t>
      </w:r>
      <w:r w:rsidR="00E63D80">
        <w:rPr>
          <w:lang w:val="en-CA"/>
        </w:rPr>
        <w:t>capital and investment</w:t>
      </w:r>
      <w:r w:rsidR="00022AB1">
        <w:rPr>
          <w:lang w:val="en-CA"/>
        </w:rPr>
        <w:t xml:space="preserve"> in </w:t>
      </w:r>
      <w:proofErr w:type="spellStart"/>
      <w:r w:rsidR="00022AB1">
        <w:rPr>
          <w:lang w:val="en-CA"/>
        </w:rPr>
        <w:t>GDyn</w:t>
      </w:r>
      <w:proofErr w:type="spellEnd"/>
      <w:r w:rsidR="00022AB1">
        <w:rPr>
          <w:lang w:val="en-CA"/>
        </w:rPr>
        <w:t xml:space="preserve">. It assumes </w:t>
      </w:r>
      <w:r w:rsidR="00A7679C">
        <w:rPr>
          <w:lang w:val="en-CA"/>
        </w:rPr>
        <w:t xml:space="preserve">that </w:t>
      </w:r>
      <w:r w:rsidR="00022AB1">
        <w:rPr>
          <w:lang w:val="en-CA"/>
        </w:rPr>
        <w:t xml:space="preserve">the capital are mobile within regions even </w:t>
      </w:r>
      <w:r w:rsidR="006D3D46">
        <w:rPr>
          <w:lang w:val="en-CA"/>
        </w:rPr>
        <w:t>in the short run</w:t>
      </w:r>
      <w:r w:rsidR="00022AB1">
        <w:rPr>
          <w:lang w:val="en-CA"/>
        </w:rPr>
        <w:t xml:space="preserve">. </w:t>
      </w:r>
      <w:r w:rsidR="00A7679C">
        <w:rPr>
          <w:lang w:val="en-CA"/>
        </w:rPr>
        <w:t>However, this may significantly overestimate some sectoral impact. For example, the NAFTA lapse lead</w:t>
      </w:r>
      <w:r w:rsidR="006D3D46">
        <w:rPr>
          <w:lang w:val="en-CA"/>
        </w:rPr>
        <w:t>s</w:t>
      </w:r>
      <w:r w:rsidR="00A7679C">
        <w:rPr>
          <w:lang w:val="en-CA"/>
        </w:rPr>
        <w:t xml:space="preserve"> to a significant tariff reversion on pork and poultry in Mexico, which will</w:t>
      </w:r>
      <w:r w:rsidR="009D0969">
        <w:rPr>
          <w:lang w:val="en-CA"/>
        </w:rPr>
        <w:t xml:space="preserve"> benefit domestic producers. This impact is captured by both models (see Table A5 and A6 in Appendix). </w:t>
      </w:r>
      <w:r w:rsidR="00C7594A">
        <w:rPr>
          <w:lang w:val="en-CA"/>
        </w:rPr>
        <w:t xml:space="preserve">But </w:t>
      </w:r>
      <w:r w:rsidR="006D3D46">
        <w:rPr>
          <w:lang w:val="en-CA"/>
        </w:rPr>
        <w:t xml:space="preserve">the </w:t>
      </w:r>
      <w:proofErr w:type="spellStart"/>
      <w:r w:rsidR="009D0969">
        <w:rPr>
          <w:lang w:val="en-CA"/>
        </w:rPr>
        <w:t>GDyn</w:t>
      </w:r>
      <w:proofErr w:type="spellEnd"/>
      <w:r w:rsidR="009D0969">
        <w:rPr>
          <w:lang w:val="en-CA"/>
        </w:rPr>
        <w:t xml:space="preserve"> model suggests almost 100% jump in sector output and value add</w:t>
      </w:r>
      <w:r w:rsidR="006D3D46">
        <w:rPr>
          <w:lang w:val="en-CA"/>
        </w:rPr>
        <w:t>ed</w:t>
      </w:r>
      <w:r w:rsidR="009D0969">
        <w:rPr>
          <w:lang w:val="en-CA"/>
        </w:rPr>
        <w:t xml:space="preserve">, while </w:t>
      </w:r>
      <w:proofErr w:type="spellStart"/>
      <w:r w:rsidR="00A14A80">
        <w:rPr>
          <w:lang w:val="en-CA"/>
        </w:rPr>
        <w:t>GD</w:t>
      </w:r>
      <w:r w:rsidR="00A14A80">
        <w:rPr>
          <w:rFonts w:hint="eastAsia"/>
          <w:lang w:val="en-CA"/>
        </w:rPr>
        <w:t>yn</w:t>
      </w:r>
      <w:r w:rsidR="00A14A80">
        <w:rPr>
          <w:lang w:val="en-CA"/>
        </w:rPr>
        <w:t>ISM</w:t>
      </w:r>
      <w:proofErr w:type="spellEnd"/>
      <w:r w:rsidR="009D0969">
        <w:rPr>
          <w:lang w:val="en-CA"/>
        </w:rPr>
        <w:t xml:space="preserve"> model only has 16% expansion. If we decompose the effect from the supply side, we </w:t>
      </w:r>
      <w:r w:rsidR="006D3D46">
        <w:rPr>
          <w:lang w:val="en-CA"/>
        </w:rPr>
        <w:t xml:space="preserve">find </w:t>
      </w:r>
      <w:r w:rsidR="009D0969">
        <w:rPr>
          <w:lang w:val="en-CA"/>
        </w:rPr>
        <w:t>that capital and two type</w:t>
      </w:r>
      <w:r w:rsidR="006D3D46">
        <w:rPr>
          <w:lang w:val="en-CA"/>
        </w:rPr>
        <w:t>s</w:t>
      </w:r>
      <w:r w:rsidR="009D0969">
        <w:rPr>
          <w:lang w:val="en-CA"/>
        </w:rPr>
        <w:t xml:space="preserve"> of labour in this sector almost double</w:t>
      </w:r>
      <w:r w:rsidR="006D3D46">
        <w:rPr>
          <w:lang w:val="en-CA"/>
        </w:rPr>
        <w:t>s</w:t>
      </w:r>
      <w:r w:rsidR="009D0969">
        <w:rPr>
          <w:lang w:val="en-CA"/>
        </w:rPr>
        <w:t xml:space="preserve"> in this sector as shown in Table 6. This implies </w:t>
      </w:r>
      <w:r w:rsidR="006D3D46">
        <w:rPr>
          <w:lang w:val="en-CA"/>
        </w:rPr>
        <w:t xml:space="preserve">that </w:t>
      </w:r>
      <w:bookmarkStart w:id="2" w:name="_GoBack"/>
      <w:bookmarkEnd w:id="2"/>
      <w:r w:rsidR="009D0969">
        <w:rPr>
          <w:lang w:val="en-CA"/>
        </w:rPr>
        <w:t xml:space="preserve">the expansion of this sector is facing very little constraints, two main input, capital and labour can draw from other part of the economy freely. However, we should re-examine the validity of such assumption. Otherwise, </w:t>
      </w:r>
      <w:proofErr w:type="spellStart"/>
      <w:r w:rsidR="009D0969">
        <w:rPr>
          <w:lang w:val="en-CA"/>
        </w:rPr>
        <w:t>GDyn</w:t>
      </w:r>
      <w:proofErr w:type="spellEnd"/>
      <w:r w:rsidR="009D0969">
        <w:rPr>
          <w:lang w:val="en-CA"/>
        </w:rPr>
        <w:t xml:space="preserve"> tend to over- (under-) estimate sectoral impact</w:t>
      </w:r>
      <w:r w:rsidR="001D7B38">
        <w:rPr>
          <w:lang w:val="en-CA"/>
        </w:rPr>
        <w:t>s</w:t>
      </w:r>
      <w:r w:rsidR="009D0969">
        <w:rPr>
          <w:lang w:val="en-CA"/>
        </w:rPr>
        <w:t xml:space="preserve"> when </w:t>
      </w:r>
      <w:r w:rsidR="00142972">
        <w:rPr>
          <w:lang w:val="en-CA"/>
        </w:rPr>
        <w:t>the sector</w:t>
      </w:r>
      <w:r w:rsidR="009D0969">
        <w:rPr>
          <w:lang w:val="en-CA"/>
        </w:rPr>
        <w:t xml:space="preserve"> facing</w:t>
      </w:r>
      <w:r w:rsidR="00142972">
        <w:rPr>
          <w:lang w:val="en-CA"/>
        </w:rPr>
        <w:t xml:space="preserve"> favourable (unfavourable) shocks.</w:t>
      </w:r>
      <w:r w:rsidR="009D0969">
        <w:rPr>
          <w:lang w:val="en-CA"/>
        </w:rPr>
        <w:t xml:space="preserve"> </w:t>
      </w:r>
    </w:p>
    <w:p w:rsidR="00E63D80" w:rsidRPr="001D7B38" w:rsidRDefault="00E63D80">
      <w:pPr>
        <w:rPr>
          <w:lang w:val="en-CA"/>
        </w:rPr>
      </w:pPr>
    </w:p>
    <w:p w:rsidR="00E63D80" w:rsidRPr="00E63D80" w:rsidRDefault="00E63D80">
      <w:pPr>
        <w:rPr>
          <w:b/>
          <w:lang w:val="en-CA"/>
        </w:rPr>
      </w:pPr>
      <w:r w:rsidRPr="00E63D80">
        <w:rPr>
          <w:b/>
          <w:lang w:val="en-CA"/>
        </w:rPr>
        <w:t xml:space="preserve">Table 5. Statistics of </w:t>
      </w:r>
      <w:r w:rsidR="00416BC1">
        <w:rPr>
          <w:rFonts w:hint="eastAsia"/>
          <w:b/>
          <w:lang w:val="en-CA"/>
        </w:rPr>
        <w:t xml:space="preserve">% change of </w:t>
      </w:r>
      <w:r w:rsidR="00416BC1">
        <w:rPr>
          <w:b/>
          <w:lang w:val="en-CA"/>
        </w:rPr>
        <w:t>Value a</w:t>
      </w:r>
      <w:r w:rsidRPr="00E63D80">
        <w:rPr>
          <w:b/>
          <w:lang w:val="en-CA"/>
        </w:rPr>
        <w:t>dd</w:t>
      </w:r>
      <w:r>
        <w:rPr>
          <w:b/>
          <w:lang w:val="en-CA"/>
        </w:rPr>
        <w:t xml:space="preserve"> (</w:t>
      </w:r>
      <w:proofErr w:type="spellStart"/>
      <w:r>
        <w:rPr>
          <w:b/>
          <w:lang w:val="en-CA"/>
        </w:rPr>
        <w:t>qva</w:t>
      </w:r>
      <w:proofErr w:type="spellEnd"/>
      <w:r>
        <w:rPr>
          <w:b/>
          <w:lang w:val="en-CA"/>
        </w:rPr>
        <w:t>)</w:t>
      </w:r>
      <w:r w:rsidRPr="00E63D80">
        <w:rPr>
          <w:b/>
          <w:lang w:val="en-CA"/>
        </w:rPr>
        <w:t xml:space="preserve"> from two scenario</w:t>
      </w:r>
    </w:p>
    <w:tbl>
      <w:tblPr>
        <w:tblStyle w:val="LightShading-Accent12"/>
        <w:tblW w:w="9215" w:type="dxa"/>
        <w:tblInd w:w="-449" w:type="dxa"/>
        <w:tblLayout w:type="fixed"/>
        <w:tblLook w:val="04A0"/>
      </w:tblPr>
      <w:tblGrid>
        <w:gridCol w:w="1823"/>
        <w:gridCol w:w="1080"/>
        <w:gridCol w:w="1314"/>
        <w:gridCol w:w="1170"/>
        <w:gridCol w:w="1418"/>
        <w:gridCol w:w="992"/>
        <w:gridCol w:w="1418"/>
      </w:tblGrid>
      <w:tr w:rsidR="00E63D80" w:rsidRPr="00E63D80" w:rsidTr="00416BC1">
        <w:trPr>
          <w:cnfStyle w:val="100000000000"/>
          <w:trHeight w:val="285"/>
        </w:trPr>
        <w:tc>
          <w:tcPr>
            <w:cnfStyle w:val="001000000000"/>
            <w:tcW w:w="1823" w:type="dxa"/>
            <w:noWrap/>
            <w:hideMark/>
          </w:tcPr>
          <w:p w:rsidR="00E63D80" w:rsidRPr="00E63D80" w:rsidRDefault="00E63D80" w:rsidP="00E63D80">
            <w:pPr>
              <w:widowControl/>
              <w:jc w:val="left"/>
              <w:rPr>
                <w:rFonts w:ascii="Garamond" w:eastAsia="SimSun" w:hAnsi="Garamond" w:cs="SimSun"/>
                <w:color w:val="000000"/>
                <w:kern w:val="0"/>
                <w:sz w:val="18"/>
                <w:szCs w:val="18"/>
              </w:rPr>
            </w:pPr>
          </w:p>
        </w:tc>
        <w:tc>
          <w:tcPr>
            <w:tcW w:w="2394" w:type="dxa"/>
            <w:gridSpan w:val="2"/>
            <w:noWrap/>
            <w:hideMark/>
          </w:tcPr>
          <w:p w:rsidR="00E63D80" w:rsidRPr="00E63D80" w:rsidRDefault="00E63D80" w:rsidP="00E63D80">
            <w:pPr>
              <w:widowControl/>
              <w:jc w:val="center"/>
              <w:cnfStyle w:val="1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Canada</w:t>
            </w:r>
          </w:p>
        </w:tc>
        <w:tc>
          <w:tcPr>
            <w:tcW w:w="2588" w:type="dxa"/>
            <w:gridSpan w:val="2"/>
            <w:noWrap/>
            <w:hideMark/>
          </w:tcPr>
          <w:p w:rsidR="00E63D80" w:rsidRPr="00E63D80" w:rsidRDefault="00E63D80" w:rsidP="00E63D80">
            <w:pPr>
              <w:widowControl/>
              <w:jc w:val="center"/>
              <w:cnfStyle w:val="1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USA</w:t>
            </w:r>
          </w:p>
        </w:tc>
        <w:tc>
          <w:tcPr>
            <w:tcW w:w="2410" w:type="dxa"/>
            <w:gridSpan w:val="2"/>
            <w:noWrap/>
            <w:hideMark/>
          </w:tcPr>
          <w:p w:rsidR="00E63D80" w:rsidRPr="00E63D80" w:rsidRDefault="00E63D80" w:rsidP="00E63D80">
            <w:pPr>
              <w:widowControl/>
              <w:jc w:val="center"/>
              <w:cnfStyle w:val="1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Mexico</w:t>
            </w:r>
          </w:p>
        </w:tc>
      </w:tr>
      <w:tr w:rsidR="00E63D80" w:rsidRPr="00E63D80" w:rsidTr="00416BC1">
        <w:trPr>
          <w:cnfStyle w:val="000000100000"/>
          <w:trHeight w:val="243"/>
        </w:trPr>
        <w:tc>
          <w:tcPr>
            <w:cnfStyle w:val="001000000000"/>
            <w:tcW w:w="1823" w:type="dxa"/>
            <w:noWrap/>
            <w:hideMark/>
          </w:tcPr>
          <w:p w:rsidR="00E63D80" w:rsidRPr="00E63D80" w:rsidRDefault="00E63D80" w:rsidP="00E63D80">
            <w:pPr>
              <w:widowControl/>
              <w:jc w:val="left"/>
              <w:rPr>
                <w:rFonts w:ascii="Garamond" w:eastAsia="SimSun" w:hAnsi="Garamond" w:cs="SimSun"/>
                <w:color w:val="000000"/>
                <w:kern w:val="0"/>
                <w:sz w:val="18"/>
                <w:szCs w:val="18"/>
              </w:rPr>
            </w:pPr>
          </w:p>
        </w:tc>
        <w:tc>
          <w:tcPr>
            <w:tcW w:w="1080" w:type="dxa"/>
            <w:hideMark/>
          </w:tcPr>
          <w:p w:rsidR="00E63D80" w:rsidRPr="00E63D80" w:rsidRDefault="009D0969" w:rsidP="00E63D80">
            <w:pPr>
              <w:widowControl/>
              <w:jc w:val="right"/>
              <w:cnfStyle w:val="000000100000"/>
              <w:rPr>
                <w:rFonts w:ascii="Garamond" w:eastAsia="SimSun" w:hAnsi="Garamond" w:cs="SimSun"/>
                <w:b/>
                <w:color w:val="000000"/>
                <w:kern w:val="0"/>
                <w:sz w:val="18"/>
                <w:szCs w:val="18"/>
              </w:rPr>
            </w:pPr>
            <w:r>
              <w:rPr>
                <w:rFonts w:ascii="Garamond" w:eastAsia="SimSun" w:hAnsi="Garamond" w:cs="SimSun"/>
                <w:b/>
                <w:color w:val="000000"/>
                <w:kern w:val="0"/>
                <w:sz w:val="18"/>
                <w:szCs w:val="18"/>
              </w:rPr>
              <w:t>(1) </w:t>
            </w:r>
            <w:proofErr w:type="spellStart"/>
            <w:r>
              <w:rPr>
                <w:rFonts w:ascii="Garamond" w:eastAsia="SimSun" w:hAnsi="Garamond" w:cs="SimSun"/>
                <w:b/>
                <w:color w:val="000000"/>
                <w:kern w:val="0"/>
                <w:sz w:val="18"/>
                <w:szCs w:val="18"/>
              </w:rPr>
              <w:t>GD</w:t>
            </w:r>
            <w:r w:rsidR="00E63D80" w:rsidRPr="00E63D80">
              <w:rPr>
                <w:rFonts w:ascii="Garamond" w:eastAsia="SimSun" w:hAnsi="Garamond" w:cs="SimSun"/>
                <w:b/>
                <w:color w:val="000000"/>
                <w:kern w:val="0"/>
                <w:sz w:val="18"/>
                <w:szCs w:val="18"/>
              </w:rPr>
              <w:t>yn</w:t>
            </w:r>
            <w:proofErr w:type="spellEnd"/>
            <w:r w:rsidR="00E63D80" w:rsidRPr="00E63D80">
              <w:rPr>
                <w:rFonts w:ascii="Garamond" w:eastAsia="SimSun" w:hAnsi="Garamond" w:cs="SimSun"/>
                <w:b/>
                <w:color w:val="000000"/>
                <w:kern w:val="0"/>
                <w:sz w:val="18"/>
                <w:szCs w:val="18"/>
              </w:rPr>
              <w:t xml:space="preserve"> </w:t>
            </w:r>
          </w:p>
        </w:tc>
        <w:tc>
          <w:tcPr>
            <w:tcW w:w="1314" w:type="dxa"/>
            <w:hideMark/>
          </w:tcPr>
          <w:p w:rsidR="00E63D80" w:rsidRPr="00E63D80" w:rsidRDefault="00E63D80" w:rsidP="00E63D80">
            <w:pPr>
              <w:widowControl/>
              <w:jc w:val="right"/>
              <w:cnfStyle w:val="000000100000"/>
              <w:rPr>
                <w:rFonts w:ascii="Garamond" w:eastAsia="SimSun" w:hAnsi="Garamond" w:cs="SimSun"/>
                <w:b/>
                <w:color w:val="000000"/>
                <w:kern w:val="0"/>
                <w:sz w:val="18"/>
                <w:szCs w:val="18"/>
              </w:rPr>
            </w:pPr>
            <w:r w:rsidRPr="00E63D80">
              <w:rPr>
                <w:rFonts w:ascii="Garamond" w:eastAsia="SimSun" w:hAnsi="Garamond" w:cs="SimSun"/>
                <w:b/>
                <w:color w:val="000000"/>
                <w:kern w:val="0"/>
                <w:sz w:val="18"/>
                <w:szCs w:val="18"/>
              </w:rPr>
              <w:t xml:space="preserve">(4) </w:t>
            </w:r>
            <w:proofErr w:type="spellStart"/>
            <w:r w:rsidR="00A14A80">
              <w:rPr>
                <w:rFonts w:ascii="Garamond" w:eastAsia="SimSun" w:hAnsi="Garamond" w:cs="SimSun"/>
                <w:b/>
                <w:color w:val="000000"/>
                <w:kern w:val="0"/>
                <w:sz w:val="18"/>
                <w:szCs w:val="18"/>
              </w:rPr>
              <w:t>GD</w:t>
            </w:r>
            <w:r w:rsidR="00A14A80">
              <w:rPr>
                <w:rFonts w:ascii="Garamond" w:hAnsi="Garamond" w:cs="SimSun" w:hint="eastAsia"/>
                <w:b/>
                <w:color w:val="000000"/>
                <w:kern w:val="0"/>
                <w:sz w:val="18"/>
                <w:szCs w:val="18"/>
              </w:rPr>
              <w:t>yn</w:t>
            </w:r>
            <w:r w:rsidR="00A14A80">
              <w:rPr>
                <w:rFonts w:ascii="Garamond" w:eastAsia="SimSun" w:hAnsi="Garamond" w:cs="SimSun"/>
                <w:b/>
                <w:color w:val="000000"/>
                <w:kern w:val="0"/>
                <w:sz w:val="18"/>
                <w:szCs w:val="18"/>
              </w:rPr>
              <w:t>ISM</w:t>
            </w:r>
            <w:proofErr w:type="spellEnd"/>
            <w:r w:rsidRPr="00E63D80">
              <w:rPr>
                <w:rFonts w:ascii="Garamond" w:eastAsia="SimSun" w:hAnsi="Garamond" w:cs="SimSun"/>
                <w:b/>
                <w:color w:val="000000"/>
                <w:kern w:val="0"/>
                <w:sz w:val="18"/>
                <w:szCs w:val="18"/>
              </w:rPr>
              <w:t xml:space="preserve"> </w:t>
            </w:r>
          </w:p>
        </w:tc>
        <w:tc>
          <w:tcPr>
            <w:tcW w:w="1170" w:type="dxa"/>
            <w:hideMark/>
          </w:tcPr>
          <w:p w:rsidR="00E63D80" w:rsidRPr="00E63D80" w:rsidRDefault="009D0969" w:rsidP="00E63D80">
            <w:pPr>
              <w:widowControl/>
              <w:jc w:val="right"/>
              <w:cnfStyle w:val="000000100000"/>
              <w:rPr>
                <w:rFonts w:ascii="Garamond" w:eastAsia="SimSun" w:hAnsi="Garamond" w:cs="SimSun"/>
                <w:b/>
                <w:color w:val="000000"/>
                <w:kern w:val="0"/>
                <w:sz w:val="18"/>
                <w:szCs w:val="18"/>
              </w:rPr>
            </w:pPr>
            <w:r>
              <w:rPr>
                <w:rFonts w:ascii="Garamond" w:eastAsia="SimSun" w:hAnsi="Garamond" w:cs="SimSun"/>
                <w:b/>
                <w:color w:val="000000"/>
                <w:kern w:val="0"/>
                <w:sz w:val="18"/>
                <w:szCs w:val="18"/>
              </w:rPr>
              <w:t>(1) </w:t>
            </w:r>
            <w:proofErr w:type="spellStart"/>
            <w:r>
              <w:rPr>
                <w:rFonts w:ascii="Garamond" w:eastAsia="SimSun" w:hAnsi="Garamond" w:cs="SimSun"/>
                <w:b/>
                <w:color w:val="000000"/>
                <w:kern w:val="0"/>
                <w:sz w:val="18"/>
                <w:szCs w:val="18"/>
              </w:rPr>
              <w:t>GD</w:t>
            </w:r>
            <w:r w:rsidR="00E63D80" w:rsidRPr="00E63D80">
              <w:rPr>
                <w:rFonts w:ascii="Garamond" w:eastAsia="SimSun" w:hAnsi="Garamond" w:cs="SimSun"/>
                <w:b/>
                <w:color w:val="000000"/>
                <w:kern w:val="0"/>
                <w:sz w:val="18"/>
                <w:szCs w:val="18"/>
              </w:rPr>
              <w:t>yn</w:t>
            </w:r>
            <w:proofErr w:type="spellEnd"/>
            <w:r w:rsidR="00E63D80" w:rsidRPr="00E63D80">
              <w:rPr>
                <w:rFonts w:ascii="Garamond" w:eastAsia="SimSun" w:hAnsi="Garamond" w:cs="SimSun"/>
                <w:b/>
                <w:color w:val="000000"/>
                <w:kern w:val="0"/>
                <w:sz w:val="18"/>
                <w:szCs w:val="18"/>
              </w:rPr>
              <w:t xml:space="preserve"> </w:t>
            </w:r>
          </w:p>
        </w:tc>
        <w:tc>
          <w:tcPr>
            <w:tcW w:w="1418" w:type="dxa"/>
            <w:hideMark/>
          </w:tcPr>
          <w:p w:rsidR="00E63D80" w:rsidRPr="00E63D80" w:rsidRDefault="00E63D80" w:rsidP="00E63D80">
            <w:pPr>
              <w:widowControl/>
              <w:jc w:val="right"/>
              <w:cnfStyle w:val="000000100000"/>
              <w:rPr>
                <w:rFonts w:ascii="Garamond" w:eastAsia="SimSun" w:hAnsi="Garamond" w:cs="SimSun"/>
                <w:b/>
                <w:color w:val="000000"/>
                <w:kern w:val="0"/>
                <w:sz w:val="18"/>
                <w:szCs w:val="18"/>
              </w:rPr>
            </w:pPr>
            <w:r w:rsidRPr="00E63D80">
              <w:rPr>
                <w:rFonts w:ascii="Garamond" w:eastAsia="SimSun" w:hAnsi="Garamond" w:cs="SimSun"/>
                <w:b/>
                <w:color w:val="000000"/>
                <w:kern w:val="0"/>
                <w:sz w:val="18"/>
                <w:szCs w:val="18"/>
              </w:rPr>
              <w:t xml:space="preserve">(4) </w:t>
            </w:r>
            <w:proofErr w:type="spellStart"/>
            <w:r w:rsidR="00A14A80">
              <w:rPr>
                <w:rFonts w:ascii="Garamond" w:eastAsia="SimSun" w:hAnsi="Garamond" w:cs="SimSun"/>
                <w:b/>
                <w:color w:val="000000"/>
                <w:kern w:val="0"/>
                <w:sz w:val="18"/>
                <w:szCs w:val="18"/>
              </w:rPr>
              <w:t>GDynISM</w:t>
            </w:r>
            <w:proofErr w:type="spellEnd"/>
            <w:r w:rsidRPr="00E63D80">
              <w:rPr>
                <w:rFonts w:ascii="Garamond" w:eastAsia="SimSun" w:hAnsi="Garamond" w:cs="SimSun"/>
                <w:b/>
                <w:color w:val="000000"/>
                <w:kern w:val="0"/>
                <w:sz w:val="18"/>
                <w:szCs w:val="18"/>
              </w:rPr>
              <w:t xml:space="preserve"> </w:t>
            </w:r>
          </w:p>
        </w:tc>
        <w:tc>
          <w:tcPr>
            <w:tcW w:w="992" w:type="dxa"/>
            <w:hideMark/>
          </w:tcPr>
          <w:p w:rsidR="00E63D80" w:rsidRPr="00E63D80" w:rsidRDefault="009D0969" w:rsidP="00E63D80">
            <w:pPr>
              <w:widowControl/>
              <w:jc w:val="right"/>
              <w:cnfStyle w:val="000000100000"/>
              <w:rPr>
                <w:rFonts w:ascii="Garamond" w:eastAsia="SimSun" w:hAnsi="Garamond" w:cs="SimSun"/>
                <w:b/>
                <w:color w:val="000000"/>
                <w:kern w:val="0"/>
                <w:sz w:val="18"/>
                <w:szCs w:val="18"/>
              </w:rPr>
            </w:pPr>
            <w:r>
              <w:rPr>
                <w:rFonts w:ascii="Garamond" w:eastAsia="SimSun" w:hAnsi="Garamond" w:cs="SimSun"/>
                <w:b/>
                <w:color w:val="000000"/>
                <w:kern w:val="0"/>
                <w:sz w:val="18"/>
                <w:szCs w:val="18"/>
              </w:rPr>
              <w:t>(1) </w:t>
            </w:r>
            <w:proofErr w:type="spellStart"/>
            <w:r>
              <w:rPr>
                <w:rFonts w:ascii="Garamond" w:eastAsia="SimSun" w:hAnsi="Garamond" w:cs="SimSun"/>
                <w:b/>
                <w:color w:val="000000"/>
                <w:kern w:val="0"/>
                <w:sz w:val="18"/>
                <w:szCs w:val="18"/>
              </w:rPr>
              <w:t>GD</w:t>
            </w:r>
            <w:r w:rsidR="00E63D80" w:rsidRPr="00E63D80">
              <w:rPr>
                <w:rFonts w:ascii="Garamond" w:eastAsia="SimSun" w:hAnsi="Garamond" w:cs="SimSun"/>
                <w:b/>
                <w:color w:val="000000"/>
                <w:kern w:val="0"/>
                <w:sz w:val="18"/>
                <w:szCs w:val="18"/>
              </w:rPr>
              <w:t>yn</w:t>
            </w:r>
            <w:proofErr w:type="spellEnd"/>
            <w:r w:rsidR="00E63D80" w:rsidRPr="00E63D80">
              <w:rPr>
                <w:rFonts w:ascii="Garamond" w:eastAsia="SimSun" w:hAnsi="Garamond" w:cs="SimSun"/>
                <w:b/>
                <w:color w:val="000000"/>
                <w:kern w:val="0"/>
                <w:sz w:val="18"/>
                <w:szCs w:val="18"/>
              </w:rPr>
              <w:t xml:space="preserve"> </w:t>
            </w:r>
          </w:p>
        </w:tc>
        <w:tc>
          <w:tcPr>
            <w:tcW w:w="1418" w:type="dxa"/>
            <w:hideMark/>
          </w:tcPr>
          <w:p w:rsidR="00E63D80" w:rsidRPr="00E63D80" w:rsidRDefault="00E63D80" w:rsidP="00E63D80">
            <w:pPr>
              <w:widowControl/>
              <w:jc w:val="right"/>
              <w:cnfStyle w:val="000000100000"/>
              <w:rPr>
                <w:rFonts w:ascii="Garamond" w:eastAsia="SimSun" w:hAnsi="Garamond" w:cs="SimSun"/>
                <w:b/>
                <w:color w:val="000000"/>
                <w:kern w:val="0"/>
                <w:sz w:val="18"/>
                <w:szCs w:val="18"/>
              </w:rPr>
            </w:pPr>
            <w:r w:rsidRPr="00E63D80">
              <w:rPr>
                <w:rFonts w:ascii="Garamond" w:eastAsia="SimSun" w:hAnsi="Garamond" w:cs="SimSun"/>
                <w:b/>
                <w:color w:val="000000"/>
                <w:kern w:val="0"/>
                <w:sz w:val="18"/>
                <w:szCs w:val="18"/>
              </w:rPr>
              <w:t xml:space="preserve">(4) </w:t>
            </w:r>
            <w:proofErr w:type="spellStart"/>
            <w:r w:rsidR="00A14A80">
              <w:rPr>
                <w:rFonts w:ascii="Garamond" w:eastAsia="SimSun" w:hAnsi="Garamond" w:cs="SimSun"/>
                <w:b/>
                <w:color w:val="000000"/>
                <w:kern w:val="0"/>
                <w:sz w:val="18"/>
                <w:szCs w:val="18"/>
              </w:rPr>
              <w:t>GD</w:t>
            </w:r>
            <w:r w:rsidR="00A14A80">
              <w:rPr>
                <w:rFonts w:ascii="Garamond" w:hAnsi="Garamond" w:cs="SimSun" w:hint="eastAsia"/>
                <w:b/>
                <w:color w:val="000000"/>
                <w:kern w:val="0"/>
                <w:sz w:val="18"/>
                <w:szCs w:val="18"/>
              </w:rPr>
              <w:t>yn</w:t>
            </w:r>
            <w:r w:rsidR="00A14A80">
              <w:rPr>
                <w:rFonts w:ascii="Garamond" w:eastAsia="SimSun" w:hAnsi="Garamond" w:cs="SimSun"/>
                <w:b/>
                <w:color w:val="000000"/>
                <w:kern w:val="0"/>
                <w:sz w:val="18"/>
                <w:szCs w:val="18"/>
              </w:rPr>
              <w:t>ISM</w:t>
            </w:r>
            <w:proofErr w:type="spellEnd"/>
            <w:r w:rsidRPr="00E63D80">
              <w:rPr>
                <w:rFonts w:ascii="Garamond" w:eastAsia="SimSun" w:hAnsi="Garamond" w:cs="SimSun"/>
                <w:b/>
                <w:color w:val="000000"/>
                <w:kern w:val="0"/>
                <w:sz w:val="18"/>
                <w:szCs w:val="18"/>
              </w:rPr>
              <w:t xml:space="preserve"> </w:t>
            </w:r>
          </w:p>
        </w:tc>
      </w:tr>
      <w:tr w:rsidR="00E63D80" w:rsidRPr="00E63D80" w:rsidTr="00416BC1">
        <w:trPr>
          <w:trHeight w:val="270"/>
        </w:trPr>
        <w:tc>
          <w:tcPr>
            <w:cnfStyle w:val="001000000000"/>
            <w:tcW w:w="1823" w:type="dxa"/>
            <w:noWrap/>
            <w:hideMark/>
          </w:tcPr>
          <w:p w:rsidR="00E63D80" w:rsidRPr="00E63D80" w:rsidRDefault="00E63D80" w:rsidP="00E63D80">
            <w:pPr>
              <w:widowControl/>
              <w:jc w:val="left"/>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Mean</w:t>
            </w:r>
          </w:p>
        </w:tc>
        <w:tc>
          <w:tcPr>
            <w:tcW w:w="1080"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-0.503 </w:t>
            </w:r>
          </w:p>
        </w:tc>
        <w:tc>
          <w:tcPr>
            <w:tcW w:w="1314"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-0.320 </w:t>
            </w:r>
          </w:p>
        </w:tc>
        <w:tc>
          <w:tcPr>
            <w:tcW w:w="1170"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-0.305 </w:t>
            </w:r>
          </w:p>
        </w:tc>
        <w:tc>
          <w:tcPr>
            <w:tcW w:w="1418"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-0.199 </w:t>
            </w:r>
          </w:p>
        </w:tc>
        <w:tc>
          <w:tcPr>
            <w:tcW w:w="992"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0.497 </w:t>
            </w:r>
          </w:p>
        </w:tc>
        <w:tc>
          <w:tcPr>
            <w:tcW w:w="1418"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-0.732 </w:t>
            </w:r>
          </w:p>
        </w:tc>
      </w:tr>
      <w:tr w:rsidR="00E63D80" w:rsidRPr="00E63D80" w:rsidTr="00416BC1">
        <w:trPr>
          <w:cnfStyle w:val="000000100000"/>
          <w:trHeight w:val="270"/>
        </w:trPr>
        <w:tc>
          <w:tcPr>
            <w:cnfStyle w:val="001000000000"/>
            <w:tcW w:w="1823" w:type="dxa"/>
            <w:noWrap/>
            <w:hideMark/>
          </w:tcPr>
          <w:p w:rsidR="00E63D80" w:rsidRPr="00E63D80" w:rsidRDefault="00E63D80" w:rsidP="00E63D80">
            <w:pPr>
              <w:widowControl/>
              <w:jc w:val="left"/>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Max</w:t>
            </w:r>
            <w:r w:rsidR="00416BC1">
              <w:rPr>
                <w:rFonts w:ascii="Garamond" w:eastAsia="SimSun" w:hAnsi="Garamond" w:cs="SimSun" w:hint="eastAsia"/>
                <w:color w:val="000000"/>
                <w:kern w:val="0"/>
                <w:sz w:val="18"/>
                <w:szCs w:val="18"/>
              </w:rPr>
              <w:t>imum</w:t>
            </w:r>
          </w:p>
        </w:tc>
        <w:tc>
          <w:tcPr>
            <w:tcW w:w="1080"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3.82 </w:t>
            </w:r>
          </w:p>
        </w:tc>
        <w:tc>
          <w:tcPr>
            <w:tcW w:w="1314"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0.72 </w:t>
            </w:r>
          </w:p>
        </w:tc>
        <w:tc>
          <w:tcPr>
            <w:tcW w:w="1170"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0.71 </w:t>
            </w:r>
          </w:p>
        </w:tc>
        <w:tc>
          <w:tcPr>
            <w:tcW w:w="1418"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0.34 </w:t>
            </w:r>
          </w:p>
        </w:tc>
        <w:tc>
          <w:tcPr>
            <w:tcW w:w="992"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92.36 </w:t>
            </w:r>
          </w:p>
        </w:tc>
        <w:tc>
          <w:tcPr>
            <w:tcW w:w="1418"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16.19 </w:t>
            </w:r>
          </w:p>
        </w:tc>
      </w:tr>
      <w:tr w:rsidR="00E63D80" w:rsidRPr="00E63D80" w:rsidTr="00416BC1">
        <w:trPr>
          <w:trHeight w:val="270"/>
        </w:trPr>
        <w:tc>
          <w:tcPr>
            <w:cnfStyle w:val="001000000000"/>
            <w:tcW w:w="1823" w:type="dxa"/>
            <w:noWrap/>
            <w:hideMark/>
          </w:tcPr>
          <w:p w:rsidR="00E63D80" w:rsidRPr="00E63D80" w:rsidRDefault="00E63D80" w:rsidP="00E63D80">
            <w:pPr>
              <w:widowControl/>
              <w:jc w:val="left"/>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Min</w:t>
            </w:r>
            <w:r w:rsidR="00416BC1">
              <w:rPr>
                <w:rFonts w:ascii="Garamond" w:eastAsia="SimSun" w:hAnsi="Garamond" w:cs="SimSun" w:hint="eastAsia"/>
                <w:color w:val="000000"/>
                <w:kern w:val="0"/>
                <w:sz w:val="18"/>
                <w:szCs w:val="18"/>
              </w:rPr>
              <w:t>imum</w:t>
            </w:r>
          </w:p>
        </w:tc>
        <w:tc>
          <w:tcPr>
            <w:tcW w:w="1080"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-3.06 </w:t>
            </w:r>
          </w:p>
        </w:tc>
        <w:tc>
          <w:tcPr>
            <w:tcW w:w="1314"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-2.64 </w:t>
            </w:r>
          </w:p>
        </w:tc>
        <w:tc>
          <w:tcPr>
            <w:tcW w:w="1170"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-5.40 </w:t>
            </w:r>
          </w:p>
        </w:tc>
        <w:tc>
          <w:tcPr>
            <w:tcW w:w="1418"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-2.00 </w:t>
            </w:r>
          </w:p>
        </w:tc>
        <w:tc>
          <w:tcPr>
            <w:tcW w:w="992"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-16.00 </w:t>
            </w:r>
          </w:p>
        </w:tc>
        <w:tc>
          <w:tcPr>
            <w:tcW w:w="1418"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-10.70 </w:t>
            </w:r>
          </w:p>
        </w:tc>
      </w:tr>
      <w:tr w:rsidR="00E63D80" w:rsidRPr="00E63D80" w:rsidTr="00416BC1">
        <w:trPr>
          <w:cnfStyle w:val="000000100000"/>
          <w:trHeight w:val="270"/>
        </w:trPr>
        <w:tc>
          <w:tcPr>
            <w:cnfStyle w:val="001000000000"/>
            <w:tcW w:w="1823" w:type="dxa"/>
            <w:noWrap/>
            <w:hideMark/>
          </w:tcPr>
          <w:p w:rsidR="00E63D80" w:rsidRPr="00E63D80" w:rsidRDefault="00E63D80" w:rsidP="00E63D80">
            <w:pPr>
              <w:widowControl/>
              <w:jc w:val="left"/>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S</w:t>
            </w:r>
            <w:r w:rsidR="00416BC1">
              <w:rPr>
                <w:rFonts w:ascii="Garamond" w:eastAsia="SimSun" w:hAnsi="Garamond" w:cs="SimSun"/>
                <w:color w:val="000000"/>
                <w:kern w:val="0"/>
                <w:sz w:val="18"/>
                <w:szCs w:val="18"/>
              </w:rPr>
              <w:t>tandard Deviation</w:t>
            </w:r>
          </w:p>
        </w:tc>
        <w:tc>
          <w:tcPr>
            <w:tcW w:w="1080"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1.17 </w:t>
            </w:r>
          </w:p>
        </w:tc>
        <w:tc>
          <w:tcPr>
            <w:tcW w:w="1314"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0.86 </w:t>
            </w:r>
          </w:p>
        </w:tc>
        <w:tc>
          <w:tcPr>
            <w:tcW w:w="1170"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1.01 </w:t>
            </w:r>
          </w:p>
        </w:tc>
        <w:tc>
          <w:tcPr>
            <w:tcW w:w="1418" w:type="dxa"/>
            <w:noWrap/>
            <w:hideMark/>
          </w:tcPr>
          <w:p w:rsidR="00E63D80" w:rsidRPr="00E63D80" w:rsidRDefault="00E63D80" w:rsidP="00E63D80">
            <w:pPr>
              <w:widowControl/>
              <w:jc w:val="right"/>
              <w:cnfStyle w:val="0000001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0.45 </w:t>
            </w:r>
          </w:p>
        </w:tc>
        <w:tc>
          <w:tcPr>
            <w:tcW w:w="992" w:type="dxa"/>
            <w:noWrap/>
            <w:hideMark/>
          </w:tcPr>
          <w:p w:rsidR="00E63D80" w:rsidRPr="00E63D80" w:rsidRDefault="00E63D80" w:rsidP="00E63D80">
            <w:pPr>
              <w:widowControl/>
              <w:jc w:val="right"/>
              <w:cnfStyle w:val="000000100000"/>
              <w:rPr>
                <w:rFonts w:ascii="Garamond" w:eastAsia="SimSun" w:hAnsi="Garamond" w:cs="SimSun"/>
                <w:b/>
                <w:color w:val="C00000"/>
                <w:kern w:val="0"/>
                <w:sz w:val="18"/>
                <w:szCs w:val="18"/>
              </w:rPr>
            </w:pPr>
            <w:r w:rsidRPr="00E63D80">
              <w:rPr>
                <w:rFonts w:ascii="Garamond" w:eastAsia="SimSun" w:hAnsi="Garamond" w:cs="SimSun"/>
                <w:b/>
                <w:color w:val="C00000"/>
                <w:kern w:val="0"/>
                <w:sz w:val="18"/>
                <w:szCs w:val="18"/>
              </w:rPr>
              <w:t xml:space="preserve">16.96 </w:t>
            </w:r>
          </w:p>
        </w:tc>
        <w:tc>
          <w:tcPr>
            <w:tcW w:w="1418" w:type="dxa"/>
            <w:noWrap/>
            <w:hideMark/>
          </w:tcPr>
          <w:p w:rsidR="00E63D80" w:rsidRPr="00E63D80" w:rsidRDefault="00E63D80" w:rsidP="00E63D80">
            <w:pPr>
              <w:widowControl/>
              <w:jc w:val="right"/>
              <w:cnfStyle w:val="000000100000"/>
              <w:rPr>
                <w:rFonts w:ascii="Garamond" w:eastAsia="SimSun" w:hAnsi="Garamond" w:cs="SimSun"/>
                <w:b/>
                <w:color w:val="C00000"/>
                <w:kern w:val="0"/>
                <w:sz w:val="18"/>
                <w:szCs w:val="18"/>
              </w:rPr>
            </w:pPr>
            <w:r w:rsidRPr="00E63D80">
              <w:rPr>
                <w:rFonts w:ascii="Garamond" w:eastAsia="SimSun" w:hAnsi="Garamond" w:cs="SimSun"/>
                <w:b/>
                <w:color w:val="C00000"/>
                <w:kern w:val="0"/>
                <w:sz w:val="18"/>
                <w:szCs w:val="18"/>
              </w:rPr>
              <w:t xml:space="preserve">4.31 </w:t>
            </w:r>
          </w:p>
        </w:tc>
      </w:tr>
      <w:tr w:rsidR="00E63D80" w:rsidRPr="00E63D80" w:rsidTr="00416BC1">
        <w:trPr>
          <w:trHeight w:val="270"/>
        </w:trPr>
        <w:tc>
          <w:tcPr>
            <w:cnfStyle w:val="001000000000"/>
            <w:tcW w:w="1823" w:type="dxa"/>
            <w:noWrap/>
            <w:hideMark/>
          </w:tcPr>
          <w:p w:rsidR="00E63D80" w:rsidRPr="00E63D80" w:rsidRDefault="00E63D80" w:rsidP="00E63D80">
            <w:pPr>
              <w:widowControl/>
              <w:jc w:val="left"/>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Correlation</w:t>
            </w:r>
          </w:p>
        </w:tc>
        <w:tc>
          <w:tcPr>
            <w:tcW w:w="1080" w:type="dxa"/>
            <w:noWrap/>
            <w:hideMark/>
          </w:tcPr>
          <w:p w:rsidR="00E63D80" w:rsidRPr="00E63D80" w:rsidRDefault="00E63D80" w:rsidP="00E63D80">
            <w:pPr>
              <w:widowControl/>
              <w:jc w:val="left"/>
              <w:cnfStyle w:val="000000000000"/>
              <w:rPr>
                <w:rFonts w:ascii="Garamond" w:eastAsia="SimSun" w:hAnsi="Garamond" w:cs="SimSun"/>
                <w:color w:val="000000"/>
                <w:kern w:val="0"/>
                <w:sz w:val="18"/>
                <w:szCs w:val="18"/>
              </w:rPr>
            </w:pPr>
          </w:p>
        </w:tc>
        <w:tc>
          <w:tcPr>
            <w:tcW w:w="1314"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0.80 </w:t>
            </w:r>
          </w:p>
        </w:tc>
        <w:tc>
          <w:tcPr>
            <w:tcW w:w="1170" w:type="dxa"/>
            <w:noWrap/>
            <w:hideMark/>
          </w:tcPr>
          <w:p w:rsidR="00E63D80" w:rsidRPr="00E63D80" w:rsidRDefault="00E63D80" w:rsidP="00E63D80">
            <w:pPr>
              <w:widowControl/>
              <w:jc w:val="left"/>
              <w:cnfStyle w:val="000000000000"/>
              <w:rPr>
                <w:rFonts w:ascii="Garamond" w:eastAsia="SimSun" w:hAnsi="Garamond" w:cs="SimSun"/>
                <w:color w:val="000000"/>
                <w:kern w:val="0"/>
                <w:sz w:val="18"/>
                <w:szCs w:val="18"/>
              </w:rPr>
            </w:pPr>
          </w:p>
        </w:tc>
        <w:tc>
          <w:tcPr>
            <w:tcW w:w="1418"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0.87 </w:t>
            </w:r>
          </w:p>
        </w:tc>
        <w:tc>
          <w:tcPr>
            <w:tcW w:w="992" w:type="dxa"/>
            <w:noWrap/>
            <w:hideMark/>
          </w:tcPr>
          <w:p w:rsidR="00E63D80" w:rsidRPr="00E63D80" w:rsidRDefault="00E63D80" w:rsidP="00E63D80">
            <w:pPr>
              <w:widowControl/>
              <w:jc w:val="left"/>
              <w:cnfStyle w:val="000000000000"/>
              <w:rPr>
                <w:rFonts w:ascii="Garamond" w:eastAsia="SimSun" w:hAnsi="Garamond" w:cs="SimSun"/>
                <w:color w:val="000000"/>
                <w:kern w:val="0"/>
                <w:sz w:val="18"/>
                <w:szCs w:val="18"/>
              </w:rPr>
            </w:pPr>
          </w:p>
        </w:tc>
        <w:tc>
          <w:tcPr>
            <w:tcW w:w="1418" w:type="dxa"/>
            <w:noWrap/>
            <w:hideMark/>
          </w:tcPr>
          <w:p w:rsidR="00E63D80" w:rsidRPr="00E63D80" w:rsidRDefault="00E63D80" w:rsidP="00E63D80">
            <w:pPr>
              <w:widowControl/>
              <w:jc w:val="right"/>
              <w:cnfStyle w:val="000000000000"/>
              <w:rPr>
                <w:rFonts w:ascii="Garamond" w:eastAsia="SimSun" w:hAnsi="Garamond" w:cs="SimSun"/>
                <w:color w:val="000000"/>
                <w:kern w:val="0"/>
                <w:sz w:val="18"/>
                <w:szCs w:val="18"/>
              </w:rPr>
            </w:pPr>
            <w:r w:rsidRPr="00E63D80">
              <w:rPr>
                <w:rFonts w:ascii="Garamond" w:eastAsia="SimSun" w:hAnsi="Garamond" w:cs="SimSun"/>
                <w:color w:val="000000"/>
                <w:kern w:val="0"/>
                <w:sz w:val="18"/>
                <w:szCs w:val="18"/>
              </w:rPr>
              <w:t xml:space="preserve">0.84 </w:t>
            </w:r>
          </w:p>
        </w:tc>
      </w:tr>
    </w:tbl>
    <w:p w:rsidR="00A7679C" w:rsidRDefault="00A7679C" w:rsidP="00A7679C">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D91FA3" w:rsidRDefault="00D91FA3">
      <w:pPr>
        <w:rPr>
          <w:lang w:val="en-CA"/>
        </w:rPr>
      </w:pPr>
    </w:p>
    <w:p w:rsidR="00A7679C" w:rsidRDefault="00A7679C">
      <w:pPr>
        <w:rPr>
          <w:lang w:val="en-CA"/>
        </w:rPr>
      </w:pPr>
      <w:r>
        <w:rPr>
          <w:b/>
          <w:lang w:val="en-CA"/>
        </w:rPr>
        <w:t>Table 6</w:t>
      </w:r>
      <w:r w:rsidRPr="00E63D80">
        <w:rPr>
          <w:b/>
          <w:lang w:val="en-CA"/>
        </w:rPr>
        <w:t xml:space="preserve">. </w:t>
      </w:r>
      <w:r>
        <w:rPr>
          <w:b/>
          <w:lang w:val="en-CA"/>
        </w:rPr>
        <w:t>Value-add decomposition of Mexico's Pork and Poultry from two scenario</w:t>
      </w:r>
    </w:p>
    <w:tbl>
      <w:tblPr>
        <w:tblStyle w:val="LightShading-Accent11"/>
        <w:tblW w:w="4928" w:type="dxa"/>
        <w:jc w:val="center"/>
        <w:tblLook w:val="04A0"/>
      </w:tblPr>
      <w:tblGrid>
        <w:gridCol w:w="2220"/>
        <w:gridCol w:w="1080"/>
        <w:gridCol w:w="1628"/>
      </w:tblGrid>
      <w:tr w:rsidR="00A7679C" w:rsidRPr="00A7679C" w:rsidTr="00A7679C">
        <w:trPr>
          <w:cnfStyle w:val="100000000000"/>
          <w:trHeight w:val="313"/>
          <w:jc w:val="center"/>
        </w:trPr>
        <w:tc>
          <w:tcPr>
            <w:cnfStyle w:val="001000000000"/>
            <w:tcW w:w="2220" w:type="dxa"/>
            <w:noWrap/>
            <w:hideMark/>
          </w:tcPr>
          <w:p w:rsidR="00A7679C" w:rsidRPr="00A7679C" w:rsidRDefault="00852194" w:rsidP="00A7679C">
            <w:pPr>
              <w:widowControl/>
              <w:jc w:val="left"/>
              <w:rPr>
                <w:rFonts w:ascii="Garamond" w:eastAsia="SimSun" w:hAnsi="Garamond" w:cs="SimSun"/>
                <w:color w:val="000000"/>
                <w:kern w:val="0"/>
                <w:sz w:val="18"/>
                <w:szCs w:val="18"/>
              </w:rPr>
            </w:pPr>
            <w:r>
              <w:rPr>
                <w:rFonts w:ascii="Garamond" w:eastAsia="SimSun" w:hAnsi="Garamond" w:cs="SimSun" w:hint="eastAsia"/>
                <w:color w:val="000000"/>
                <w:kern w:val="0"/>
                <w:sz w:val="18"/>
                <w:szCs w:val="18"/>
              </w:rPr>
              <w:t>% Change</w:t>
            </w:r>
          </w:p>
        </w:tc>
        <w:tc>
          <w:tcPr>
            <w:tcW w:w="1080" w:type="dxa"/>
            <w:noWrap/>
            <w:hideMark/>
          </w:tcPr>
          <w:p w:rsidR="00A7679C" w:rsidRPr="00A7679C" w:rsidRDefault="009D0969" w:rsidP="00A7679C">
            <w:pPr>
              <w:widowControl/>
              <w:jc w:val="left"/>
              <w:cnfStyle w:val="100000000000"/>
              <w:rPr>
                <w:rFonts w:ascii="Garamond" w:eastAsia="SimSun" w:hAnsi="Garamond" w:cs="SimSun"/>
                <w:color w:val="000000"/>
                <w:kern w:val="0"/>
                <w:sz w:val="18"/>
                <w:szCs w:val="18"/>
              </w:rPr>
            </w:pPr>
            <w:r>
              <w:rPr>
                <w:rFonts w:ascii="Garamond" w:eastAsia="SimSun" w:hAnsi="Garamond" w:cs="SimSun"/>
                <w:color w:val="000000"/>
                <w:kern w:val="0"/>
                <w:sz w:val="18"/>
                <w:szCs w:val="18"/>
              </w:rPr>
              <w:t>(1) </w:t>
            </w:r>
            <w:proofErr w:type="spellStart"/>
            <w:r>
              <w:rPr>
                <w:rFonts w:ascii="Garamond" w:eastAsia="SimSun" w:hAnsi="Garamond" w:cs="SimSun"/>
                <w:color w:val="000000"/>
                <w:kern w:val="0"/>
                <w:sz w:val="18"/>
                <w:szCs w:val="18"/>
              </w:rPr>
              <w:t>GD</w:t>
            </w:r>
            <w:r w:rsidR="00A7679C" w:rsidRPr="00A7679C">
              <w:rPr>
                <w:rFonts w:ascii="Garamond" w:eastAsia="SimSun" w:hAnsi="Garamond" w:cs="SimSun"/>
                <w:color w:val="000000"/>
                <w:kern w:val="0"/>
                <w:sz w:val="18"/>
                <w:szCs w:val="18"/>
              </w:rPr>
              <w:t>yn</w:t>
            </w:r>
            <w:proofErr w:type="spellEnd"/>
          </w:p>
        </w:tc>
        <w:tc>
          <w:tcPr>
            <w:tcW w:w="1628" w:type="dxa"/>
            <w:noWrap/>
            <w:hideMark/>
          </w:tcPr>
          <w:p w:rsidR="00A7679C" w:rsidRPr="00A7679C" w:rsidRDefault="00A7679C" w:rsidP="00A7679C">
            <w:pPr>
              <w:widowControl/>
              <w:jc w:val="left"/>
              <w:cnfStyle w:val="100000000000"/>
              <w:rPr>
                <w:rFonts w:ascii="Garamond" w:eastAsia="SimSun" w:hAnsi="Garamond" w:cs="SimSun"/>
                <w:color w:val="000000"/>
                <w:kern w:val="0"/>
                <w:sz w:val="18"/>
                <w:szCs w:val="18"/>
              </w:rPr>
            </w:pPr>
            <w:r w:rsidRPr="00A7679C">
              <w:rPr>
                <w:rFonts w:ascii="Garamond" w:eastAsia="SimSun" w:hAnsi="Garamond" w:cs="SimSun"/>
                <w:color w:val="000000"/>
                <w:kern w:val="0"/>
                <w:sz w:val="18"/>
                <w:szCs w:val="18"/>
              </w:rPr>
              <w:t xml:space="preserve">(4) </w:t>
            </w:r>
            <w:proofErr w:type="spellStart"/>
            <w:r w:rsidR="00A14A80">
              <w:rPr>
                <w:rFonts w:ascii="Garamond" w:eastAsia="SimSun" w:hAnsi="Garamond" w:cs="SimSun"/>
                <w:color w:val="000000"/>
                <w:kern w:val="0"/>
                <w:sz w:val="18"/>
                <w:szCs w:val="18"/>
              </w:rPr>
              <w:t>GD</w:t>
            </w:r>
            <w:r w:rsidR="00A14A80">
              <w:rPr>
                <w:rFonts w:ascii="Garamond" w:hAnsi="Garamond" w:cs="SimSun" w:hint="eastAsia"/>
                <w:color w:val="000000"/>
                <w:kern w:val="0"/>
                <w:sz w:val="18"/>
                <w:szCs w:val="18"/>
              </w:rPr>
              <w:t>yn</w:t>
            </w:r>
            <w:r w:rsidR="00A14A80">
              <w:rPr>
                <w:rFonts w:ascii="Garamond" w:eastAsia="SimSun" w:hAnsi="Garamond" w:cs="SimSun"/>
                <w:color w:val="000000"/>
                <w:kern w:val="0"/>
                <w:sz w:val="18"/>
                <w:szCs w:val="18"/>
              </w:rPr>
              <w:t>ISM</w:t>
            </w:r>
            <w:proofErr w:type="spellEnd"/>
          </w:p>
        </w:tc>
      </w:tr>
      <w:tr w:rsidR="009D0969" w:rsidRPr="00A7679C" w:rsidTr="00A7679C">
        <w:trPr>
          <w:cnfStyle w:val="000000100000"/>
          <w:trHeight w:val="300"/>
          <w:jc w:val="center"/>
        </w:trPr>
        <w:tc>
          <w:tcPr>
            <w:cnfStyle w:val="001000000000"/>
            <w:tcW w:w="2220" w:type="dxa"/>
            <w:noWrap/>
            <w:hideMark/>
          </w:tcPr>
          <w:p w:rsidR="009D0969" w:rsidRPr="00A7679C" w:rsidRDefault="009D0969" w:rsidP="00A7679C">
            <w:pPr>
              <w:widowControl/>
              <w:jc w:val="left"/>
              <w:rPr>
                <w:rFonts w:ascii="Garamond" w:eastAsia="SimSun" w:hAnsi="Garamond" w:cs="SimSun"/>
                <w:color w:val="000000"/>
                <w:kern w:val="0"/>
                <w:sz w:val="18"/>
                <w:szCs w:val="18"/>
              </w:rPr>
            </w:pPr>
            <w:r w:rsidRPr="00A7679C">
              <w:rPr>
                <w:rFonts w:ascii="Garamond" w:eastAsia="SimSun" w:hAnsi="Garamond" w:cs="SimSun"/>
                <w:color w:val="000000"/>
                <w:kern w:val="0"/>
                <w:sz w:val="18"/>
                <w:szCs w:val="18"/>
              </w:rPr>
              <w:t>Land</w:t>
            </w:r>
          </w:p>
        </w:tc>
        <w:tc>
          <w:tcPr>
            <w:tcW w:w="1080" w:type="dxa"/>
            <w:noWrap/>
            <w:hideMark/>
          </w:tcPr>
          <w:p w:rsidR="009D0969" w:rsidRDefault="009D0969">
            <w:pPr>
              <w:autoSpaceDE w:val="0"/>
              <w:autoSpaceDN w:val="0"/>
              <w:adjustRightInd w:val="0"/>
              <w:jc w:val="right"/>
              <w:cnfStyle w:val="0000001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26.8 </w:t>
            </w:r>
          </w:p>
        </w:tc>
        <w:tc>
          <w:tcPr>
            <w:tcW w:w="1628" w:type="dxa"/>
            <w:noWrap/>
            <w:hideMark/>
          </w:tcPr>
          <w:p w:rsidR="009D0969" w:rsidRDefault="009D0969">
            <w:pPr>
              <w:autoSpaceDE w:val="0"/>
              <w:autoSpaceDN w:val="0"/>
              <w:adjustRightInd w:val="0"/>
              <w:jc w:val="right"/>
              <w:cnfStyle w:val="0000001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5.1 </w:t>
            </w:r>
          </w:p>
        </w:tc>
      </w:tr>
      <w:tr w:rsidR="009D0969" w:rsidRPr="00A7679C" w:rsidTr="00A7679C">
        <w:trPr>
          <w:trHeight w:val="300"/>
          <w:jc w:val="center"/>
        </w:trPr>
        <w:tc>
          <w:tcPr>
            <w:cnfStyle w:val="001000000000"/>
            <w:tcW w:w="2220" w:type="dxa"/>
            <w:noWrap/>
            <w:hideMark/>
          </w:tcPr>
          <w:p w:rsidR="009D0969" w:rsidRPr="00A7679C" w:rsidRDefault="009D0969" w:rsidP="00A7679C">
            <w:pPr>
              <w:widowControl/>
              <w:jc w:val="left"/>
              <w:rPr>
                <w:rFonts w:ascii="Garamond" w:eastAsia="SimSun" w:hAnsi="Garamond" w:cs="SimSun"/>
                <w:color w:val="000000"/>
                <w:kern w:val="0"/>
                <w:sz w:val="18"/>
                <w:szCs w:val="18"/>
              </w:rPr>
            </w:pPr>
            <w:r w:rsidRPr="00A7679C">
              <w:rPr>
                <w:rFonts w:ascii="Garamond" w:eastAsia="SimSun" w:hAnsi="Garamond" w:cs="SimSun"/>
                <w:color w:val="000000"/>
                <w:kern w:val="0"/>
                <w:sz w:val="18"/>
                <w:szCs w:val="18"/>
              </w:rPr>
              <w:t xml:space="preserve">Unskilled </w:t>
            </w:r>
            <w:proofErr w:type="spellStart"/>
            <w:r w:rsidRPr="00A7679C">
              <w:rPr>
                <w:rFonts w:ascii="Garamond" w:eastAsia="SimSun" w:hAnsi="Garamond" w:cs="SimSun"/>
                <w:color w:val="000000"/>
                <w:kern w:val="0"/>
                <w:sz w:val="18"/>
                <w:szCs w:val="18"/>
              </w:rPr>
              <w:t>Labour</w:t>
            </w:r>
            <w:proofErr w:type="spellEnd"/>
          </w:p>
        </w:tc>
        <w:tc>
          <w:tcPr>
            <w:tcW w:w="1080" w:type="dxa"/>
            <w:noWrap/>
            <w:hideMark/>
          </w:tcPr>
          <w:p w:rsidR="009D0969" w:rsidRDefault="009D0969">
            <w:pPr>
              <w:autoSpaceDE w:val="0"/>
              <w:autoSpaceDN w:val="0"/>
              <w:adjustRightInd w:val="0"/>
              <w:jc w:val="right"/>
              <w:cnfStyle w:val="0000000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99.7 </w:t>
            </w:r>
          </w:p>
        </w:tc>
        <w:tc>
          <w:tcPr>
            <w:tcW w:w="1628" w:type="dxa"/>
            <w:noWrap/>
            <w:hideMark/>
          </w:tcPr>
          <w:p w:rsidR="009D0969" w:rsidRDefault="009D0969">
            <w:pPr>
              <w:autoSpaceDE w:val="0"/>
              <w:autoSpaceDN w:val="0"/>
              <w:adjustRightInd w:val="0"/>
              <w:jc w:val="right"/>
              <w:cnfStyle w:val="0000000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18.3 </w:t>
            </w:r>
          </w:p>
        </w:tc>
      </w:tr>
      <w:tr w:rsidR="009D0969" w:rsidRPr="00A7679C" w:rsidTr="00A7679C">
        <w:trPr>
          <w:cnfStyle w:val="000000100000"/>
          <w:trHeight w:val="300"/>
          <w:jc w:val="center"/>
        </w:trPr>
        <w:tc>
          <w:tcPr>
            <w:cnfStyle w:val="001000000000"/>
            <w:tcW w:w="2220" w:type="dxa"/>
            <w:noWrap/>
            <w:hideMark/>
          </w:tcPr>
          <w:p w:rsidR="009D0969" w:rsidRPr="00A7679C" w:rsidRDefault="009D0969" w:rsidP="00A7679C">
            <w:pPr>
              <w:widowControl/>
              <w:jc w:val="left"/>
              <w:rPr>
                <w:rFonts w:ascii="Garamond" w:eastAsia="SimSun" w:hAnsi="Garamond" w:cs="SimSun"/>
                <w:color w:val="000000"/>
                <w:kern w:val="0"/>
                <w:sz w:val="18"/>
                <w:szCs w:val="18"/>
              </w:rPr>
            </w:pPr>
            <w:r w:rsidRPr="00A7679C">
              <w:rPr>
                <w:rFonts w:ascii="Garamond" w:eastAsia="SimSun" w:hAnsi="Garamond" w:cs="SimSun"/>
                <w:color w:val="000000"/>
                <w:kern w:val="0"/>
                <w:sz w:val="18"/>
                <w:szCs w:val="18"/>
              </w:rPr>
              <w:t xml:space="preserve">Skilled </w:t>
            </w:r>
            <w:proofErr w:type="spellStart"/>
            <w:r w:rsidRPr="00A7679C">
              <w:rPr>
                <w:rFonts w:ascii="Garamond" w:eastAsia="SimSun" w:hAnsi="Garamond" w:cs="SimSun"/>
                <w:color w:val="000000"/>
                <w:kern w:val="0"/>
                <w:sz w:val="18"/>
                <w:szCs w:val="18"/>
              </w:rPr>
              <w:t>Labour</w:t>
            </w:r>
            <w:proofErr w:type="spellEnd"/>
          </w:p>
        </w:tc>
        <w:tc>
          <w:tcPr>
            <w:tcW w:w="1080" w:type="dxa"/>
            <w:noWrap/>
            <w:hideMark/>
          </w:tcPr>
          <w:p w:rsidR="009D0969" w:rsidRDefault="009D0969">
            <w:pPr>
              <w:autoSpaceDE w:val="0"/>
              <w:autoSpaceDN w:val="0"/>
              <w:adjustRightInd w:val="0"/>
              <w:jc w:val="right"/>
              <w:cnfStyle w:val="0000001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96.8 </w:t>
            </w:r>
          </w:p>
        </w:tc>
        <w:tc>
          <w:tcPr>
            <w:tcW w:w="1628" w:type="dxa"/>
            <w:noWrap/>
            <w:hideMark/>
          </w:tcPr>
          <w:p w:rsidR="009D0969" w:rsidRDefault="009D0969">
            <w:pPr>
              <w:autoSpaceDE w:val="0"/>
              <w:autoSpaceDN w:val="0"/>
              <w:adjustRightInd w:val="0"/>
              <w:jc w:val="right"/>
              <w:cnfStyle w:val="0000001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17.8 </w:t>
            </w:r>
          </w:p>
        </w:tc>
      </w:tr>
      <w:tr w:rsidR="009D0969" w:rsidRPr="00A7679C" w:rsidTr="00A7679C">
        <w:trPr>
          <w:trHeight w:val="300"/>
          <w:jc w:val="center"/>
        </w:trPr>
        <w:tc>
          <w:tcPr>
            <w:cnfStyle w:val="001000000000"/>
            <w:tcW w:w="2220" w:type="dxa"/>
            <w:noWrap/>
            <w:hideMark/>
          </w:tcPr>
          <w:p w:rsidR="009D0969" w:rsidRPr="00A7679C" w:rsidRDefault="009D0969" w:rsidP="00A7679C">
            <w:pPr>
              <w:widowControl/>
              <w:jc w:val="left"/>
              <w:rPr>
                <w:rFonts w:ascii="Garamond" w:eastAsia="SimSun" w:hAnsi="Garamond" w:cs="SimSun"/>
                <w:color w:val="000000"/>
                <w:kern w:val="0"/>
                <w:sz w:val="18"/>
                <w:szCs w:val="18"/>
              </w:rPr>
            </w:pPr>
            <w:r w:rsidRPr="00A7679C">
              <w:rPr>
                <w:rFonts w:ascii="Garamond" w:eastAsia="SimSun" w:hAnsi="Garamond" w:cs="SimSun"/>
                <w:color w:val="000000"/>
                <w:kern w:val="0"/>
                <w:sz w:val="18"/>
                <w:szCs w:val="18"/>
              </w:rPr>
              <w:t xml:space="preserve">Capital </w:t>
            </w:r>
          </w:p>
        </w:tc>
        <w:tc>
          <w:tcPr>
            <w:tcW w:w="1080" w:type="dxa"/>
            <w:noWrap/>
            <w:hideMark/>
          </w:tcPr>
          <w:p w:rsidR="009D0969" w:rsidRDefault="009D0969">
            <w:pPr>
              <w:autoSpaceDE w:val="0"/>
              <w:autoSpaceDN w:val="0"/>
              <w:adjustRightInd w:val="0"/>
              <w:jc w:val="right"/>
              <w:cnfStyle w:val="0000000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91.0 </w:t>
            </w:r>
          </w:p>
        </w:tc>
        <w:tc>
          <w:tcPr>
            <w:tcW w:w="1628" w:type="dxa"/>
            <w:noWrap/>
            <w:hideMark/>
          </w:tcPr>
          <w:p w:rsidR="009D0969" w:rsidRDefault="009D0969">
            <w:pPr>
              <w:autoSpaceDE w:val="0"/>
              <w:autoSpaceDN w:val="0"/>
              <w:adjustRightInd w:val="0"/>
              <w:jc w:val="right"/>
              <w:cnfStyle w:val="0000000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15.7 </w:t>
            </w:r>
          </w:p>
        </w:tc>
      </w:tr>
      <w:tr w:rsidR="009D0969" w:rsidRPr="00A7679C" w:rsidTr="00A7679C">
        <w:trPr>
          <w:cnfStyle w:val="000000100000"/>
          <w:trHeight w:val="270"/>
          <w:jc w:val="center"/>
        </w:trPr>
        <w:tc>
          <w:tcPr>
            <w:cnfStyle w:val="001000000000"/>
            <w:tcW w:w="2220" w:type="dxa"/>
            <w:noWrap/>
            <w:hideMark/>
          </w:tcPr>
          <w:p w:rsidR="009D0969" w:rsidRPr="00A7679C" w:rsidRDefault="009D0969" w:rsidP="00A7679C">
            <w:pPr>
              <w:widowControl/>
              <w:jc w:val="left"/>
              <w:rPr>
                <w:rFonts w:ascii="Garamond" w:eastAsia="SimSun" w:hAnsi="Garamond" w:cs="SimSun"/>
                <w:color w:val="000000"/>
                <w:kern w:val="0"/>
                <w:sz w:val="18"/>
                <w:szCs w:val="18"/>
              </w:rPr>
            </w:pPr>
            <w:r w:rsidRPr="00A7679C">
              <w:rPr>
                <w:rFonts w:ascii="Garamond" w:eastAsia="SimSun" w:hAnsi="Garamond" w:cs="SimSun"/>
                <w:color w:val="000000"/>
                <w:kern w:val="0"/>
                <w:sz w:val="18"/>
                <w:szCs w:val="18"/>
              </w:rPr>
              <w:t>Natural Resource</w:t>
            </w:r>
          </w:p>
        </w:tc>
        <w:tc>
          <w:tcPr>
            <w:tcW w:w="1080" w:type="dxa"/>
            <w:noWrap/>
            <w:hideMark/>
          </w:tcPr>
          <w:p w:rsidR="009D0969" w:rsidRDefault="009D0969">
            <w:pPr>
              <w:autoSpaceDE w:val="0"/>
              <w:autoSpaceDN w:val="0"/>
              <w:adjustRightInd w:val="0"/>
              <w:jc w:val="right"/>
              <w:cnfStyle w:val="0000001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0.1 </w:t>
            </w:r>
          </w:p>
        </w:tc>
        <w:tc>
          <w:tcPr>
            <w:tcW w:w="1628" w:type="dxa"/>
            <w:noWrap/>
            <w:hideMark/>
          </w:tcPr>
          <w:p w:rsidR="009D0969" w:rsidRDefault="009D0969">
            <w:pPr>
              <w:autoSpaceDE w:val="0"/>
              <w:autoSpaceDN w:val="0"/>
              <w:adjustRightInd w:val="0"/>
              <w:jc w:val="right"/>
              <w:cnfStyle w:val="0000001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0.0 </w:t>
            </w:r>
          </w:p>
        </w:tc>
      </w:tr>
      <w:tr w:rsidR="009D0969" w:rsidRPr="00A7679C" w:rsidTr="00A7679C">
        <w:trPr>
          <w:trHeight w:val="270"/>
          <w:jc w:val="center"/>
        </w:trPr>
        <w:tc>
          <w:tcPr>
            <w:cnfStyle w:val="001000000000"/>
            <w:tcW w:w="2220" w:type="dxa"/>
            <w:noWrap/>
            <w:hideMark/>
          </w:tcPr>
          <w:p w:rsidR="009D0969" w:rsidRPr="00A7679C" w:rsidRDefault="009D0969" w:rsidP="00A7679C">
            <w:pPr>
              <w:widowControl/>
              <w:jc w:val="left"/>
              <w:rPr>
                <w:rFonts w:ascii="Garamond" w:eastAsia="SimSun" w:hAnsi="Garamond" w:cs="SimSun"/>
                <w:color w:val="000000"/>
                <w:kern w:val="0"/>
                <w:sz w:val="18"/>
                <w:szCs w:val="18"/>
              </w:rPr>
            </w:pPr>
            <w:r w:rsidRPr="00A7679C">
              <w:rPr>
                <w:rFonts w:ascii="Garamond" w:eastAsia="SimSun" w:hAnsi="Garamond" w:cs="SimSun"/>
                <w:color w:val="000000"/>
                <w:kern w:val="0"/>
                <w:sz w:val="18"/>
                <w:szCs w:val="18"/>
              </w:rPr>
              <w:t>Value Add</w:t>
            </w:r>
          </w:p>
        </w:tc>
        <w:tc>
          <w:tcPr>
            <w:tcW w:w="1080" w:type="dxa"/>
            <w:noWrap/>
            <w:hideMark/>
          </w:tcPr>
          <w:p w:rsidR="009D0969" w:rsidRDefault="009D0969">
            <w:pPr>
              <w:autoSpaceDE w:val="0"/>
              <w:autoSpaceDN w:val="0"/>
              <w:adjustRightInd w:val="0"/>
              <w:jc w:val="right"/>
              <w:cnfStyle w:val="0000000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92.4 </w:t>
            </w:r>
          </w:p>
        </w:tc>
        <w:tc>
          <w:tcPr>
            <w:tcW w:w="1628" w:type="dxa"/>
            <w:noWrap/>
            <w:hideMark/>
          </w:tcPr>
          <w:p w:rsidR="009D0969" w:rsidRDefault="009D0969">
            <w:pPr>
              <w:autoSpaceDE w:val="0"/>
              <w:autoSpaceDN w:val="0"/>
              <w:adjustRightInd w:val="0"/>
              <w:jc w:val="right"/>
              <w:cnfStyle w:val="000000000000"/>
              <w:rPr>
                <w:rFonts w:ascii="Garamond" w:eastAsia="SimSun" w:hAnsi="Garamond" w:cs="Garamond"/>
                <w:color w:val="000000"/>
                <w:kern w:val="0"/>
                <w:sz w:val="18"/>
                <w:szCs w:val="18"/>
              </w:rPr>
            </w:pPr>
            <w:r>
              <w:rPr>
                <w:rFonts w:ascii="Garamond" w:eastAsia="SimSun" w:hAnsi="Garamond" w:cs="Garamond"/>
                <w:color w:val="000000"/>
                <w:kern w:val="0"/>
                <w:sz w:val="18"/>
                <w:szCs w:val="18"/>
              </w:rPr>
              <w:t xml:space="preserve">16.2 </w:t>
            </w:r>
          </w:p>
        </w:tc>
      </w:tr>
    </w:tbl>
    <w:p w:rsidR="00A7679C" w:rsidRDefault="00A7679C" w:rsidP="00A7679C">
      <w:pPr>
        <w:rPr>
          <w:lang w:val="en-CA"/>
        </w:rPr>
      </w:pPr>
      <w:r>
        <w:rPr>
          <w:lang w:val="en-CA"/>
        </w:rPr>
        <w:tab/>
      </w:r>
      <w:r>
        <w:rPr>
          <w:lang w:val="en-CA"/>
        </w:rPr>
        <w:tab/>
      </w:r>
      <w:r>
        <w:rPr>
          <w:lang w:val="en-CA"/>
        </w:rPr>
        <w:tab/>
      </w:r>
      <w:r>
        <w:rPr>
          <w:lang w:val="en-CA"/>
        </w:rPr>
        <w:tab/>
        <w:t>source:</w:t>
      </w:r>
      <w:r>
        <w:rPr>
          <w:rFonts w:hint="eastAsia"/>
          <w:lang w:val="en-CA"/>
        </w:rPr>
        <w:t xml:space="preserve"> Calculation</w:t>
      </w:r>
      <w:r>
        <w:rPr>
          <w:lang w:val="en-CA"/>
        </w:rPr>
        <w:t>s</w:t>
      </w:r>
      <w:r>
        <w:rPr>
          <w:rFonts w:hint="eastAsia"/>
          <w:lang w:val="en-CA"/>
        </w:rPr>
        <w:t xml:space="preserve"> by </w:t>
      </w:r>
      <w:r>
        <w:rPr>
          <w:lang w:val="en-CA"/>
        </w:rPr>
        <w:t>authors</w:t>
      </w:r>
    </w:p>
    <w:p w:rsidR="00D91FA3" w:rsidRDefault="00D91FA3">
      <w:pPr>
        <w:rPr>
          <w:lang w:val="en-CA"/>
        </w:rPr>
      </w:pPr>
    </w:p>
    <w:p w:rsidR="00DA4719" w:rsidRPr="00943B24" w:rsidRDefault="00DA4719" w:rsidP="00943B24">
      <w:pPr>
        <w:pStyle w:val="ListParagraph"/>
        <w:numPr>
          <w:ilvl w:val="0"/>
          <w:numId w:val="1"/>
        </w:numPr>
        <w:ind w:firstLineChars="0"/>
        <w:rPr>
          <w:b/>
          <w:sz w:val="24"/>
          <w:szCs w:val="24"/>
          <w:lang w:val="en-CA"/>
        </w:rPr>
      </w:pPr>
      <w:r w:rsidRPr="00943B24">
        <w:rPr>
          <w:b/>
          <w:sz w:val="24"/>
          <w:szCs w:val="24"/>
          <w:lang w:val="en-CA"/>
        </w:rPr>
        <w:t>Conclusions</w:t>
      </w:r>
    </w:p>
    <w:p w:rsidR="00DA4719" w:rsidRDefault="00852194">
      <w:pPr>
        <w:rPr>
          <w:lang w:val="en-CA"/>
        </w:rPr>
      </w:pPr>
      <w:r>
        <w:rPr>
          <w:rFonts w:hint="eastAsia"/>
          <w:lang w:val="en-CA"/>
        </w:rPr>
        <w:t xml:space="preserve">This paper's main contribution is </w:t>
      </w:r>
      <w:r>
        <w:rPr>
          <w:lang w:val="en-CA"/>
        </w:rPr>
        <w:t xml:space="preserve">to </w:t>
      </w:r>
      <w:r>
        <w:rPr>
          <w:rFonts w:hint="eastAsia"/>
          <w:lang w:val="en-CA"/>
        </w:rPr>
        <w:t xml:space="preserve">develop a </w:t>
      </w:r>
      <w:r>
        <w:rPr>
          <w:lang w:val="en-CA"/>
        </w:rPr>
        <w:t>dynamic GTAP model with USAGE-type investment function, incorporate the sticky-wage mechanism to the labour market, and construct the data for the sector-specific capital stocks and investments in each region. By comparing the results o</w:t>
      </w:r>
      <w:r w:rsidR="00A51F8A">
        <w:rPr>
          <w:lang w:val="en-CA"/>
        </w:rPr>
        <w:t xml:space="preserve">f two models, we found that the investment mechanism in the </w:t>
      </w:r>
      <w:proofErr w:type="spellStart"/>
      <w:r w:rsidR="00A51F8A">
        <w:rPr>
          <w:lang w:val="en-CA"/>
        </w:rPr>
        <w:t>GDyn</w:t>
      </w:r>
      <w:proofErr w:type="spellEnd"/>
      <w:r w:rsidR="00A51F8A">
        <w:rPr>
          <w:lang w:val="en-CA"/>
        </w:rPr>
        <w:t xml:space="preserve"> model generally has higher investment sensitivity than USAGE-type investment function. Especially, the growth rate of capital stock (KHAT) is affected by the current rate of return on capital and its change will in turn change the investment rate dramatically. </w:t>
      </w:r>
    </w:p>
    <w:p w:rsidR="00A51F8A" w:rsidRDefault="00A51F8A">
      <w:pPr>
        <w:rPr>
          <w:lang w:val="en-CA"/>
        </w:rPr>
      </w:pPr>
    </w:p>
    <w:p w:rsidR="001D7B38" w:rsidRDefault="00A51F8A">
      <w:pPr>
        <w:rPr>
          <w:lang w:val="en-CA"/>
        </w:rPr>
      </w:pPr>
      <w:r>
        <w:rPr>
          <w:lang w:val="en-CA"/>
        </w:rPr>
        <w:t xml:space="preserve">The assumption of mobility of capital within regions in </w:t>
      </w:r>
      <w:proofErr w:type="spellStart"/>
      <w:r>
        <w:rPr>
          <w:lang w:val="en-CA"/>
        </w:rPr>
        <w:t>GDyn</w:t>
      </w:r>
      <w:proofErr w:type="spellEnd"/>
      <w:r>
        <w:rPr>
          <w:lang w:val="en-CA"/>
        </w:rPr>
        <w:t xml:space="preserve"> may lead to some sectors overly react to policy shocks. The solution can be disaggregating the regional investment related dataset </w:t>
      </w:r>
      <w:r>
        <w:rPr>
          <w:lang w:val="en-CA"/>
        </w:rPr>
        <w:lastRenderedPageBreak/>
        <w:t xml:space="preserve">into sector-specific and </w:t>
      </w:r>
      <w:r w:rsidR="00281153">
        <w:rPr>
          <w:lang w:val="en-CA"/>
        </w:rPr>
        <w:t>adopt a sector-specific investment function. By doing this, the capital stock in short-run becomes sluggish so that the sector expansion is constrained by the growth of capital. Lastly, adding the sticky-wage mechanism to the labour market will bring in more realistic dynamic paths of employment and wage to the simulation results.</w:t>
      </w:r>
    </w:p>
    <w:p w:rsidR="00281153" w:rsidRDefault="00281153">
      <w:pPr>
        <w:rPr>
          <w:lang w:val="en-CA"/>
        </w:rPr>
      </w:pPr>
    </w:p>
    <w:p w:rsidR="00281153" w:rsidRDefault="00281153">
      <w:pPr>
        <w:rPr>
          <w:lang w:val="en-CA"/>
        </w:rPr>
      </w:pPr>
      <w:r>
        <w:rPr>
          <w:lang w:val="en-CA"/>
        </w:rPr>
        <w:t xml:space="preserve">In this study, we only </w:t>
      </w:r>
      <w:r w:rsidR="000F673E">
        <w:rPr>
          <w:rFonts w:hint="eastAsia"/>
          <w:lang w:val="en-CA"/>
        </w:rPr>
        <w:t xml:space="preserve">test the results based on the </w:t>
      </w:r>
      <w:r>
        <w:rPr>
          <w:lang w:val="en-CA"/>
        </w:rPr>
        <w:t xml:space="preserve">static expectation in the USAGE-type investment </w:t>
      </w:r>
      <w:r w:rsidR="000F673E">
        <w:rPr>
          <w:lang w:val="en-CA"/>
        </w:rPr>
        <w:t xml:space="preserve">function. </w:t>
      </w:r>
      <w:r w:rsidR="000F673E">
        <w:rPr>
          <w:rFonts w:hint="eastAsia"/>
          <w:lang w:val="en-CA"/>
        </w:rPr>
        <w:t>Examining the</w:t>
      </w:r>
      <w:r w:rsidR="000F673E">
        <w:rPr>
          <w:lang w:val="en-CA"/>
        </w:rPr>
        <w:t xml:space="preserve"> rational expectation </w:t>
      </w:r>
      <w:r w:rsidR="000F673E">
        <w:rPr>
          <w:rFonts w:hint="eastAsia"/>
          <w:lang w:val="en-CA"/>
        </w:rPr>
        <w:t>may</w:t>
      </w:r>
      <w:r w:rsidR="00E74908">
        <w:rPr>
          <w:rFonts w:hint="eastAsia"/>
          <w:lang w:val="en-CA"/>
        </w:rPr>
        <w:t xml:space="preserve"> </w:t>
      </w:r>
      <w:r w:rsidR="000F673E">
        <w:rPr>
          <w:rFonts w:hint="eastAsia"/>
          <w:lang w:val="en-CA"/>
        </w:rPr>
        <w:t xml:space="preserve">be one of our future study. </w:t>
      </w:r>
    </w:p>
    <w:p w:rsidR="00281153" w:rsidRPr="00281153" w:rsidRDefault="00281153">
      <w:pPr>
        <w:rPr>
          <w:lang w:val="en-CA"/>
        </w:rPr>
      </w:pPr>
    </w:p>
    <w:p w:rsidR="00DA4719" w:rsidRPr="00A51F8A" w:rsidRDefault="00DA4719">
      <w:pPr>
        <w:rPr>
          <w:lang w:val="en-CA"/>
        </w:rPr>
      </w:pPr>
    </w:p>
    <w:p w:rsidR="00FF59E3" w:rsidRPr="00A1203E" w:rsidRDefault="00A1203E">
      <w:pPr>
        <w:rPr>
          <w:b/>
          <w:sz w:val="24"/>
          <w:szCs w:val="24"/>
          <w:lang w:val="en-CA"/>
        </w:rPr>
      </w:pPr>
      <w:r w:rsidRPr="00A1203E">
        <w:rPr>
          <w:b/>
          <w:sz w:val="24"/>
          <w:szCs w:val="24"/>
          <w:lang w:val="en-CA"/>
        </w:rPr>
        <w:t>Reference</w:t>
      </w:r>
    </w:p>
    <w:p w:rsidR="00A1203E" w:rsidRDefault="00A1203E">
      <w:pPr>
        <w:rPr>
          <w:lang w:val="en-CA"/>
        </w:rPr>
      </w:pPr>
    </w:p>
    <w:p w:rsidR="002D3859" w:rsidRDefault="002D3859" w:rsidP="002D3859">
      <w:pPr>
        <w:ind w:left="284" w:hanging="284"/>
      </w:pPr>
      <w:r>
        <w:t>Balistreri, Edward J. and Thomas F. Rutherford. 2013. “Computing general equilibrium theories of monopolistic competition and heterogeneous firms.” In Dixon, Peter B. and Dale W. Jorgenson (eds.) Handbook of Computable General Equilibrium Modeling. Amsterdam: Elsevier, 1513-1570.</w:t>
      </w:r>
    </w:p>
    <w:p w:rsidR="002D3859" w:rsidRDefault="002D3859" w:rsidP="002D3859">
      <w:pPr>
        <w:ind w:left="284" w:hanging="284"/>
      </w:pPr>
      <w:proofErr w:type="spellStart"/>
      <w:r>
        <w:t>Bown</w:t>
      </w:r>
      <w:proofErr w:type="spellEnd"/>
      <w:r>
        <w:t>, Chad. 2017. “Rogue 301: Trump to Dust Off another Outdated US Trade Law?” Trade and Investment Policy Watch, Peterson Institute for International Economics, 3 August 2017.</w:t>
      </w:r>
    </w:p>
    <w:p w:rsidR="002D3859" w:rsidRDefault="002D3859" w:rsidP="002D3859">
      <w:pPr>
        <w:ind w:left="284" w:hanging="284"/>
      </w:pPr>
      <w:proofErr w:type="spellStart"/>
      <w:r>
        <w:t>Cernat</w:t>
      </w:r>
      <w:proofErr w:type="spellEnd"/>
      <w:r>
        <w:t xml:space="preserve">, Lucian and </w:t>
      </w:r>
      <w:proofErr w:type="spellStart"/>
      <w:r>
        <w:t>Zornitsa</w:t>
      </w:r>
      <w:proofErr w:type="spellEnd"/>
      <w:r>
        <w:t xml:space="preserve"> </w:t>
      </w:r>
      <w:proofErr w:type="spellStart"/>
      <w:r>
        <w:t>Kutlina-Dimitrova</w:t>
      </w:r>
      <w:proofErr w:type="spellEnd"/>
      <w:r>
        <w:t>. 2015. “International Public Procurement: From Scant Facts to Hard Data,” European Commission DG Trade Chief Economist Note 1.</w:t>
      </w:r>
    </w:p>
    <w:p w:rsidR="002D3859" w:rsidRDefault="002D3859" w:rsidP="002D3859">
      <w:pPr>
        <w:ind w:left="284" w:hanging="284"/>
      </w:pPr>
      <w:proofErr w:type="spellStart"/>
      <w:r>
        <w:t>Ciuriak</w:t>
      </w:r>
      <w:proofErr w:type="spellEnd"/>
      <w:r>
        <w:t>, Dan and Dmitry Lysenko. 2016. “Quantifying Services-Trade Liberalization: The Impact of Binding Commitments,” Better in than Out? Canada and the Trans-Pacific Partnership. Toronto: C.D. Howe Institute.</w:t>
      </w:r>
    </w:p>
    <w:p w:rsidR="002D3859" w:rsidRDefault="002D3859" w:rsidP="002D3859">
      <w:pPr>
        <w:ind w:left="284" w:hanging="284"/>
      </w:pPr>
      <w:proofErr w:type="spellStart"/>
      <w:r>
        <w:t>Ciuriak</w:t>
      </w:r>
      <w:proofErr w:type="spellEnd"/>
      <w:r>
        <w:t xml:space="preserve">, Dan and </w:t>
      </w:r>
      <w:proofErr w:type="spellStart"/>
      <w:r>
        <w:t>Jingliang</w:t>
      </w:r>
      <w:proofErr w:type="spellEnd"/>
      <w:r>
        <w:t xml:space="preserve"> Xiao. 2016. “Calibrating Wage-Productivity Responses in CGE Model Simulations of Trade Policy Impacts,” </w:t>
      </w:r>
      <w:proofErr w:type="spellStart"/>
      <w:r>
        <w:t>Ciuriak</w:t>
      </w:r>
      <w:proofErr w:type="spellEnd"/>
      <w:r>
        <w:t xml:space="preserve"> Consulting Discussion Paper, 14 September 2016.</w:t>
      </w:r>
    </w:p>
    <w:p w:rsidR="002D3859" w:rsidRDefault="002D3859" w:rsidP="002D3859">
      <w:pPr>
        <w:ind w:left="284" w:hanging="284"/>
      </w:pPr>
      <w:proofErr w:type="spellStart"/>
      <w:r>
        <w:t>Ciuriak</w:t>
      </w:r>
      <w:proofErr w:type="spellEnd"/>
      <w:r>
        <w:t xml:space="preserve">, Dan and </w:t>
      </w:r>
      <w:proofErr w:type="spellStart"/>
      <w:r>
        <w:t>Shenjie</w:t>
      </w:r>
      <w:proofErr w:type="spellEnd"/>
      <w:r>
        <w:t xml:space="preserve"> Chen. 2008. “Preliminary Assessment of the Economic Impacts of a Canada-Korea Free Trade Agreement.” In </w:t>
      </w:r>
      <w:proofErr w:type="spellStart"/>
      <w:r>
        <w:t>Ciuriak</w:t>
      </w:r>
      <w:proofErr w:type="spellEnd"/>
      <w:r>
        <w:t>, Dan (ed.) Trade Policy Research 2007. Ottawa: Foreign Affairs and International Trade Canada, 187-234.</w:t>
      </w:r>
    </w:p>
    <w:p w:rsidR="0070402D" w:rsidRDefault="0070402D" w:rsidP="0070402D">
      <w:pPr>
        <w:ind w:left="284" w:hanging="284"/>
      </w:pPr>
      <w:proofErr w:type="spellStart"/>
      <w:r>
        <w:t>Ciuriak</w:t>
      </w:r>
      <w:proofErr w:type="spellEnd"/>
      <w:r>
        <w:t xml:space="preserve">, Dan, Lucy </w:t>
      </w:r>
      <w:proofErr w:type="spellStart"/>
      <w:r>
        <w:t>Ciuriak</w:t>
      </w:r>
      <w:proofErr w:type="spellEnd"/>
      <w:r>
        <w:t xml:space="preserve">, Ali </w:t>
      </w:r>
      <w:proofErr w:type="spellStart"/>
      <w:r>
        <w:t>Dadkhah</w:t>
      </w:r>
      <w:proofErr w:type="spellEnd"/>
      <w:r>
        <w:t xml:space="preserve"> and </w:t>
      </w:r>
      <w:proofErr w:type="spellStart"/>
      <w:r>
        <w:t>Jingliang</w:t>
      </w:r>
      <w:proofErr w:type="spellEnd"/>
      <w:r>
        <w:t xml:space="preserve"> Xiao. 2017. “The NAFTA Renegotiation: What if the US Walks Away?" working paper, C.D. Howe Institute, 2017.</w:t>
      </w:r>
    </w:p>
    <w:p w:rsidR="002D3859" w:rsidRDefault="002D3859" w:rsidP="002D3859">
      <w:pPr>
        <w:ind w:left="284" w:hanging="284"/>
      </w:pPr>
      <w:proofErr w:type="spellStart"/>
      <w:r>
        <w:t>Ciuriak</w:t>
      </w:r>
      <w:proofErr w:type="spellEnd"/>
      <w:r>
        <w:t xml:space="preserve">, Dan, Ali </w:t>
      </w:r>
      <w:proofErr w:type="spellStart"/>
      <w:r>
        <w:t>Dadkhah</w:t>
      </w:r>
      <w:proofErr w:type="spellEnd"/>
      <w:r>
        <w:t xml:space="preserve"> and </w:t>
      </w:r>
      <w:proofErr w:type="spellStart"/>
      <w:r>
        <w:t>Jingliang</w:t>
      </w:r>
      <w:proofErr w:type="spellEnd"/>
      <w:r>
        <w:t xml:space="preserve"> Xiao. 2017. “Brexit Trade Impacts: Alternative Scenarios," GTAP Resource #5252, presented at the GTAP Annual Conference, West Lafayette, 6-8 June, 2017.</w:t>
      </w:r>
    </w:p>
    <w:p w:rsidR="002D3859" w:rsidRDefault="002D3859" w:rsidP="002D3859">
      <w:pPr>
        <w:ind w:left="284" w:hanging="284"/>
      </w:pPr>
      <w:r>
        <w:t xml:space="preserve">Curtis, John M. 2002. “The Role of Contextual Factors in the Launching of Trade Rounds,” Chapter 2 in John M. Curtis and Dan </w:t>
      </w:r>
      <w:proofErr w:type="spellStart"/>
      <w:r>
        <w:t>Ciuriak</w:t>
      </w:r>
      <w:proofErr w:type="spellEnd"/>
      <w:r>
        <w:t xml:space="preserve"> (</w:t>
      </w:r>
      <w:proofErr w:type="spellStart"/>
      <w:r>
        <w:t>eds</w:t>
      </w:r>
      <w:proofErr w:type="spellEnd"/>
      <w:r>
        <w:t>) Trade Policy Research 2002. Ottawa: Foreign Affairs and International Trade Canada: 33-70.</w:t>
      </w:r>
    </w:p>
    <w:p w:rsidR="002D3859" w:rsidRPr="002D3859" w:rsidRDefault="002D3859" w:rsidP="002D3859">
      <w:pPr>
        <w:ind w:left="284" w:hanging="284"/>
      </w:pPr>
      <w:r w:rsidRPr="002D3859">
        <w:t xml:space="preserve">Dixon, P. B., &amp; </w:t>
      </w:r>
      <w:proofErr w:type="spellStart"/>
      <w:r w:rsidRPr="002D3859">
        <w:t>Rimmer</w:t>
      </w:r>
      <w:proofErr w:type="spellEnd"/>
      <w:r w:rsidRPr="002D3859">
        <w:t>, M. T. (Eds.). 2001. Dynamic general equilibrium modelling for forecasting and policy: a practical guide and documentation of MONASH. Emerald Group Publishing Limited.</w:t>
      </w:r>
    </w:p>
    <w:p w:rsidR="002D3859" w:rsidRDefault="002D3859" w:rsidP="002D3859">
      <w:pPr>
        <w:ind w:left="284" w:hanging="284"/>
      </w:pPr>
      <w:r>
        <w:t xml:space="preserve">Dixon, Peter. B., Michael </w:t>
      </w:r>
      <w:proofErr w:type="spellStart"/>
      <w:r>
        <w:t>Jerie</w:t>
      </w:r>
      <w:proofErr w:type="spellEnd"/>
      <w:r>
        <w:t xml:space="preserve">, and Maureen T. </w:t>
      </w:r>
      <w:proofErr w:type="spellStart"/>
      <w:r>
        <w:t>Rimmer</w:t>
      </w:r>
      <w:proofErr w:type="spellEnd"/>
      <w:r>
        <w:t xml:space="preserve">. 2013. “Deriving the </w:t>
      </w:r>
      <w:proofErr w:type="spellStart"/>
      <w:r>
        <w:t>Armington</w:t>
      </w:r>
      <w:proofErr w:type="spellEnd"/>
      <w:r>
        <w:t xml:space="preserve">, </w:t>
      </w:r>
      <w:proofErr w:type="spellStart"/>
      <w:r>
        <w:t>Krugman</w:t>
      </w:r>
      <w:proofErr w:type="spellEnd"/>
      <w:r>
        <w:t xml:space="preserve"> and </w:t>
      </w:r>
      <w:proofErr w:type="spellStart"/>
      <w:r>
        <w:t>Melitz</w:t>
      </w:r>
      <w:proofErr w:type="spellEnd"/>
      <w:r>
        <w:t xml:space="preserve"> models of trade,” Paper presented at the 23rd Pacific Conference of the Regional Science Association International (RSAI). Bandung, Indonesia. July.</w:t>
      </w:r>
    </w:p>
    <w:p w:rsidR="002D3859" w:rsidRDefault="002D3859" w:rsidP="002D3859">
      <w:pPr>
        <w:ind w:left="284" w:hanging="284"/>
      </w:pPr>
      <w:r>
        <w:t xml:space="preserve">Evers, </w:t>
      </w:r>
      <w:proofErr w:type="spellStart"/>
      <w:r>
        <w:t>Michiel</w:t>
      </w:r>
      <w:proofErr w:type="spellEnd"/>
      <w:r>
        <w:t xml:space="preserve">, </w:t>
      </w:r>
      <w:proofErr w:type="spellStart"/>
      <w:r>
        <w:t>Ruud</w:t>
      </w:r>
      <w:proofErr w:type="spellEnd"/>
      <w:r>
        <w:t xml:space="preserve"> De </w:t>
      </w:r>
      <w:proofErr w:type="spellStart"/>
      <w:r>
        <w:t>Mooij</w:t>
      </w:r>
      <w:proofErr w:type="spellEnd"/>
      <w:r>
        <w:t xml:space="preserve">, and Daniel Van </w:t>
      </w:r>
      <w:proofErr w:type="spellStart"/>
      <w:r>
        <w:t>Vuuren</w:t>
      </w:r>
      <w:proofErr w:type="spellEnd"/>
      <w:r>
        <w:t xml:space="preserve">. 2008. “The Wage Elasticity of </w:t>
      </w:r>
      <w:proofErr w:type="spellStart"/>
      <w:r>
        <w:t>Labour</w:t>
      </w:r>
      <w:proofErr w:type="spellEnd"/>
      <w:r>
        <w:t xml:space="preserve"> Supply: A Synthesis of Empirical Estimates,” De Economist 156(1), 25-43.</w:t>
      </w:r>
    </w:p>
    <w:p w:rsidR="002D3859" w:rsidRDefault="002D3859" w:rsidP="002D3859">
      <w:pPr>
        <w:ind w:left="284" w:hanging="284"/>
      </w:pPr>
      <w:proofErr w:type="spellStart"/>
      <w:r w:rsidRPr="00712E2E">
        <w:rPr>
          <w:lang w:val="fr-FR"/>
        </w:rPr>
        <w:t>Fontagné</w:t>
      </w:r>
      <w:proofErr w:type="spellEnd"/>
      <w:r w:rsidRPr="00712E2E">
        <w:rPr>
          <w:lang w:val="fr-FR"/>
        </w:rPr>
        <w:t xml:space="preserve"> Lionel, Cristina </w:t>
      </w:r>
      <w:proofErr w:type="spellStart"/>
      <w:r w:rsidRPr="00712E2E">
        <w:rPr>
          <w:lang w:val="fr-FR"/>
        </w:rPr>
        <w:t>Mitaritonna</w:t>
      </w:r>
      <w:proofErr w:type="spellEnd"/>
      <w:r w:rsidRPr="00712E2E">
        <w:rPr>
          <w:lang w:val="fr-FR"/>
        </w:rPr>
        <w:t xml:space="preserve"> &amp; José </w:t>
      </w:r>
      <w:proofErr w:type="spellStart"/>
      <w:r w:rsidRPr="00712E2E">
        <w:rPr>
          <w:lang w:val="fr-FR"/>
        </w:rPr>
        <w:t>Signoretet</w:t>
      </w:r>
      <w:proofErr w:type="spellEnd"/>
      <w:r w:rsidRPr="00712E2E">
        <w:rPr>
          <w:lang w:val="fr-FR"/>
        </w:rPr>
        <w:t xml:space="preserve">. </w:t>
      </w:r>
      <w:r>
        <w:t xml:space="preserve">2016. “Estimated Tariff Equivalents of </w:t>
      </w:r>
      <w:r>
        <w:lastRenderedPageBreak/>
        <w:t>Services NTMs,” CEPII Working Paper No 2016-20 – August.</w:t>
      </w:r>
    </w:p>
    <w:p w:rsidR="002D3859" w:rsidRDefault="002D3859" w:rsidP="002D3859">
      <w:pPr>
        <w:ind w:left="284" w:hanging="284"/>
      </w:pPr>
      <w:r>
        <w:t>Francois, Joseph and Laura Baughman. 2005. Impact of imports from China on U.S. Employment. Washington, D.C.: The National Retail Federation.</w:t>
      </w:r>
    </w:p>
    <w:p w:rsidR="002D3859" w:rsidRDefault="002D3859" w:rsidP="002D3859">
      <w:pPr>
        <w:ind w:left="284" w:hanging="284"/>
      </w:pPr>
      <w:r>
        <w:t xml:space="preserve">Gilbert, John P. 2004. “GTAP Model Analysis: Simulating the Effect of a Korea-U.S. FTA Using Computable General Equilibrium Techniques.” In </w:t>
      </w:r>
      <w:proofErr w:type="spellStart"/>
      <w:r>
        <w:t>Choi</w:t>
      </w:r>
      <w:proofErr w:type="spellEnd"/>
      <w:r>
        <w:t xml:space="preserve">, </w:t>
      </w:r>
      <w:proofErr w:type="spellStart"/>
      <w:r>
        <w:t>Inbom</w:t>
      </w:r>
      <w:proofErr w:type="spellEnd"/>
      <w:r>
        <w:t xml:space="preserve"> and Jeffrey J. Schott (eds.) Free Trade Between Korea and the United States? Washington, D.C.: Institute for International Economics, Appendix B, 89-118. </w:t>
      </w:r>
    </w:p>
    <w:p w:rsidR="002D3859" w:rsidRDefault="002D3859" w:rsidP="002D3859">
      <w:pPr>
        <w:ind w:left="284" w:hanging="284"/>
      </w:pPr>
      <w:proofErr w:type="spellStart"/>
      <w:r>
        <w:t>Helpman</w:t>
      </w:r>
      <w:proofErr w:type="spellEnd"/>
      <w:r>
        <w:t xml:space="preserve">, Elhanan, Marc J. Melitz and Stephen R. </w:t>
      </w:r>
      <w:proofErr w:type="spellStart"/>
      <w:r>
        <w:t>Yeaple</w:t>
      </w:r>
      <w:proofErr w:type="spellEnd"/>
      <w:r>
        <w:t>. 2004. “Export Versus FDI with Heterogeneous Firms,” American Economic Review 94(1), March: 300-316.</w:t>
      </w:r>
    </w:p>
    <w:p w:rsidR="002D3859" w:rsidRDefault="002D3859" w:rsidP="002D3859">
      <w:pPr>
        <w:ind w:left="284" w:hanging="284"/>
      </w:pPr>
      <w:proofErr w:type="spellStart"/>
      <w:r>
        <w:t>Hertel</w:t>
      </w:r>
      <w:proofErr w:type="spellEnd"/>
      <w:r>
        <w:t xml:space="preserve">, Thomas (ed.). 1997. Global Trade Analysis: Modeling and Applications. Cambridge, UK: Cambridge University Press. </w:t>
      </w:r>
    </w:p>
    <w:p w:rsidR="002D3859" w:rsidRDefault="002D3859" w:rsidP="002D3859">
      <w:pPr>
        <w:ind w:left="284" w:hanging="284"/>
      </w:pPr>
      <w:proofErr w:type="spellStart"/>
      <w:r>
        <w:t>Hertel</w:t>
      </w:r>
      <w:proofErr w:type="spellEnd"/>
      <w:r>
        <w:t xml:space="preserve">, Thomas, David </w:t>
      </w:r>
      <w:proofErr w:type="spellStart"/>
      <w:r>
        <w:t>Hummels</w:t>
      </w:r>
      <w:proofErr w:type="spellEnd"/>
      <w:r>
        <w:t xml:space="preserve">, </w:t>
      </w:r>
      <w:proofErr w:type="spellStart"/>
      <w:r>
        <w:t>Maros</w:t>
      </w:r>
      <w:proofErr w:type="spellEnd"/>
      <w:r>
        <w:t xml:space="preserve"> </w:t>
      </w:r>
      <w:proofErr w:type="spellStart"/>
      <w:r>
        <w:t>Ivanic</w:t>
      </w:r>
      <w:proofErr w:type="spellEnd"/>
      <w:r>
        <w:t>, and Roman Keeney. 2003. “How Confident Can We Be in CGE-Based Assessments of Free Trade Agreements?” GTAP Working Paper 26.</w:t>
      </w:r>
    </w:p>
    <w:p w:rsidR="009B3C95" w:rsidRDefault="009B3C95" w:rsidP="002D3859">
      <w:pPr>
        <w:ind w:left="284" w:hanging="284"/>
      </w:pPr>
      <w:proofErr w:type="spellStart"/>
      <w:r w:rsidRPr="009B3C95">
        <w:t>Ianchovichina</w:t>
      </w:r>
      <w:proofErr w:type="spellEnd"/>
      <w:r w:rsidRPr="009B3C95">
        <w:t>, E. and Walmsley, T.L. eds., 2012. Dynamic modeling and applications for global economic analysis. Cambridge University Press.</w:t>
      </w:r>
    </w:p>
    <w:p w:rsidR="002D3859" w:rsidRDefault="002D3859" w:rsidP="002D3859">
      <w:pPr>
        <w:ind w:left="284" w:hanging="284"/>
      </w:pPr>
      <w:r>
        <w:t>International Monetary Fund (IMF). April 2017. World Economic Outlook Database. &lt;http://www.imf.org/external/pubs/ft/weo/2017/01/weodata/index.aspx&gt; (accessed June 1, 2017).</w:t>
      </w:r>
    </w:p>
    <w:p w:rsidR="002D3859" w:rsidRDefault="002D3859" w:rsidP="002D3859">
      <w:pPr>
        <w:ind w:left="284" w:hanging="284"/>
      </w:pPr>
      <w:proofErr w:type="spellStart"/>
      <w:r>
        <w:t>Itakura</w:t>
      </w:r>
      <w:proofErr w:type="spellEnd"/>
      <w:r>
        <w:t xml:space="preserve">, Ken and Kazuhiko </w:t>
      </w:r>
      <w:proofErr w:type="spellStart"/>
      <w:r>
        <w:t>Oyamada</w:t>
      </w:r>
      <w:proofErr w:type="spellEnd"/>
      <w:r>
        <w:t xml:space="preserve">. 2013. “Incorporating firm heterogeneity into the GTAP Model,” Paper presented at the 16th Annual Conference on Global Economic Analysis. Shanghai, China. June. </w:t>
      </w:r>
    </w:p>
    <w:p w:rsidR="002D3859" w:rsidRDefault="002D3859" w:rsidP="002D3859">
      <w:pPr>
        <w:ind w:left="284" w:hanging="284"/>
      </w:pPr>
      <w:r>
        <w:t>King, Elizabeth K. 1991. The Omnibus Trade Bill of 1988: "Super 301" And Its Effects on the Multilateral Trade System under the GATT,” University of Pennsylvania Journal of International Law 12(2): 245-273.</w:t>
      </w:r>
    </w:p>
    <w:p w:rsidR="002D3859" w:rsidRDefault="002D3859" w:rsidP="002D3859">
      <w:pPr>
        <w:ind w:left="284" w:hanging="284"/>
      </w:pPr>
      <w:r>
        <w:t xml:space="preserve">Meager, Nigel and Stefan </w:t>
      </w:r>
      <w:proofErr w:type="spellStart"/>
      <w:r>
        <w:t>Speckesser</w:t>
      </w:r>
      <w:proofErr w:type="spellEnd"/>
      <w:r>
        <w:t>. 2011. “Wages, productivity and employment: A review of theory and international data,” European Employment Observatory, Thematic expert ad-hoc paper, May 2011.</w:t>
      </w:r>
    </w:p>
    <w:p w:rsidR="002D3859" w:rsidRDefault="002D3859" w:rsidP="002D3859">
      <w:pPr>
        <w:ind w:left="284" w:hanging="284"/>
      </w:pPr>
      <w:r>
        <w:t xml:space="preserve">Melitz, Marc J. 2003. “The Impact of Trade on Intra-Industry Reallocations and Aggregate Industry Productivity.” </w:t>
      </w:r>
      <w:proofErr w:type="spellStart"/>
      <w:r>
        <w:t>Econometrica</w:t>
      </w:r>
      <w:proofErr w:type="spellEnd"/>
      <w:r>
        <w:t xml:space="preserve"> 71(6): 1695-1725.</w:t>
      </w:r>
    </w:p>
    <w:p w:rsidR="002D3859" w:rsidRDefault="002D3859" w:rsidP="002D3859">
      <w:pPr>
        <w:ind w:left="284" w:hanging="284"/>
      </w:pPr>
      <w:proofErr w:type="spellStart"/>
      <w:r>
        <w:t>Oyamada</w:t>
      </w:r>
      <w:proofErr w:type="spellEnd"/>
      <w:r>
        <w:t xml:space="preserve">, Kazuhiko. 2013. “Parameterization of Applied General Equilibrium Models with Flexible Trade Specifications Based on the </w:t>
      </w:r>
      <w:proofErr w:type="spellStart"/>
      <w:r>
        <w:t>Armington</w:t>
      </w:r>
      <w:proofErr w:type="spellEnd"/>
      <w:r>
        <w:t xml:space="preserve">, </w:t>
      </w:r>
      <w:proofErr w:type="spellStart"/>
      <w:r>
        <w:t>Krugman</w:t>
      </w:r>
      <w:proofErr w:type="spellEnd"/>
      <w:r>
        <w:t xml:space="preserve">, and </w:t>
      </w:r>
      <w:proofErr w:type="spellStart"/>
      <w:r>
        <w:t>Melitz</w:t>
      </w:r>
      <w:proofErr w:type="spellEnd"/>
      <w:r>
        <w:t xml:space="preserve"> Models,” Institute of Developing Economies Discussion Paper 380.</w:t>
      </w:r>
    </w:p>
    <w:p w:rsidR="002D3859" w:rsidRDefault="002D3859" w:rsidP="002D3859">
      <w:pPr>
        <w:ind w:left="284" w:hanging="284"/>
      </w:pPr>
      <w:proofErr w:type="spellStart"/>
      <w:r>
        <w:t>Roson</w:t>
      </w:r>
      <w:proofErr w:type="spellEnd"/>
      <w:r>
        <w:t xml:space="preserve">, Roberto and Kazuhiko </w:t>
      </w:r>
      <w:proofErr w:type="spellStart"/>
      <w:r>
        <w:t>Oyamada</w:t>
      </w:r>
      <w:proofErr w:type="spellEnd"/>
      <w:r>
        <w:t xml:space="preserve">. 2014. “Introducing Melitz-Style Firm Heterogeneity in CGE Models: Technical Aspects and Implications,” Department of Economics, Ca’ </w:t>
      </w:r>
      <w:proofErr w:type="spellStart"/>
      <w:r>
        <w:t>Foscari</w:t>
      </w:r>
      <w:proofErr w:type="spellEnd"/>
      <w:r>
        <w:t>, University of Venice Working Paper 04/WP/2014.</w:t>
      </w:r>
    </w:p>
    <w:p w:rsidR="002D3859" w:rsidRDefault="002D3859" w:rsidP="002D3859">
      <w:pPr>
        <w:ind w:left="284" w:hanging="284"/>
      </w:pPr>
      <w:proofErr w:type="spellStart"/>
      <w:r>
        <w:t>Roson</w:t>
      </w:r>
      <w:proofErr w:type="spellEnd"/>
      <w:r>
        <w:t xml:space="preserve">, Roberto. 2006. “Introducing Imperfect Competition in CGE Models: Technical Aspects and Implications,” </w:t>
      </w:r>
      <w:proofErr w:type="spellStart"/>
      <w:r>
        <w:t>Fondazione</w:t>
      </w:r>
      <w:proofErr w:type="spellEnd"/>
      <w:r>
        <w:t xml:space="preserve"> </w:t>
      </w:r>
      <w:proofErr w:type="spellStart"/>
      <w:r>
        <w:t>Eni</w:t>
      </w:r>
      <w:proofErr w:type="spellEnd"/>
      <w:r>
        <w:t xml:space="preserve"> </w:t>
      </w:r>
      <w:proofErr w:type="spellStart"/>
      <w:r>
        <w:t>Enrico</w:t>
      </w:r>
      <w:proofErr w:type="spellEnd"/>
      <w:r>
        <w:t xml:space="preserve"> </w:t>
      </w:r>
      <w:proofErr w:type="spellStart"/>
      <w:r>
        <w:t>Mattei</w:t>
      </w:r>
      <w:proofErr w:type="spellEnd"/>
      <w:r>
        <w:t xml:space="preserve">, Nota Di </w:t>
      </w:r>
      <w:proofErr w:type="spellStart"/>
      <w:r>
        <w:t>Lavoro</w:t>
      </w:r>
      <w:proofErr w:type="spellEnd"/>
      <w:r>
        <w:t xml:space="preserve"> 3.2006.</w:t>
      </w:r>
    </w:p>
    <w:p w:rsidR="002D3859" w:rsidRDefault="002D3859" w:rsidP="002D3859">
      <w:pPr>
        <w:ind w:left="284" w:hanging="284"/>
      </w:pPr>
      <w:r>
        <w:t>The Economist. 2002. “Innovation's golden goose,” The Economist, 12 December 2002.</w:t>
      </w:r>
    </w:p>
    <w:p w:rsidR="002D3859" w:rsidRDefault="002D3859" w:rsidP="002D3859">
      <w:pPr>
        <w:ind w:left="284" w:hanging="284"/>
      </w:pPr>
      <w:r>
        <w:t>USITC. 2016. “Trans-Pacific Partnership Agreement: Likely Impact on the U.S. Economy and on Specific Industry Sectors,” United States International Trade Commission USITC Report 4607.</w:t>
      </w:r>
    </w:p>
    <w:p w:rsidR="002D3859" w:rsidRDefault="002D3859" w:rsidP="002D3859">
      <w:pPr>
        <w:ind w:left="284" w:hanging="284"/>
      </w:pPr>
      <w:r>
        <w:t>WTO. 2017. World Tariff Profiles 2017. World Trade Organization, International Trade Centre, UNCTAD.</w:t>
      </w:r>
    </w:p>
    <w:p w:rsidR="002D3859" w:rsidRPr="006E1964" w:rsidRDefault="002D3859" w:rsidP="002D3859">
      <w:pPr>
        <w:ind w:left="284" w:hanging="284"/>
      </w:pPr>
      <w:proofErr w:type="spellStart"/>
      <w:r>
        <w:t>Zhai</w:t>
      </w:r>
      <w:proofErr w:type="spellEnd"/>
      <w:r>
        <w:t>, Fan. 2008. “</w:t>
      </w:r>
      <w:proofErr w:type="spellStart"/>
      <w:r>
        <w:t>Armington</w:t>
      </w:r>
      <w:proofErr w:type="spellEnd"/>
      <w:r>
        <w:t xml:space="preserve"> meets </w:t>
      </w:r>
      <w:proofErr w:type="spellStart"/>
      <w:r>
        <w:t>Melitz</w:t>
      </w:r>
      <w:proofErr w:type="spellEnd"/>
      <w:r>
        <w:t>: Introducing firm heterogeneity in a global CGE model of trade,” Journal of Economic Integration 23(3), 575-604.</w:t>
      </w:r>
    </w:p>
    <w:p w:rsidR="002D3859" w:rsidRPr="002D3859" w:rsidRDefault="002D3859"/>
    <w:p w:rsidR="00FF59E3" w:rsidRPr="00FF59E3" w:rsidRDefault="00FF59E3" w:rsidP="00FF59E3">
      <w:pPr>
        <w:pStyle w:val="ListParagraph"/>
        <w:numPr>
          <w:ilvl w:val="0"/>
          <w:numId w:val="1"/>
        </w:numPr>
        <w:ind w:firstLineChars="0"/>
        <w:rPr>
          <w:b/>
          <w:sz w:val="24"/>
          <w:szCs w:val="24"/>
          <w:lang w:val="en-CA"/>
        </w:rPr>
      </w:pPr>
      <w:r w:rsidRPr="00FF59E3">
        <w:rPr>
          <w:rFonts w:hint="eastAsia"/>
          <w:b/>
          <w:sz w:val="24"/>
          <w:szCs w:val="24"/>
          <w:lang w:val="en-CA"/>
        </w:rPr>
        <w:t>Appendix</w:t>
      </w:r>
    </w:p>
    <w:p w:rsidR="00FF59E3" w:rsidRDefault="00FF59E3">
      <w:pPr>
        <w:rPr>
          <w:lang w:val="en-CA"/>
        </w:rPr>
      </w:pPr>
    </w:p>
    <w:p w:rsidR="00FF59E3" w:rsidRDefault="00FF59E3" w:rsidP="00FF59E3">
      <w:pPr>
        <w:rPr>
          <w:b/>
        </w:rPr>
      </w:pPr>
      <w:r>
        <w:rPr>
          <w:b/>
        </w:rPr>
        <w:t xml:space="preserve">Figure </w:t>
      </w:r>
      <w:r>
        <w:rPr>
          <w:rFonts w:hint="eastAsia"/>
          <w:b/>
        </w:rPr>
        <w:t>A1</w:t>
      </w:r>
      <w:r w:rsidRPr="00EC0435">
        <w:rPr>
          <w:b/>
        </w:rPr>
        <w:t xml:space="preserve">. Derivation of the equations in Figure </w:t>
      </w:r>
      <w:r w:rsidR="00513A81">
        <w:rPr>
          <w:b/>
        </w:rPr>
        <w:t>2</w:t>
      </w:r>
    </w:p>
    <w:p w:rsidR="00FF59E3" w:rsidRDefault="00FF59E3">
      <w:pPr>
        <w:rPr>
          <w:lang w:val="en-CA"/>
        </w:rPr>
      </w:pPr>
      <w:r w:rsidRPr="00FF59E3">
        <w:rPr>
          <w:noProof/>
        </w:rPr>
        <w:drawing>
          <wp:inline distT="0" distB="0" distL="0" distR="0">
            <wp:extent cx="5274310" cy="6533721"/>
            <wp:effectExtent l="19050" t="0" r="254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274310" cy="6533721"/>
                    </a:xfrm>
                    <a:prstGeom prst="rect">
                      <a:avLst/>
                    </a:prstGeom>
                  </pic:spPr>
                </pic:pic>
              </a:graphicData>
            </a:graphic>
          </wp:inline>
        </w:drawing>
      </w:r>
    </w:p>
    <w:p w:rsidR="00C64FE6" w:rsidRDefault="00C64FE6">
      <w:pPr>
        <w:rPr>
          <w:lang w:val="en-CA"/>
        </w:rPr>
      </w:pPr>
    </w:p>
    <w:p w:rsidR="007D10AE" w:rsidRDefault="007D10AE">
      <w:pPr>
        <w:widowControl/>
        <w:jc w:val="left"/>
        <w:rPr>
          <w:b/>
          <w:lang w:val="en-CA"/>
        </w:rPr>
      </w:pPr>
      <w:r>
        <w:rPr>
          <w:b/>
          <w:lang w:val="en-CA"/>
        </w:rPr>
        <w:br w:type="page"/>
      </w:r>
    </w:p>
    <w:p w:rsidR="00C64FE6" w:rsidRPr="00743CAB" w:rsidRDefault="00C64FE6">
      <w:pPr>
        <w:rPr>
          <w:b/>
          <w:lang w:val="en-CA"/>
        </w:rPr>
      </w:pPr>
      <w:r w:rsidRPr="00743CAB">
        <w:rPr>
          <w:b/>
          <w:lang w:val="en-CA"/>
        </w:rPr>
        <w:lastRenderedPageBreak/>
        <w:t xml:space="preserve">Table A1. Sectoral results of Canada for scenario (1) </w:t>
      </w:r>
      <w:proofErr w:type="spellStart"/>
      <w:r w:rsidRPr="00743CAB">
        <w:rPr>
          <w:b/>
          <w:lang w:val="en-CA"/>
        </w:rPr>
        <w:t>GDyn</w:t>
      </w:r>
      <w:proofErr w:type="spellEnd"/>
      <w:r w:rsidRPr="00743CAB">
        <w:rPr>
          <w:b/>
          <w:lang w:val="en-CA"/>
        </w:rPr>
        <w:t xml:space="preserve"> (Fixed Labour)</w:t>
      </w:r>
    </w:p>
    <w:tbl>
      <w:tblPr>
        <w:tblStyle w:val="LightShading-Accent12"/>
        <w:tblpPr w:leftFromText="180" w:rightFromText="180" w:vertAnchor="text" w:horzAnchor="margin" w:tblpXSpec="center" w:tblpY="178"/>
        <w:tblW w:w="10918" w:type="dxa"/>
        <w:tblLook w:val="04A0"/>
      </w:tblPr>
      <w:tblGrid>
        <w:gridCol w:w="2155"/>
        <w:gridCol w:w="935"/>
        <w:gridCol w:w="848"/>
        <w:gridCol w:w="848"/>
        <w:gridCol w:w="935"/>
        <w:gridCol w:w="1108"/>
        <w:gridCol w:w="1075"/>
        <w:gridCol w:w="1248"/>
        <w:gridCol w:w="883"/>
        <w:gridCol w:w="883"/>
      </w:tblGrid>
      <w:tr w:rsidR="007D10AE" w:rsidRPr="007D10AE" w:rsidTr="007D10AE">
        <w:trPr>
          <w:cnfStyle w:val="100000000000"/>
          <w:trHeight w:val="674"/>
        </w:trPr>
        <w:tc>
          <w:tcPr>
            <w:cnfStyle w:val="001000000000"/>
            <w:tcW w:w="2155" w:type="dxa"/>
            <w:hideMark/>
          </w:tcPr>
          <w:p w:rsidR="007D10AE" w:rsidRPr="007D10AE" w:rsidRDefault="007D10AE" w:rsidP="007D10AE">
            <w:pPr>
              <w:widowControl/>
              <w:jc w:val="left"/>
              <w:rPr>
                <w:rFonts w:ascii="Calibri" w:eastAsia="SimSun" w:hAnsi="Calibri" w:cs="SimSun"/>
                <w:color w:val="365F91"/>
                <w:kern w:val="0"/>
                <w:sz w:val="16"/>
                <w:szCs w:val="16"/>
              </w:rPr>
            </w:pPr>
            <w:bookmarkStart w:id="3" w:name="RANGE!B2"/>
            <w:r w:rsidRPr="007D10AE">
              <w:rPr>
                <w:rFonts w:ascii="Calibri" w:eastAsia="SimSun" w:hAnsi="Calibri" w:cs="SimSun"/>
                <w:color w:val="365F91"/>
                <w:kern w:val="0"/>
                <w:sz w:val="16"/>
                <w:szCs w:val="16"/>
              </w:rPr>
              <w:t xml:space="preserve">　</w:t>
            </w:r>
            <w:bookmarkEnd w:id="3"/>
          </w:p>
        </w:tc>
        <w:tc>
          <w:tcPr>
            <w:tcW w:w="935"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Domestic Shipments</w:t>
            </w:r>
          </w:p>
        </w:tc>
        <w:tc>
          <w:tcPr>
            <w:tcW w:w="848"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Exports</w:t>
            </w:r>
          </w:p>
        </w:tc>
        <w:tc>
          <w:tcPr>
            <w:tcW w:w="848"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Imports</w:t>
            </w:r>
          </w:p>
        </w:tc>
        <w:tc>
          <w:tcPr>
            <w:tcW w:w="935"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w:t>
            </w:r>
          </w:p>
        </w:tc>
        <w:tc>
          <w:tcPr>
            <w:tcW w:w="1108"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 %</w:t>
            </w:r>
          </w:p>
        </w:tc>
        <w:tc>
          <w:tcPr>
            <w:tcW w:w="1075"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share %</w:t>
            </w:r>
          </w:p>
        </w:tc>
        <w:tc>
          <w:tcPr>
            <w:tcW w:w="1248"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w:t>
            </w:r>
          </w:p>
        </w:tc>
        <w:tc>
          <w:tcPr>
            <w:tcW w:w="883"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Unskilled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c>
          <w:tcPr>
            <w:tcW w:w="883" w:type="dxa"/>
            <w:hideMark/>
          </w:tcPr>
          <w:p w:rsidR="007D10AE" w:rsidRPr="007D10AE" w:rsidRDefault="007D10AE" w:rsidP="007D10AE">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Rice</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0</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-0.02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0.001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-1.438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-1.310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-1.368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Wheat and Cereals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-105</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18</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-12</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-87</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-0.34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0.404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0.138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0.141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0.107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Fruit and Vegetables</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118</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-343</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-195</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-225</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-1.79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0.239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-1.191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-1.252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-1.285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Oilseeds and Vegetable Oils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-33</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-371</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-125</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-404</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-1.20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0.421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-0.895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-0.815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-0.881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Sugar</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-14</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-22</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-0.60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0.038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-1.042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-0.881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-0.962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Agriculture</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214</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-661</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-166</w:t>
            </w:r>
          </w:p>
        </w:tc>
        <w:tc>
          <w:tcPr>
            <w:tcW w:w="93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-447</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-1.51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0.366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-1.060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-1.110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-1.143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Dairy</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-163</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16</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-147</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-0.35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0.381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-0.108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0.127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0.038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Forestry</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-75</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40</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-35</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-0.11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0.564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0.143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0.247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0.221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Fishing</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-57</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-27</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-42</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-85</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-0.90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0.193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-0.093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-0.174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-0.200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Fossil Fuels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277</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-5,761</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-3,884</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-5,484</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-0.89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11.326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-0.191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-0.246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-0.283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Mineral Products</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-475</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22</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-321</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-453</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-0.53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1.218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-0.236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0.103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0.003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Beef</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815</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-756</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-828</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59</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0.16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0.324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0.216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0.626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0.483 </w:t>
            </w:r>
          </w:p>
        </w:tc>
      </w:tr>
      <w:tr w:rsidR="007D10AE" w:rsidRPr="00C04C59"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Pork and Poultry</w:t>
            </w:r>
          </w:p>
        </w:tc>
        <w:tc>
          <w:tcPr>
            <w:tcW w:w="935" w:type="dxa"/>
            <w:noWrap/>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284</w:t>
            </w:r>
          </w:p>
        </w:tc>
        <w:tc>
          <w:tcPr>
            <w:tcW w:w="848" w:type="dxa"/>
            <w:noWrap/>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541</w:t>
            </w:r>
          </w:p>
        </w:tc>
        <w:tc>
          <w:tcPr>
            <w:tcW w:w="848" w:type="dxa"/>
            <w:noWrap/>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-31</w:t>
            </w:r>
          </w:p>
        </w:tc>
        <w:tc>
          <w:tcPr>
            <w:tcW w:w="935" w:type="dxa"/>
            <w:noWrap/>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825</w:t>
            </w:r>
          </w:p>
        </w:tc>
        <w:tc>
          <w:tcPr>
            <w:tcW w:w="1108" w:type="dxa"/>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 xml:space="preserve">3.57 </w:t>
            </w:r>
          </w:p>
        </w:tc>
        <w:tc>
          <w:tcPr>
            <w:tcW w:w="1075" w:type="dxa"/>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 xml:space="preserve">0.182 </w:t>
            </w:r>
          </w:p>
        </w:tc>
        <w:tc>
          <w:tcPr>
            <w:tcW w:w="1248" w:type="dxa"/>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 xml:space="preserve">3.820 </w:t>
            </w:r>
          </w:p>
        </w:tc>
        <w:tc>
          <w:tcPr>
            <w:tcW w:w="883" w:type="dxa"/>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 xml:space="preserve">4.074 </w:t>
            </w:r>
          </w:p>
        </w:tc>
        <w:tc>
          <w:tcPr>
            <w:tcW w:w="883" w:type="dxa"/>
            <w:hideMark/>
          </w:tcPr>
          <w:p w:rsidR="007D10AE" w:rsidRPr="007D10AE" w:rsidRDefault="007D10AE" w:rsidP="007D10AE">
            <w:pPr>
              <w:widowControl/>
              <w:jc w:val="right"/>
              <w:cnfStyle w:val="000000100000"/>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 xml:space="preserve">3.927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Food Products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735</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-1,339</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-1,293</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-604</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-0.73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0.886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-0.850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-0.348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-0.489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Beverages and Tobacco</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-20</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-42</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-223</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-62</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-0.19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0.524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-0.045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0.586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0.443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Textiles and Apparel</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169</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-775</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-678</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-606</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-2.61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0.332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-2.535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-2.154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-2.310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Leather Products</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-38</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-37</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-39</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-2.75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0.019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-2.730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-2.406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-2.562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Wood Products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-168</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-303</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-846</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-471</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-0.28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2.070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-0.042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0.400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0.239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Chemicals, Rubber, Plastics</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603</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-6,142</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-3,343</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-5,539</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-3.10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1.792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-3.060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-2.513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-2.669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Metal Products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-712</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-1,482</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-1,161</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-2,195</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-1.29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1.654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-1.099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-0.678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-0.837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Automotive</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2,392</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-3,344</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-4,802</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-952</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-0.80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1.006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-1.543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-0.998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-1.156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 Equipment</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167</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-202</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-365</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-35</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-0.12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0.414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-0.082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0.432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0.271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Electronic Equipment</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81</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-456</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87</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0.37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0.281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0.597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0.895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0.734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Machinery and Equipment</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-22</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-1,334</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-1,460</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-1,356</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-1.53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1.212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-1.322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-0.942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-1.100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Manufacturing</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-609</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-139</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-290</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-747</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-0.60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2.350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-0.373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0.328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0.168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Services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-5,019</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70</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-595</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-4,949</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-0.38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28.714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0.019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0.438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0.277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Construction</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-5,178</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9</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-12</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-5,169</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-1.21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6.350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-0.838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-0.596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-0.772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Trade</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-4,210</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66</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-113</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-4,144</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-0.63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13.267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-0.223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0.209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-0.004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Transportation Services</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-960</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192</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-310</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-768</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-0.41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2.216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-0.006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0.533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0.319 </w:t>
            </w:r>
          </w:p>
        </w:tc>
      </w:tr>
      <w:tr w:rsidR="007D10AE" w:rsidRPr="007D10AE" w:rsidTr="007D10AE">
        <w:trPr>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Communications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-706</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-80</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-47</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-786</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-0.58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2.831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-0.251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0.278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0.118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Financial Services</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-1,130</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70</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-411</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-1,060</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-0.35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5.654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0.041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0.493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0.333 </w:t>
            </w:r>
          </w:p>
        </w:tc>
      </w:tr>
      <w:tr w:rsidR="007D10AE" w:rsidRPr="007D10AE" w:rsidTr="007D10AE">
        <w:trPr>
          <w:trHeight w:val="279"/>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Business Services</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-3,654</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-1,993</w:t>
            </w:r>
          </w:p>
        </w:tc>
        <w:tc>
          <w:tcPr>
            <w:tcW w:w="848"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-404</w:t>
            </w:r>
          </w:p>
        </w:tc>
        <w:tc>
          <w:tcPr>
            <w:tcW w:w="935" w:type="dxa"/>
            <w:noWrap/>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-5,647</w:t>
            </w:r>
          </w:p>
        </w:tc>
        <w:tc>
          <w:tcPr>
            <w:tcW w:w="110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-1.03 </w:t>
            </w:r>
          </w:p>
        </w:tc>
        <w:tc>
          <w:tcPr>
            <w:tcW w:w="1075"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10.864 </w:t>
            </w:r>
          </w:p>
        </w:tc>
        <w:tc>
          <w:tcPr>
            <w:tcW w:w="1248"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-0.639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-0.200 </w:t>
            </w:r>
          </w:p>
        </w:tc>
        <w:tc>
          <w:tcPr>
            <w:tcW w:w="883" w:type="dxa"/>
            <w:hideMark/>
          </w:tcPr>
          <w:p w:rsidR="007D10AE" w:rsidRPr="007D10AE" w:rsidRDefault="007D10AE" w:rsidP="007D10AE">
            <w:pPr>
              <w:widowControl/>
              <w:jc w:val="right"/>
              <w:cnfStyle w:val="0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-0.359 </w:t>
            </w:r>
          </w:p>
        </w:tc>
      </w:tr>
      <w:tr w:rsidR="007D10AE" w:rsidRPr="007D10AE" w:rsidTr="007D10AE">
        <w:trPr>
          <w:cnfStyle w:val="000000100000"/>
          <w:trHeight w:val="264"/>
        </w:trPr>
        <w:tc>
          <w:tcPr>
            <w:cnfStyle w:val="001000000000"/>
            <w:tcW w:w="2155" w:type="dxa"/>
            <w:noWrap/>
            <w:hideMark/>
          </w:tcPr>
          <w:p w:rsidR="007D10AE" w:rsidRPr="007D10AE" w:rsidRDefault="007D10AE" w:rsidP="007D10AE">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Recreation</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-42</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58</w:t>
            </w:r>
          </w:p>
        </w:tc>
        <w:tc>
          <w:tcPr>
            <w:tcW w:w="848"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-249</w:t>
            </w:r>
          </w:p>
        </w:tc>
        <w:tc>
          <w:tcPr>
            <w:tcW w:w="935" w:type="dxa"/>
            <w:noWrap/>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16</w:t>
            </w:r>
          </w:p>
        </w:tc>
        <w:tc>
          <w:tcPr>
            <w:tcW w:w="110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0.02 </w:t>
            </w:r>
          </w:p>
        </w:tc>
        <w:tc>
          <w:tcPr>
            <w:tcW w:w="1075"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1.909 </w:t>
            </w:r>
          </w:p>
        </w:tc>
        <w:tc>
          <w:tcPr>
            <w:tcW w:w="1248"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0.318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1.481 </w:t>
            </w:r>
          </w:p>
        </w:tc>
        <w:tc>
          <w:tcPr>
            <w:tcW w:w="883" w:type="dxa"/>
            <w:hideMark/>
          </w:tcPr>
          <w:p w:rsidR="007D10AE" w:rsidRPr="007D10AE" w:rsidRDefault="007D10AE" w:rsidP="007D10AE">
            <w:pPr>
              <w:widowControl/>
              <w:jc w:val="right"/>
              <w:cnfStyle w:val="0000001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1.194 </w:t>
            </w:r>
          </w:p>
        </w:tc>
      </w:tr>
    </w:tbl>
    <w:p w:rsidR="00C04C59" w:rsidRDefault="00C04C59" w:rsidP="00C04C59">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C64FE6" w:rsidRPr="007D10AE" w:rsidRDefault="00C64FE6">
      <w:pPr>
        <w:rPr>
          <w:lang w:val="en-CA"/>
        </w:rPr>
      </w:pPr>
    </w:p>
    <w:p w:rsidR="007D10AE" w:rsidRDefault="007D10AE">
      <w:pPr>
        <w:rPr>
          <w:lang w:val="en-CA"/>
        </w:rPr>
      </w:pPr>
    </w:p>
    <w:p w:rsidR="00C64FE6" w:rsidRDefault="00C64FE6">
      <w:pPr>
        <w:rPr>
          <w:lang w:val="en-CA"/>
        </w:rPr>
      </w:pPr>
    </w:p>
    <w:p w:rsidR="00743CAB" w:rsidRDefault="00743CAB">
      <w:pPr>
        <w:rPr>
          <w:lang w:val="en-CA"/>
        </w:rPr>
      </w:pPr>
    </w:p>
    <w:p w:rsidR="00C04C59" w:rsidRDefault="00C04C59">
      <w:pPr>
        <w:widowControl/>
        <w:jc w:val="left"/>
        <w:rPr>
          <w:b/>
          <w:lang w:val="en-CA"/>
        </w:rPr>
      </w:pPr>
      <w:r>
        <w:rPr>
          <w:b/>
          <w:lang w:val="en-CA"/>
        </w:rPr>
        <w:br w:type="page"/>
      </w:r>
    </w:p>
    <w:p w:rsidR="007D10AE" w:rsidRDefault="007D10AE" w:rsidP="007D10AE">
      <w:pPr>
        <w:rPr>
          <w:lang w:val="en-CA"/>
        </w:rPr>
      </w:pPr>
      <w:r w:rsidRPr="00743CAB">
        <w:rPr>
          <w:b/>
          <w:lang w:val="en-CA"/>
        </w:rPr>
        <w:lastRenderedPageBreak/>
        <w:t>Table A</w:t>
      </w:r>
      <w:r>
        <w:rPr>
          <w:b/>
          <w:lang w:val="en-CA"/>
        </w:rPr>
        <w:t>2</w:t>
      </w:r>
      <w:r w:rsidRPr="00743CAB">
        <w:rPr>
          <w:b/>
          <w:lang w:val="en-CA"/>
        </w:rPr>
        <w:t>. Sectoral results of Canada for scenario (</w:t>
      </w:r>
      <w:r>
        <w:rPr>
          <w:b/>
          <w:lang w:val="en-CA"/>
        </w:rPr>
        <w:t>4</w:t>
      </w:r>
      <w:r w:rsidRPr="00743CAB">
        <w:rPr>
          <w:b/>
          <w:lang w:val="en-CA"/>
        </w:rPr>
        <w:t xml:space="preserve">) </w:t>
      </w:r>
      <w:proofErr w:type="spellStart"/>
      <w:r w:rsidR="00A14A80">
        <w:rPr>
          <w:b/>
          <w:lang w:val="en-CA"/>
        </w:rPr>
        <w:t>GD</w:t>
      </w:r>
      <w:r w:rsidR="00A14A80">
        <w:rPr>
          <w:rFonts w:hint="eastAsia"/>
          <w:b/>
          <w:lang w:val="en-CA"/>
        </w:rPr>
        <w:t>yn</w:t>
      </w:r>
      <w:r w:rsidR="00A14A80">
        <w:rPr>
          <w:b/>
          <w:lang w:val="en-CA"/>
        </w:rPr>
        <w:t>ISM</w:t>
      </w:r>
      <w:proofErr w:type="spellEnd"/>
      <w:r>
        <w:rPr>
          <w:b/>
          <w:lang w:val="en-CA"/>
        </w:rPr>
        <w:t xml:space="preserve"> (Sticky-Wage</w:t>
      </w:r>
      <w:r w:rsidRPr="00743CAB">
        <w:rPr>
          <w:b/>
          <w:lang w:val="en-CA"/>
        </w:rPr>
        <w:t>)</w:t>
      </w:r>
    </w:p>
    <w:tbl>
      <w:tblPr>
        <w:tblStyle w:val="LightShading-Accent12"/>
        <w:tblpPr w:leftFromText="180" w:rightFromText="180" w:vertAnchor="text" w:horzAnchor="margin" w:tblpXSpec="center" w:tblpY="178"/>
        <w:tblW w:w="10918" w:type="dxa"/>
        <w:tblLook w:val="04A0"/>
      </w:tblPr>
      <w:tblGrid>
        <w:gridCol w:w="2155"/>
        <w:gridCol w:w="935"/>
        <w:gridCol w:w="848"/>
        <w:gridCol w:w="848"/>
        <w:gridCol w:w="935"/>
        <w:gridCol w:w="1108"/>
        <w:gridCol w:w="1075"/>
        <w:gridCol w:w="1248"/>
        <w:gridCol w:w="883"/>
        <w:gridCol w:w="883"/>
      </w:tblGrid>
      <w:tr w:rsidR="00C04C59" w:rsidRPr="007D10AE" w:rsidTr="00C04C59">
        <w:trPr>
          <w:cnfStyle w:val="100000000000"/>
          <w:trHeight w:val="674"/>
        </w:trPr>
        <w:tc>
          <w:tcPr>
            <w:cnfStyle w:val="001000000000"/>
            <w:tcW w:w="2155" w:type="dxa"/>
            <w:hideMark/>
          </w:tcPr>
          <w:p w:rsidR="00C04C59" w:rsidRPr="007D10AE" w:rsidRDefault="00C04C59" w:rsidP="00C04C59">
            <w:pPr>
              <w:widowControl/>
              <w:jc w:val="left"/>
              <w:rPr>
                <w:rFonts w:ascii="Calibri" w:eastAsia="SimSun" w:hAnsi="Calibri" w:cs="SimSun"/>
                <w:color w:val="365F91"/>
                <w:kern w:val="0"/>
                <w:sz w:val="16"/>
                <w:szCs w:val="16"/>
              </w:rPr>
            </w:pPr>
            <w:r w:rsidRPr="007D10AE">
              <w:rPr>
                <w:rFonts w:ascii="Calibri" w:eastAsia="SimSun" w:hAnsi="Calibri" w:cs="SimSun"/>
                <w:color w:val="365F91"/>
                <w:kern w:val="0"/>
                <w:sz w:val="16"/>
                <w:szCs w:val="16"/>
              </w:rPr>
              <w:t xml:space="preserve">　</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Domestic Shipments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Exports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Imports</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w:t>
            </w:r>
          </w:p>
        </w:tc>
        <w:tc>
          <w:tcPr>
            <w:tcW w:w="110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 %</w:t>
            </w:r>
          </w:p>
        </w:tc>
        <w:tc>
          <w:tcPr>
            <w:tcW w:w="107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share %</w:t>
            </w:r>
          </w:p>
        </w:tc>
        <w:tc>
          <w:tcPr>
            <w:tcW w:w="12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Unskilled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Rice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0.24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0.001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-1.373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-1.404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-1.447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Wheat and Cereals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-33</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100.419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0.197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0.214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Fruit and Vegetables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-131</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0.161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0.206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Oilseeds and Vegetable Oils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-125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0.453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-0.108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Sugar</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0.033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-0.817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-0.813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-0.872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Agriculture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-355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-131</w:t>
            </w:r>
          </w:p>
        </w:tc>
        <w:tc>
          <w:tcPr>
            <w:tcW w:w="93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-205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-0.83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0.408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-0.510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-0.513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-0.537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Dairy</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-0.21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0.342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0.089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Forestry</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0.27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1.133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0.312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Fishing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-0.20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0.326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0.095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Fossil Fuels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881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-4,284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-3,126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-3,403</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12.482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Mineral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-234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-234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-178</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1.095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0.222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0.149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Beef</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670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-459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-620</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211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0.695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1.188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1.084 </w:t>
            </w:r>
          </w:p>
        </w:tc>
      </w:tr>
      <w:tr w:rsidR="00C04C59" w:rsidRPr="00C04C59"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Pork and Poultry</w:t>
            </w:r>
          </w:p>
        </w:tc>
        <w:tc>
          <w:tcPr>
            <w:tcW w:w="935"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85</w:t>
            </w:r>
          </w:p>
        </w:tc>
        <w:tc>
          <w:tcPr>
            <w:tcW w:w="848"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9</w:t>
            </w:r>
          </w:p>
        </w:tc>
        <w:tc>
          <w:tcPr>
            <w:tcW w:w="848"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-56</w:t>
            </w:r>
          </w:p>
        </w:tc>
        <w:tc>
          <w:tcPr>
            <w:tcW w:w="935"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94</w:t>
            </w:r>
          </w:p>
        </w:tc>
        <w:tc>
          <w:tcPr>
            <w:tcW w:w="1108"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0.53 </w:t>
            </w:r>
          </w:p>
        </w:tc>
        <w:tc>
          <w:tcPr>
            <w:tcW w:w="1075"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0.178 </w:t>
            </w:r>
          </w:p>
        </w:tc>
        <w:tc>
          <w:tcPr>
            <w:tcW w:w="1248"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0.704 </w:t>
            </w:r>
          </w:p>
        </w:tc>
        <w:tc>
          <w:tcPr>
            <w:tcW w:w="883"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0.891 </w:t>
            </w:r>
          </w:p>
        </w:tc>
        <w:tc>
          <w:tcPr>
            <w:tcW w:w="883"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0.787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776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-900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-1,085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-124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-0.20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0.736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-0.434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-0.246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Beverages and Tobacco</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-166</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0.453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0.511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0.408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Textiles and Apparel</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244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-586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-589</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-343</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-1.83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-1.736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-1.695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-1.809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Leather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-42</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-2.67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0.023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-2.635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-2.700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-2.813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291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-739</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157</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1.850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0.553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0.437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Chemicals, Rubber, Plastics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1,079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-4,592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-2,795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-3,514</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-2.32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1.606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-2.162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-2.579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-2.692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Metal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-267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-1,093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-934</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-1,361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1.696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-0.733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-0.691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-0.806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Automotive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1,943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-4,143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-4,081</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-2,200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-1.96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1.070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-2.530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-2.908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-3.021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89</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0.416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0.385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0.767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0.651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Electronic Equipment</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-236</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89</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0.249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0.720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0.984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0.867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Machinery and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242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-653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-988</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-411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-0.63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1.084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-0.410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-0.407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Manufacturing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-260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-259</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-306</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-0.30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2.064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0.328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0.212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-2,872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-513</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-2,806</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27.116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0.383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Construction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-3,618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-3,613</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8.307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-0.499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-0.415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-0.543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Trade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-2,719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-2,658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13.465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-0.040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Transportation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-537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-216</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-376</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2.038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0.421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0.265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Communications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-400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-432</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-0.43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2.590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0.257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0.140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Financial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-564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-304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-474</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-0.21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5.250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0.485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0.369 </w:t>
            </w:r>
          </w:p>
        </w:tc>
      </w:tr>
      <w:tr w:rsidR="00C04C59" w:rsidRPr="007D10AE" w:rsidTr="00C04C59">
        <w:trPr>
          <w:trHeight w:val="279"/>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Business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-2,303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-1,313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-337</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-3,616</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10.443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-0.431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-0.217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Recreation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-187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131</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0.17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1.817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0.437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1.423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1.214 </w:t>
            </w:r>
          </w:p>
        </w:tc>
      </w:tr>
    </w:tbl>
    <w:p w:rsidR="00C04C59" w:rsidRDefault="00C04C59" w:rsidP="00C04C59">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7D10AE" w:rsidRPr="007D10AE" w:rsidRDefault="007D10AE">
      <w:pPr>
        <w:rPr>
          <w:lang w:val="en-CA"/>
        </w:rPr>
      </w:pPr>
    </w:p>
    <w:p w:rsidR="007D10AE" w:rsidRDefault="007D10AE">
      <w:pPr>
        <w:rPr>
          <w:lang w:val="en-CA"/>
        </w:rPr>
      </w:pPr>
    </w:p>
    <w:p w:rsidR="00C04C59" w:rsidRDefault="00C04C59">
      <w:pPr>
        <w:widowControl/>
        <w:jc w:val="left"/>
        <w:rPr>
          <w:b/>
          <w:lang w:val="en-CA"/>
        </w:rPr>
      </w:pPr>
      <w:r>
        <w:rPr>
          <w:b/>
          <w:lang w:val="en-CA"/>
        </w:rPr>
        <w:br w:type="page"/>
      </w:r>
    </w:p>
    <w:p w:rsidR="00743CAB" w:rsidRPr="00743CAB" w:rsidRDefault="00743CAB" w:rsidP="00743CAB">
      <w:pPr>
        <w:rPr>
          <w:b/>
          <w:lang w:val="en-CA"/>
        </w:rPr>
      </w:pPr>
      <w:r w:rsidRPr="00743CAB">
        <w:rPr>
          <w:b/>
          <w:lang w:val="en-CA"/>
        </w:rPr>
        <w:lastRenderedPageBreak/>
        <w:t>Table A</w:t>
      </w:r>
      <w:r>
        <w:rPr>
          <w:b/>
          <w:lang w:val="en-CA"/>
        </w:rPr>
        <w:t>3</w:t>
      </w:r>
      <w:r w:rsidRPr="00743CAB">
        <w:rPr>
          <w:b/>
          <w:lang w:val="en-CA"/>
        </w:rPr>
        <w:t xml:space="preserve">. Sectoral results of </w:t>
      </w:r>
      <w:r>
        <w:rPr>
          <w:b/>
          <w:lang w:val="en-CA"/>
        </w:rPr>
        <w:t>USA</w:t>
      </w:r>
      <w:r w:rsidRPr="00743CAB">
        <w:rPr>
          <w:b/>
          <w:lang w:val="en-CA"/>
        </w:rPr>
        <w:t xml:space="preserve"> for scenario (1) </w:t>
      </w:r>
      <w:proofErr w:type="spellStart"/>
      <w:r w:rsidRPr="00743CAB">
        <w:rPr>
          <w:b/>
          <w:lang w:val="en-CA"/>
        </w:rPr>
        <w:t>GDyn</w:t>
      </w:r>
      <w:proofErr w:type="spellEnd"/>
      <w:r w:rsidRPr="00743CAB">
        <w:rPr>
          <w:b/>
          <w:lang w:val="en-CA"/>
        </w:rPr>
        <w:t xml:space="preserve"> (Fixed Labour)</w:t>
      </w:r>
    </w:p>
    <w:tbl>
      <w:tblPr>
        <w:tblStyle w:val="LightShading-Accent12"/>
        <w:tblpPr w:leftFromText="180" w:rightFromText="180" w:vertAnchor="text" w:horzAnchor="margin" w:tblpXSpec="center" w:tblpY="178"/>
        <w:tblW w:w="10918" w:type="dxa"/>
        <w:tblLook w:val="04A0"/>
      </w:tblPr>
      <w:tblGrid>
        <w:gridCol w:w="2155"/>
        <w:gridCol w:w="935"/>
        <w:gridCol w:w="848"/>
        <w:gridCol w:w="848"/>
        <w:gridCol w:w="935"/>
        <w:gridCol w:w="1108"/>
        <w:gridCol w:w="1075"/>
        <w:gridCol w:w="1248"/>
        <w:gridCol w:w="883"/>
        <w:gridCol w:w="883"/>
      </w:tblGrid>
      <w:tr w:rsidR="00C04C59" w:rsidRPr="007D10AE" w:rsidTr="00C04C59">
        <w:trPr>
          <w:cnfStyle w:val="100000000000"/>
          <w:trHeight w:val="674"/>
        </w:trPr>
        <w:tc>
          <w:tcPr>
            <w:cnfStyle w:val="001000000000"/>
            <w:tcW w:w="2155" w:type="dxa"/>
            <w:hideMark/>
          </w:tcPr>
          <w:p w:rsidR="00C04C59" w:rsidRPr="007D10AE" w:rsidRDefault="00C04C59" w:rsidP="00C04C59">
            <w:pPr>
              <w:widowControl/>
              <w:jc w:val="left"/>
              <w:rPr>
                <w:rFonts w:ascii="Calibri" w:eastAsia="SimSun" w:hAnsi="Calibri" w:cs="SimSun"/>
                <w:color w:val="365F91"/>
                <w:kern w:val="0"/>
                <w:sz w:val="16"/>
                <w:szCs w:val="16"/>
              </w:rPr>
            </w:pPr>
            <w:r w:rsidRPr="007D10AE">
              <w:rPr>
                <w:rFonts w:ascii="Calibri" w:eastAsia="SimSun" w:hAnsi="Calibri" w:cs="SimSun"/>
                <w:color w:val="365F91"/>
                <w:kern w:val="0"/>
                <w:sz w:val="16"/>
                <w:szCs w:val="16"/>
              </w:rPr>
              <w:t xml:space="preserve">　</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Domestic Shipments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Exports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Imports</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w:t>
            </w:r>
          </w:p>
        </w:tc>
        <w:tc>
          <w:tcPr>
            <w:tcW w:w="110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 %</w:t>
            </w:r>
          </w:p>
        </w:tc>
        <w:tc>
          <w:tcPr>
            <w:tcW w:w="107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share %</w:t>
            </w:r>
          </w:p>
        </w:tc>
        <w:tc>
          <w:tcPr>
            <w:tcW w:w="12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Unskilled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Rice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48</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0.31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0.023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0.567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0.573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0.541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Wheat and Cereals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-1,398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391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-72</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-1,006</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0.446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-0.133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Fruit and Vegetables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-769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-697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-750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0.342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-0.135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Oilseeds and Vegetable Oils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313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-535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445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0.223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0.707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0.690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0.654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Sugar</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0.036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-0.109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Agriculture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-5,289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266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-501</w:t>
            </w:r>
          </w:p>
        </w:tc>
        <w:tc>
          <w:tcPr>
            <w:tcW w:w="93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-5,024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-2.00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0.402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-1.385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-1.583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-1.601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Dairy</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-1,148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-962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-108</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-2,110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0.238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-0.617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-0.603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-0.650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Forestry</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-196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-275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0.129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-0.129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Fishing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-72</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-249</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-1.42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0.053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-0.271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-0.509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-0.523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Fossil Fuels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-3,922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-6,548</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-3,977</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3.398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0.018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Mineral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-1,024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-1,036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-551</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-2,060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-0.67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0.652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-0.309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Beef</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-1,536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-1,609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-622</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-3,145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-1.67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0.202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-1.244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-1.170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-1.245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Pork and Poultry</w:t>
            </w:r>
          </w:p>
        </w:tc>
        <w:tc>
          <w:tcPr>
            <w:tcW w:w="935"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-1,013</w:t>
            </w:r>
          </w:p>
        </w:tc>
        <w:tc>
          <w:tcPr>
            <w:tcW w:w="848"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-8,407</w:t>
            </w:r>
          </w:p>
        </w:tc>
        <w:tc>
          <w:tcPr>
            <w:tcW w:w="848"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-160</w:t>
            </w:r>
          </w:p>
        </w:tc>
        <w:tc>
          <w:tcPr>
            <w:tcW w:w="935"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-9,420</w:t>
            </w:r>
          </w:p>
        </w:tc>
        <w:tc>
          <w:tcPr>
            <w:tcW w:w="1108"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-5.87 </w:t>
            </w:r>
          </w:p>
        </w:tc>
        <w:tc>
          <w:tcPr>
            <w:tcW w:w="1075"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0.170 </w:t>
            </w:r>
          </w:p>
        </w:tc>
        <w:tc>
          <w:tcPr>
            <w:tcW w:w="1248"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-5.402 </w:t>
            </w:r>
          </w:p>
        </w:tc>
        <w:tc>
          <w:tcPr>
            <w:tcW w:w="883"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-5.341 </w:t>
            </w:r>
          </w:p>
        </w:tc>
        <w:tc>
          <w:tcPr>
            <w:tcW w:w="883"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-5.413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-1,200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-3,655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-1,874</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-4,855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-0.81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0.986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-0.537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-0.419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-0.496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Beverages and Tobacco</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-621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-534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-176</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-1,155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0.397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-0.221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-0.065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-0.142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Textiles and Apparel</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1,132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-3,261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-3,485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-2,129</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-0.58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0.527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-0.356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-0.274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-0.360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Leather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-283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-66</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0.029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-4,069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-2,012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-1,370</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-6,081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-0.51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2.387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-0.204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-0.109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-0.194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Chemicals, Rubber, Plastics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724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-9,937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-7,168</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-9,212</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2.749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-0.200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-0.286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Metal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-3,135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-4,537</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-2,977</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-0.27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1.769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0.063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Automotive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14,707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-17,258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-19,890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-2,551</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-0.31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0.859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-0.323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-0.321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-191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1,809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-508</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1,618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0.40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0.775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0.680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0.755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0.669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Electronic Equipment</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1,352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-1,131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-3,971</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221</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0.363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0.243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0.351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0.265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Machinery and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190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-9,444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-7,573</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-9,254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3.362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-0.212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-0.298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Manufacturing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-1,985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-277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-1,220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-2,262</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-0.27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1.586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0.167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-33,276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-207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-324</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-33,483</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33.111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0.066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Construction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-13,856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217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-13,639</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5.122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Trade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-17,774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262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-247</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-17,511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12.359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Transportation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-5,038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568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-645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-4,469</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-0.27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2.799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-0.024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Communications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-2,675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-160</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-2,590</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2.330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0.099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Financial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-11,659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237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-734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-11,422</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-0.34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9.335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0.121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0.035 </w:t>
            </w:r>
          </w:p>
        </w:tc>
      </w:tr>
      <w:tr w:rsidR="00C04C59" w:rsidRPr="007D10AE" w:rsidTr="00C04C59">
        <w:trPr>
          <w:trHeight w:val="279"/>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Business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-9,853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1,753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-1,714</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-8,100</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-0.25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9.632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0.190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0.104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Recreation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-6,453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-251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-6,704</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3.210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0.311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0.157 </w:t>
            </w:r>
          </w:p>
        </w:tc>
      </w:tr>
    </w:tbl>
    <w:p w:rsidR="00C04C59" w:rsidRDefault="00C04C59" w:rsidP="00C04C59">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743CAB" w:rsidRDefault="00743CAB" w:rsidP="00743CAB">
      <w:pPr>
        <w:rPr>
          <w:lang w:val="en-CA"/>
        </w:rPr>
      </w:pPr>
    </w:p>
    <w:p w:rsidR="00C04C59" w:rsidRDefault="00C04C59">
      <w:pPr>
        <w:widowControl/>
        <w:jc w:val="left"/>
        <w:rPr>
          <w:b/>
          <w:lang w:val="en-CA"/>
        </w:rPr>
      </w:pPr>
      <w:r>
        <w:rPr>
          <w:b/>
          <w:lang w:val="en-CA"/>
        </w:rPr>
        <w:br w:type="page"/>
      </w:r>
    </w:p>
    <w:p w:rsidR="00743CAB" w:rsidRDefault="00743CAB" w:rsidP="00743CAB">
      <w:pPr>
        <w:rPr>
          <w:lang w:val="en-CA"/>
        </w:rPr>
      </w:pPr>
      <w:r w:rsidRPr="00743CAB">
        <w:rPr>
          <w:b/>
          <w:lang w:val="en-CA"/>
        </w:rPr>
        <w:lastRenderedPageBreak/>
        <w:t>Table A</w:t>
      </w:r>
      <w:r>
        <w:rPr>
          <w:b/>
          <w:lang w:val="en-CA"/>
        </w:rPr>
        <w:t>4</w:t>
      </w:r>
      <w:r w:rsidRPr="00743CAB">
        <w:rPr>
          <w:b/>
          <w:lang w:val="en-CA"/>
        </w:rPr>
        <w:t xml:space="preserve">. Sectoral results of </w:t>
      </w:r>
      <w:r>
        <w:rPr>
          <w:b/>
          <w:lang w:val="en-CA"/>
        </w:rPr>
        <w:t>USA</w:t>
      </w:r>
      <w:r w:rsidRPr="00743CAB">
        <w:rPr>
          <w:b/>
          <w:lang w:val="en-CA"/>
        </w:rPr>
        <w:t xml:space="preserve"> for scenario (</w:t>
      </w:r>
      <w:r>
        <w:rPr>
          <w:b/>
          <w:lang w:val="en-CA"/>
        </w:rPr>
        <w:t>4</w:t>
      </w:r>
      <w:r w:rsidRPr="00743CAB">
        <w:rPr>
          <w:b/>
          <w:lang w:val="en-CA"/>
        </w:rPr>
        <w:t xml:space="preserve">) </w:t>
      </w:r>
      <w:proofErr w:type="spellStart"/>
      <w:r w:rsidR="00A14A80">
        <w:rPr>
          <w:b/>
          <w:lang w:val="en-CA"/>
        </w:rPr>
        <w:t>GD</w:t>
      </w:r>
      <w:r w:rsidR="00A14A80">
        <w:rPr>
          <w:rFonts w:hint="eastAsia"/>
          <w:b/>
          <w:lang w:val="en-CA"/>
        </w:rPr>
        <w:t>yn</w:t>
      </w:r>
      <w:r w:rsidR="00A14A80">
        <w:rPr>
          <w:b/>
          <w:lang w:val="en-CA"/>
        </w:rPr>
        <w:t>ISM</w:t>
      </w:r>
      <w:proofErr w:type="spellEnd"/>
      <w:r>
        <w:rPr>
          <w:b/>
          <w:lang w:val="en-CA"/>
        </w:rPr>
        <w:t xml:space="preserve"> (Sticky-Wage</w:t>
      </w:r>
      <w:r w:rsidRPr="00743CAB">
        <w:rPr>
          <w:b/>
          <w:lang w:val="en-CA"/>
        </w:rPr>
        <w:t>)</w:t>
      </w:r>
    </w:p>
    <w:tbl>
      <w:tblPr>
        <w:tblStyle w:val="LightShading-Accent12"/>
        <w:tblpPr w:leftFromText="180" w:rightFromText="180" w:vertAnchor="text" w:horzAnchor="margin" w:tblpXSpec="center" w:tblpY="178"/>
        <w:tblW w:w="10918" w:type="dxa"/>
        <w:tblLook w:val="04A0"/>
      </w:tblPr>
      <w:tblGrid>
        <w:gridCol w:w="2155"/>
        <w:gridCol w:w="935"/>
        <w:gridCol w:w="848"/>
        <w:gridCol w:w="848"/>
        <w:gridCol w:w="935"/>
        <w:gridCol w:w="1108"/>
        <w:gridCol w:w="1075"/>
        <w:gridCol w:w="1248"/>
        <w:gridCol w:w="883"/>
        <w:gridCol w:w="883"/>
      </w:tblGrid>
      <w:tr w:rsidR="00C04C59" w:rsidRPr="007D10AE" w:rsidTr="00C04C59">
        <w:trPr>
          <w:cnfStyle w:val="100000000000"/>
          <w:trHeight w:val="674"/>
        </w:trPr>
        <w:tc>
          <w:tcPr>
            <w:cnfStyle w:val="001000000000"/>
            <w:tcW w:w="2155" w:type="dxa"/>
            <w:hideMark/>
          </w:tcPr>
          <w:p w:rsidR="00C04C59" w:rsidRPr="007D10AE" w:rsidRDefault="00C04C59" w:rsidP="00C04C59">
            <w:pPr>
              <w:widowControl/>
              <w:jc w:val="left"/>
              <w:rPr>
                <w:rFonts w:ascii="Calibri" w:eastAsia="SimSun" w:hAnsi="Calibri" w:cs="SimSun"/>
                <w:color w:val="365F91"/>
                <w:kern w:val="0"/>
                <w:sz w:val="16"/>
                <w:szCs w:val="16"/>
              </w:rPr>
            </w:pPr>
            <w:r w:rsidRPr="007D10AE">
              <w:rPr>
                <w:rFonts w:ascii="Calibri" w:eastAsia="SimSun" w:hAnsi="Calibri" w:cs="SimSun"/>
                <w:color w:val="365F91"/>
                <w:kern w:val="0"/>
                <w:sz w:val="16"/>
                <w:szCs w:val="16"/>
              </w:rPr>
              <w:t xml:space="preserve">　</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Domestic Shipments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Exports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Imports</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w:t>
            </w:r>
          </w:p>
        </w:tc>
        <w:tc>
          <w:tcPr>
            <w:tcW w:w="110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 %</w:t>
            </w:r>
          </w:p>
        </w:tc>
        <w:tc>
          <w:tcPr>
            <w:tcW w:w="107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share %</w:t>
            </w:r>
          </w:p>
        </w:tc>
        <w:tc>
          <w:tcPr>
            <w:tcW w:w="12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Unskilled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Rice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28</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0.289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0.312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Wheat and Cereals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-685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-735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-0.50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100.513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-0.275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Fruit and Vegetables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504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-369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-835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0.318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Oilseeds and Vegetable Oils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228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-191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-397</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37</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0.264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0.179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0.165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Sugar</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-86</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-0.288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-0.317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Agriculture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-1,712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-334</w:t>
            </w:r>
          </w:p>
        </w:tc>
        <w:tc>
          <w:tcPr>
            <w:tcW w:w="93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-1,479</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0.502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-0.392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-0.495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-0.507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Dairy</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-584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-788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-1,372</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0.206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-0.679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-0.787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-0.818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Forestry</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52</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Fishing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-89</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-0.50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-0.121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Fossil Fuels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1,812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-2,901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-5,277</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-1,089</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4.484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Mineral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-272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-313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-349</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-584</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0.710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-0.102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-0.114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Beef</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-192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-1,366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-526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-1,558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-0.933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-1.030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-1.081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Pork and Poultry</w:t>
            </w:r>
          </w:p>
        </w:tc>
        <w:tc>
          <w:tcPr>
            <w:tcW w:w="935"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-283</w:t>
            </w:r>
          </w:p>
        </w:tc>
        <w:tc>
          <w:tcPr>
            <w:tcW w:w="848"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-2,343</w:t>
            </w:r>
          </w:p>
        </w:tc>
        <w:tc>
          <w:tcPr>
            <w:tcW w:w="848"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-100</w:t>
            </w:r>
          </w:p>
        </w:tc>
        <w:tc>
          <w:tcPr>
            <w:tcW w:w="935" w:type="dxa"/>
            <w:noWrap/>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-2,626</w:t>
            </w:r>
          </w:p>
        </w:tc>
        <w:tc>
          <w:tcPr>
            <w:tcW w:w="1108"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-2.26 </w:t>
            </w:r>
          </w:p>
        </w:tc>
        <w:tc>
          <w:tcPr>
            <w:tcW w:w="1075"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0.165 </w:t>
            </w:r>
          </w:p>
        </w:tc>
        <w:tc>
          <w:tcPr>
            <w:tcW w:w="1248"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-2.003 </w:t>
            </w:r>
          </w:p>
        </w:tc>
        <w:tc>
          <w:tcPr>
            <w:tcW w:w="883"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-2.126 </w:t>
            </w:r>
          </w:p>
        </w:tc>
        <w:tc>
          <w:tcPr>
            <w:tcW w:w="883" w:type="dxa"/>
            <w:hideMark/>
          </w:tcPr>
          <w:p w:rsidR="00C04C59" w:rsidRPr="00C04C59" w:rsidRDefault="00C04C59">
            <w:pPr>
              <w:autoSpaceDE w:val="0"/>
              <w:autoSpaceDN w:val="0"/>
              <w:adjustRightInd w:val="0"/>
              <w:jc w:val="right"/>
              <w:cnfStyle w:val="000000100000"/>
              <w:rPr>
                <w:rFonts w:ascii="Garamond" w:eastAsia="SimSun" w:hAnsi="Garamond" w:cs="Garamond"/>
                <w:color w:val="C00000"/>
                <w:kern w:val="0"/>
                <w:sz w:val="16"/>
                <w:szCs w:val="16"/>
              </w:rPr>
            </w:pPr>
            <w:r w:rsidRPr="00C04C59">
              <w:rPr>
                <w:rFonts w:ascii="Garamond" w:eastAsia="SimSun" w:hAnsi="Garamond" w:cs="Garamond"/>
                <w:color w:val="C00000"/>
                <w:kern w:val="0"/>
                <w:sz w:val="16"/>
                <w:szCs w:val="16"/>
              </w:rPr>
              <w:t xml:space="preserve">-2.213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282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-3,110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-1,431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-2,828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0.894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-0.544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-0.606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-0.657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Beverages and Tobacco</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-456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-88</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-662</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-0.41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0.319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-0.280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Textiles and Apparel</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719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-2,970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-2,191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-2,251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0.558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-0.696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-0.732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-0.789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Leather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-199</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-129</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0.042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-0.610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-0.646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-0.703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-1,437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-873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-671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-2,310</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2.590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-0.106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-0.131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Chemicals, Rubber, Plastics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1,341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-6,788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-4,513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-5,447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2.835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-0.306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-0.326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-0.383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Metal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541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-1,738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-2,338</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-1,197</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1.949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-0.056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Automotive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8,118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-11,785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-10,683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-3,667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-0.54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0.961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-0.608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-0.610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-0.667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417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-264</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440</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0.16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0.757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0.258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0.323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Electronic Equipment</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946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-1,357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820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0.359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0.247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0.360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0.302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Machinery and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1,674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-2,105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-4,330</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-431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3.401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0.137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0.079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Manufacturing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-613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-313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-485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-925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1.332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-9,816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-214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-112</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-10,030</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29.911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0.036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Construction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-6,227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-6,137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-0.30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7.000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-0.134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-0.179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Trade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-6,400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-6,254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12.331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-0.050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Transportation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-2,005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274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-228</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-1,731</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2.721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-0.076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Communications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-744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-708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2.003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0.121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0.063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Financial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-3,940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-308</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-3,955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9.264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0.063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0.006 </w:t>
            </w:r>
          </w:p>
        </w:tc>
      </w:tr>
      <w:tr w:rsidR="00C04C59" w:rsidRPr="007D10AE" w:rsidTr="00C04C59">
        <w:trPr>
          <w:trHeight w:val="279"/>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Business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-2,902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873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-937</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-2,029</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-0.08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10.023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0.134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Recreation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-1,959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-257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-2,216</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2.921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0.079 </w:t>
            </w:r>
          </w:p>
        </w:tc>
      </w:tr>
    </w:tbl>
    <w:p w:rsidR="00C04C59" w:rsidRDefault="00C04C59" w:rsidP="00C04C59">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743CAB" w:rsidRPr="00C04C59" w:rsidRDefault="00743CAB" w:rsidP="00743CAB">
      <w:pPr>
        <w:rPr>
          <w:b/>
          <w:lang w:val="en-CA"/>
        </w:rPr>
      </w:pPr>
    </w:p>
    <w:p w:rsidR="00743CAB" w:rsidRDefault="00743CAB">
      <w:pPr>
        <w:rPr>
          <w:lang w:val="en-CA"/>
        </w:rPr>
      </w:pPr>
    </w:p>
    <w:p w:rsidR="00C04C59" w:rsidRDefault="00C04C59">
      <w:pPr>
        <w:widowControl/>
        <w:jc w:val="left"/>
        <w:rPr>
          <w:b/>
          <w:lang w:val="en-CA"/>
        </w:rPr>
      </w:pPr>
      <w:r>
        <w:rPr>
          <w:b/>
          <w:lang w:val="en-CA"/>
        </w:rPr>
        <w:br w:type="page"/>
      </w:r>
    </w:p>
    <w:p w:rsidR="00743CAB" w:rsidRPr="00743CAB" w:rsidRDefault="00743CAB" w:rsidP="00743CAB">
      <w:pPr>
        <w:rPr>
          <w:b/>
          <w:lang w:val="en-CA"/>
        </w:rPr>
      </w:pPr>
      <w:r>
        <w:rPr>
          <w:b/>
          <w:lang w:val="en-CA"/>
        </w:rPr>
        <w:lastRenderedPageBreak/>
        <w:t>Table A5</w:t>
      </w:r>
      <w:r w:rsidRPr="00743CAB">
        <w:rPr>
          <w:b/>
          <w:lang w:val="en-CA"/>
        </w:rPr>
        <w:t xml:space="preserve">. Sectoral results of </w:t>
      </w:r>
      <w:r>
        <w:rPr>
          <w:b/>
          <w:lang w:val="en-CA"/>
        </w:rPr>
        <w:t>Mexico</w:t>
      </w:r>
      <w:r w:rsidRPr="00743CAB">
        <w:rPr>
          <w:b/>
          <w:lang w:val="en-CA"/>
        </w:rPr>
        <w:t xml:space="preserve"> for scenario (1) </w:t>
      </w:r>
      <w:proofErr w:type="spellStart"/>
      <w:r w:rsidRPr="00743CAB">
        <w:rPr>
          <w:b/>
          <w:lang w:val="en-CA"/>
        </w:rPr>
        <w:t>GDyn</w:t>
      </w:r>
      <w:proofErr w:type="spellEnd"/>
      <w:r w:rsidRPr="00743CAB">
        <w:rPr>
          <w:b/>
          <w:lang w:val="en-CA"/>
        </w:rPr>
        <w:t xml:space="preserve"> (Fixed Labour)</w:t>
      </w:r>
    </w:p>
    <w:tbl>
      <w:tblPr>
        <w:tblStyle w:val="LightShading-Accent12"/>
        <w:tblpPr w:leftFromText="180" w:rightFromText="180" w:vertAnchor="text" w:horzAnchor="margin" w:tblpXSpec="center" w:tblpY="178"/>
        <w:tblW w:w="10918" w:type="dxa"/>
        <w:tblLook w:val="04A0"/>
      </w:tblPr>
      <w:tblGrid>
        <w:gridCol w:w="2155"/>
        <w:gridCol w:w="935"/>
        <w:gridCol w:w="848"/>
        <w:gridCol w:w="848"/>
        <w:gridCol w:w="935"/>
        <w:gridCol w:w="1108"/>
        <w:gridCol w:w="1075"/>
        <w:gridCol w:w="1248"/>
        <w:gridCol w:w="883"/>
        <w:gridCol w:w="883"/>
      </w:tblGrid>
      <w:tr w:rsidR="00C04C59" w:rsidRPr="007D10AE" w:rsidTr="00C04C59">
        <w:trPr>
          <w:cnfStyle w:val="100000000000"/>
          <w:trHeight w:val="674"/>
        </w:trPr>
        <w:tc>
          <w:tcPr>
            <w:cnfStyle w:val="001000000000"/>
            <w:tcW w:w="2155" w:type="dxa"/>
            <w:hideMark/>
          </w:tcPr>
          <w:p w:rsidR="00C04C59" w:rsidRPr="007D10AE" w:rsidRDefault="00C04C59" w:rsidP="00C04C59">
            <w:pPr>
              <w:widowControl/>
              <w:jc w:val="left"/>
              <w:rPr>
                <w:rFonts w:ascii="Calibri" w:eastAsia="SimSun" w:hAnsi="Calibri" w:cs="SimSun"/>
                <w:color w:val="365F91"/>
                <w:kern w:val="0"/>
                <w:sz w:val="16"/>
                <w:szCs w:val="16"/>
              </w:rPr>
            </w:pPr>
            <w:r w:rsidRPr="007D10AE">
              <w:rPr>
                <w:rFonts w:ascii="Calibri" w:eastAsia="SimSun" w:hAnsi="Calibri" w:cs="SimSun"/>
                <w:color w:val="365F91"/>
                <w:kern w:val="0"/>
                <w:sz w:val="16"/>
                <w:szCs w:val="16"/>
              </w:rPr>
              <w:t xml:space="preserve">　</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Domestic Shipments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Exports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Imports</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w:t>
            </w:r>
          </w:p>
        </w:tc>
        <w:tc>
          <w:tcPr>
            <w:tcW w:w="110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 %</w:t>
            </w:r>
          </w:p>
        </w:tc>
        <w:tc>
          <w:tcPr>
            <w:tcW w:w="107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share %</w:t>
            </w:r>
          </w:p>
        </w:tc>
        <w:tc>
          <w:tcPr>
            <w:tcW w:w="12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Unskilled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Rice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-1.73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-1.288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0.504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-0.107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Wheat and Cereals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418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-300</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414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7.53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0.246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3.011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5.595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5.233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Fruit and Vegetables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1,522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-473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-588</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1,049</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3.57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1.438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-0.628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1.748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1.400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Oilseeds and Vegetable Oils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-158</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0.025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-2.094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-0.531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-1.203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Sugar</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-1.01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0.337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-0.747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1.955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1.102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Agriculture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4,414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-37</w:t>
            </w:r>
          </w:p>
        </w:tc>
        <w:tc>
          <w:tcPr>
            <w:tcW w:w="93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4,398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11.54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1.558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4.092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7.542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7.172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Dairy</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667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-760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570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2.19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0.460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2.026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4.477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3.530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Forestry</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-258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-266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-258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-1.23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1.051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0.034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0.679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0.417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Fishing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-641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-641</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-2.25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1.430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0.441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0.180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Fossil Fuels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-1,167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-5,655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-1,161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-0.85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2.345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1.056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0.675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Mineral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-11,967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-1,814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-11,951</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-6.54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4.756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-4.915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-3.700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-4.680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Beef</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605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-110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-503</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496</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5.62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3.211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1.728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Pork and Poultry</w:t>
            </w:r>
          </w:p>
        </w:tc>
        <w:tc>
          <w:tcPr>
            <w:tcW w:w="935" w:type="dxa"/>
            <w:noWrap/>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5,340</w:t>
            </w:r>
          </w:p>
        </w:tc>
        <w:tc>
          <w:tcPr>
            <w:tcW w:w="848" w:type="dxa"/>
            <w:noWrap/>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-3</w:t>
            </w:r>
          </w:p>
        </w:tc>
        <w:tc>
          <w:tcPr>
            <w:tcW w:w="848" w:type="dxa"/>
            <w:noWrap/>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-4,067</w:t>
            </w:r>
          </w:p>
        </w:tc>
        <w:tc>
          <w:tcPr>
            <w:tcW w:w="935" w:type="dxa"/>
            <w:noWrap/>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5,338</w:t>
            </w:r>
          </w:p>
        </w:tc>
        <w:tc>
          <w:tcPr>
            <w:tcW w:w="1108"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103.23 </w:t>
            </w:r>
          </w:p>
        </w:tc>
        <w:tc>
          <w:tcPr>
            <w:tcW w:w="1075"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0.023 </w:t>
            </w:r>
          </w:p>
        </w:tc>
        <w:tc>
          <w:tcPr>
            <w:tcW w:w="1248"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92.358 </w:t>
            </w:r>
          </w:p>
        </w:tc>
        <w:tc>
          <w:tcPr>
            <w:tcW w:w="883"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99.683 </w:t>
            </w:r>
          </w:p>
        </w:tc>
        <w:tc>
          <w:tcPr>
            <w:tcW w:w="883"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96.776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1,503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-1,472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-1,435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1.235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-1.177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2.433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0.952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Beverages and Tobacco</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-78</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0.482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-0.977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2.423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0.945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Textiles and Apparel</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-589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-4,843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-2,247</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-5,433</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-15.82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0.602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-15.996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-12.950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-14.363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Leather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-461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-394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36</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-855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-7.21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0.185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-10.176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-6.853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-8.366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-676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-2,211</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-675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-1.60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0.400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-1.054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2.751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1.083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Chemicals, Rubber, Plastics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-1,316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-3,312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-8,151</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-4,628</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-2.19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3.035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-1.894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1.826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0.173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Metal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-7,983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-1,588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-5,455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-9,571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-3.02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4.786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-2.334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1.713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0.062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Automotive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-6,264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-34,029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-12,004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-40,293</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-11.05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4.830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-11.285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-7.431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-8.934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-1,586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-650</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-1,482</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-3.61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0.874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-2.932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0.841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-0.796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Electronic Equipment</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-521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-1,927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-4,644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-2,448</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5.204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-0.352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3.962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2.274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Machinery and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-974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-3,416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-19,059</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-4,391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-2.87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3.288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-1.988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1.067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-0.574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Manufacturing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-3,343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-276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-600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-3,619</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-3.54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1.025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-2.999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0.794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-0.843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-6,402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-409</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-6,313</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-1.99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13.724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-0.555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3.115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1.441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Construction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-52,434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-52,342</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-8.28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14.906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-7.396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-3.490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-5.229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Trade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-16,499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-47</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-16,434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-4.74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11.563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-4.144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1.857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-0.342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Transportation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-7,061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404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-197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-6,657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-3.10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4.512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-2.428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3.429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1.195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Communications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-1,468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-28</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-1,479</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-2.78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1.482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-1.836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2.207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0.547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Financial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-2,187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396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-267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-1,791</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-2.15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2.434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-1.081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3.034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1.361 </w:t>
            </w:r>
          </w:p>
        </w:tc>
      </w:tr>
      <w:tr w:rsidR="00C04C59" w:rsidRPr="007D10AE" w:rsidTr="00C04C59">
        <w:trPr>
          <w:trHeight w:val="279"/>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Business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-9,851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-293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-102</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-10,144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-4.30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7.744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-3.334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0.589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-1.043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Recreation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-2,783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184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-2,600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-2.28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3.925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-1.362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7.598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4.687 </w:t>
            </w:r>
          </w:p>
        </w:tc>
      </w:tr>
    </w:tbl>
    <w:p w:rsidR="00C04C59" w:rsidRDefault="00C04C59" w:rsidP="00C04C59">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743CAB" w:rsidRPr="00743CAB" w:rsidRDefault="00743CAB" w:rsidP="00743CAB">
      <w:pPr>
        <w:rPr>
          <w:lang w:val="en-CA"/>
        </w:rPr>
      </w:pPr>
    </w:p>
    <w:p w:rsidR="00C04C59" w:rsidRDefault="00C04C59">
      <w:pPr>
        <w:widowControl/>
        <w:jc w:val="left"/>
        <w:rPr>
          <w:b/>
          <w:lang w:val="en-CA"/>
        </w:rPr>
      </w:pPr>
      <w:r>
        <w:rPr>
          <w:b/>
          <w:lang w:val="en-CA"/>
        </w:rPr>
        <w:br w:type="page"/>
      </w:r>
    </w:p>
    <w:p w:rsidR="00743CAB" w:rsidRDefault="00743CAB" w:rsidP="00743CAB">
      <w:pPr>
        <w:rPr>
          <w:lang w:val="en-CA"/>
        </w:rPr>
      </w:pPr>
      <w:r w:rsidRPr="00743CAB">
        <w:rPr>
          <w:b/>
          <w:lang w:val="en-CA"/>
        </w:rPr>
        <w:lastRenderedPageBreak/>
        <w:t>Table A</w:t>
      </w:r>
      <w:r>
        <w:rPr>
          <w:b/>
          <w:lang w:val="en-CA"/>
        </w:rPr>
        <w:t>6</w:t>
      </w:r>
      <w:r w:rsidRPr="00743CAB">
        <w:rPr>
          <w:b/>
          <w:lang w:val="en-CA"/>
        </w:rPr>
        <w:t xml:space="preserve">. Sectoral results of </w:t>
      </w:r>
      <w:r>
        <w:rPr>
          <w:b/>
          <w:lang w:val="en-CA"/>
        </w:rPr>
        <w:t>Mexico</w:t>
      </w:r>
      <w:r w:rsidRPr="00743CAB">
        <w:rPr>
          <w:b/>
          <w:lang w:val="en-CA"/>
        </w:rPr>
        <w:t xml:space="preserve"> for scenario (</w:t>
      </w:r>
      <w:r>
        <w:rPr>
          <w:b/>
          <w:lang w:val="en-CA"/>
        </w:rPr>
        <w:t>4</w:t>
      </w:r>
      <w:r w:rsidRPr="00743CAB">
        <w:rPr>
          <w:b/>
          <w:lang w:val="en-CA"/>
        </w:rPr>
        <w:t xml:space="preserve">) </w:t>
      </w:r>
      <w:proofErr w:type="spellStart"/>
      <w:r w:rsidR="00A14A80">
        <w:rPr>
          <w:b/>
          <w:lang w:val="en-CA"/>
        </w:rPr>
        <w:t>GD</w:t>
      </w:r>
      <w:r w:rsidR="00A14A80">
        <w:rPr>
          <w:rFonts w:hint="eastAsia"/>
          <w:b/>
          <w:lang w:val="en-CA"/>
        </w:rPr>
        <w:t>yn</w:t>
      </w:r>
      <w:r w:rsidR="00A14A80">
        <w:rPr>
          <w:b/>
          <w:lang w:val="en-CA"/>
        </w:rPr>
        <w:t>ISM</w:t>
      </w:r>
      <w:proofErr w:type="spellEnd"/>
      <w:r>
        <w:rPr>
          <w:b/>
          <w:lang w:val="en-CA"/>
        </w:rPr>
        <w:t xml:space="preserve"> (Sticky-Wage</w:t>
      </w:r>
      <w:r w:rsidRPr="00743CAB">
        <w:rPr>
          <w:b/>
          <w:lang w:val="en-CA"/>
        </w:rPr>
        <w:t>)</w:t>
      </w:r>
    </w:p>
    <w:tbl>
      <w:tblPr>
        <w:tblStyle w:val="LightShading-Accent12"/>
        <w:tblpPr w:leftFromText="180" w:rightFromText="180" w:vertAnchor="text" w:horzAnchor="margin" w:tblpXSpec="center" w:tblpY="178"/>
        <w:tblW w:w="10918" w:type="dxa"/>
        <w:tblLook w:val="04A0"/>
      </w:tblPr>
      <w:tblGrid>
        <w:gridCol w:w="2155"/>
        <w:gridCol w:w="935"/>
        <w:gridCol w:w="848"/>
        <w:gridCol w:w="848"/>
        <w:gridCol w:w="935"/>
        <w:gridCol w:w="1108"/>
        <w:gridCol w:w="1075"/>
        <w:gridCol w:w="1248"/>
        <w:gridCol w:w="883"/>
        <w:gridCol w:w="883"/>
      </w:tblGrid>
      <w:tr w:rsidR="00C04C59" w:rsidRPr="007D10AE" w:rsidTr="00C04C59">
        <w:trPr>
          <w:cnfStyle w:val="100000000000"/>
          <w:trHeight w:val="674"/>
        </w:trPr>
        <w:tc>
          <w:tcPr>
            <w:cnfStyle w:val="001000000000"/>
            <w:tcW w:w="2155" w:type="dxa"/>
            <w:hideMark/>
          </w:tcPr>
          <w:p w:rsidR="00C04C59" w:rsidRPr="007D10AE" w:rsidRDefault="00C04C59" w:rsidP="00C04C59">
            <w:pPr>
              <w:widowControl/>
              <w:jc w:val="left"/>
              <w:rPr>
                <w:rFonts w:ascii="Calibri" w:eastAsia="SimSun" w:hAnsi="Calibri" w:cs="SimSun"/>
                <w:color w:val="365F91"/>
                <w:kern w:val="0"/>
                <w:sz w:val="16"/>
                <w:szCs w:val="16"/>
              </w:rPr>
            </w:pPr>
            <w:r w:rsidRPr="007D10AE">
              <w:rPr>
                <w:rFonts w:ascii="Calibri" w:eastAsia="SimSun" w:hAnsi="Calibri" w:cs="SimSun"/>
                <w:color w:val="365F91"/>
                <w:kern w:val="0"/>
                <w:sz w:val="16"/>
                <w:szCs w:val="16"/>
              </w:rPr>
              <w:t xml:space="preserve">　</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Domestic Shipments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Exports</w:t>
            </w:r>
          </w:p>
        </w:tc>
        <w:tc>
          <w:tcPr>
            <w:tcW w:w="8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Imports</w:t>
            </w:r>
          </w:p>
        </w:tc>
        <w:tc>
          <w:tcPr>
            <w:tcW w:w="93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w:t>
            </w:r>
          </w:p>
        </w:tc>
        <w:tc>
          <w:tcPr>
            <w:tcW w:w="110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Total Shipments %</w:t>
            </w:r>
          </w:p>
        </w:tc>
        <w:tc>
          <w:tcPr>
            <w:tcW w:w="1075"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share %</w:t>
            </w:r>
          </w:p>
        </w:tc>
        <w:tc>
          <w:tcPr>
            <w:tcW w:w="1248"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Value-added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Unskilled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c>
          <w:tcPr>
            <w:tcW w:w="883" w:type="dxa"/>
            <w:hideMark/>
          </w:tcPr>
          <w:p w:rsidR="00C04C59" w:rsidRPr="007D10AE" w:rsidRDefault="00C04C59" w:rsidP="00C04C59">
            <w:pPr>
              <w:widowControl/>
              <w:jc w:val="left"/>
              <w:cnfStyle w:val="100000000000"/>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 xml:space="preserve">Skilled </w:t>
            </w:r>
            <w:proofErr w:type="spellStart"/>
            <w:r w:rsidRPr="007D10AE">
              <w:rPr>
                <w:rFonts w:ascii="Garamond" w:eastAsia="SimSun" w:hAnsi="Garamond" w:cs="SimSun"/>
                <w:color w:val="000000"/>
                <w:kern w:val="0"/>
                <w:sz w:val="16"/>
                <w:szCs w:val="16"/>
              </w:rPr>
              <w:t>Labour</w:t>
            </w:r>
            <w:proofErr w:type="spellEnd"/>
            <w:r w:rsidRPr="007D10AE">
              <w:rPr>
                <w:rFonts w:ascii="Garamond" w:eastAsia="SimSun" w:hAnsi="Garamond" w:cs="SimSun"/>
                <w:color w:val="000000"/>
                <w:kern w:val="0"/>
                <w:sz w:val="16"/>
                <w:szCs w:val="16"/>
              </w:rPr>
              <w:t xml:space="preserve">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Rice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0.027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-0.173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0.429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0.238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Wheat and Cereals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693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-479</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662</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6.52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100.501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4.841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6.057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5.943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Fruit and Vegetables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139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-802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-663</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-3.03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1.220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-2.353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-1.966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-2.071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Oilseeds and Vegetable Oils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-123</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32</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0.55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0.026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-1.669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-1.093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-1.302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Sugar</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0.348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0.836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0.571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Agriculture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1,483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-217</w:t>
            </w:r>
          </w:p>
        </w:tc>
        <w:tc>
          <w:tcPr>
            <w:tcW w:w="93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1,247</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3.93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1.201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2.278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3.237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3.127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Dairy</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546</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-662</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424</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0.610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1.586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2.288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1.998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Forestry</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17</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-14</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0.627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0.196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0.662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0.580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Fishing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-54</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-0.91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0.297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0.001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0.154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Fossil Fuels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-395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-1,613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-2,310</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-2,008</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-0.67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6.015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0.018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0.423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0.305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Mineral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-1,602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-377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-1,723</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-2.35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2.104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-1.475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-0.814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-1.130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Beef</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461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-465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-455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0.154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-3.936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-3.417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-3.855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C00000"/>
                <w:kern w:val="0"/>
                <w:sz w:val="16"/>
                <w:szCs w:val="16"/>
              </w:rPr>
            </w:pPr>
            <w:r w:rsidRPr="007D10AE">
              <w:rPr>
                <w:rFonts w:ascii="Garamond" w:eastAsia="SimSun" w:hAnsi="Garamond" w:cs="SimSun"/>
                <w:color w:val="C00000"/>
                <w:kern w:val="0"/>
                <w:sz w:val="16"/>
                <w:szCs w:val="16"/>
              </w:rPr>
              <w:t>Pork and Poultry</w:t>
            </w:r>
          </w:p>
        </w:tc>
        <w:tc>
          <w:tcPr>
            <w:tcW w:w="935" w:type="dxa"/>
            <w:noWrap/>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2,280</w:t>
            </w:r>
          </w:p>
        </w:tc>
        <w:tc>
          <w:tcPr>
            <w:tcW w:w="848" w:type="dxa"/>
            <w:noWrap/>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-68</w:t>
            </w:r>
          </w:p>
        </w:tc>
        <w:tc>
          <w:tcPr>
            <w:tcW w:w="848" w:type="dxa"/>
            <w:noWrap/>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-1,918</w:t>
            </w:r>
          </w:p>
        </w:tc>
        <w:tc>
          <w:tcPr>
            <w:tcW w:w="935" w:type="dxa"/>
            <w:noWrap/>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2,212</w:t>
            </w:r>
          </w:p>
        </w:tc>
        <w:tc>
          <w:tcPr>
            <w:tcW w:w="1108"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17.43 </w:t>
            </w:r>
          </w:p>
        </w:tc>
        <w:tc>
          <w:tcPr>
            <w:tcW w:w="1075"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0.153 </w:t>
            </w:r>
          </w:p>
        </w:tc>
        <w:tc>
          <w:tcPr>
            <w:tcW w:w="1248"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16.185 </w:t>
            </w:r>
          </w:p>
        </w:tc>
        <w:tc>
          <w:tcPr>
            <w:tcW w:w="883"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18.306 </w:t>
            </w:r>
          </w:p>
        </w:tc>
        <w:tc>
          <w:tcPr>
            <w:tcW w:w="883" w:type="dxa"/>
            <w:hideMark/>
          </w:tcPr>
          <w:p w:rsidR="00C04C59" w:rsidRPr="00EF3631" w:rsidRDefault="00C04C59">
            <w:pPr>
              <w:autoSpaceDE w:val="0"/>
              <w:autoSpaceDN w:val="0"/>
              <w:adjustRightInd w:val="0"/>
              <w:jc w:val="right"/>
              <w:cnfStyle w:val="000000100000"/>
              <w:rPr>
                <w:rFonts w:ascii="Garamond" w:eastAsia="SimSun" w:hAnsi="Garamond" w:cs="Garamond"/>
                <w:b/>
                <w:color w:val="C00000"/>
                <w:kern w:val="0"/>
                <w:sz w:val="16"/>
                <w:szCs w:val="16"/>
              </w:rPr>
            </w:pPr>
            <w:r w:rsidRPr="00EF3631">
              <w:rPr>
                <w:rFonts w:ascii="Garamond" w:eastAsia="SimSun" w:hAnsi="Garamond" w:cs="Garamond"/>
                <w:b/>
                <w:color w:val="C00000"/>
                <w:kern w:val="0"/>
                <w:sz w:val="16"/>
                <w:szCs w:val="16"/>
              </w:rPr>
              <w:t xml:space="preserve">17.761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1,315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-1,330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-1,510</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2.041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-0.408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0.736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0.279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Beverages and Tobacco</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-212</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-77</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0.644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-0.175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1.100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0.640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Textiles and Apparel</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102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-3,145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-1,603</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-3,043</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-10.87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0.612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-10.695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-11.170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-11.623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Leather Products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-228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-455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-40</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-683</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-6.18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0.225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-8.090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-8.369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-8.836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Wood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-654</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51</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0.11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0.858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0.549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1.513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0.995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Chemicals, Rubber, Plastics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1,707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-1,521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-4,303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186</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0.13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2.649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0.488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1.454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0.937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Metal Products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-861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-449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-2,166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-1,310</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2.682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-0.235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0.613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0.100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Automotive</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-312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-16,252</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-5,979</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-16,564</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-9.92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3.184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-9.585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-10.237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-10.695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-236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-278</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-136</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-0.84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0.448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-0.025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0.779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0.265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Electronic Equipment</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-170</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-921</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-74</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2.130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0.500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1.853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1.334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Machinery and Equipment</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358</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-2,783</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-3,465</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-2,426</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-2.50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2.307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-1.729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-1.324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-1.827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Manufacturing</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-795</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-128</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-416</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-923</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0.954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-0.724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0.415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-0.097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Other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-7,994</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-162</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-7,945</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-1.92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22.588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-0.682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0.510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-0.002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Construction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-8,307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47</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-7</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-8,260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-3.79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6.733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-2.950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-1.593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-2.150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Trade</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-8,022</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50</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-7,972</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-2.65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13.960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-1.687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0.159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-0.517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Transportation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-3,659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413</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-173</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-3,246</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-1.66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5.693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-0.816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0.760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0.076 </w:t>
            </w:r>
          </w:p>
        </w:tc>
      </w:tr>
      <w:tr w:rsidR="00C04C59" w:rsidRPr="007D10AE" w:rsidTr="00C04C59">
        <w:trPr>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Communications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-996</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-29</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-996</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-1.79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2.057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-0.881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0.565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0.052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Financial Services</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-1,299</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201</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-162</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-1,098</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-1.45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2.867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-0.324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0.953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0.437 </w:t>
            </w:r>
          </w:p>
        </w:tc>
      </w:tr>
      <w:tr w:rsidR="00C04C59" w:rsidRPr="007D10AE" w:rsidTr="00C04C59">
        <w:trPr>
          <w:trHeight w:val="279"/>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Business Services</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-4,045</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-139</w:t>
            </w:r>
          </w:p>
        </w:tc>
        <w:tc>
          <w:tcPr>
            <w:tcW w:w="848"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-66</w:t>
            </w:r>
          </w:p>
        </w:tc>
        <w:tc>
          <w:tcPr>
            <w:tcW w:w="935" w:type="dxa"/>
            <w:noWrap/>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-4,184</w:t>
            </w:r>
          </w:p>
        </w:tc>
        <w:tc>
          <w:tcPr>
            <w:tcW w:w="110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-2.29 </w:t>
            </w:r>
          </w:p>
        </w:tc>
        <w:tc>
          <w:tcPr>
            <w:tcW w:w="1075"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7.872 </w:t>
            </w:r>
          </w:p>
        </w:tc>
        <w:tc>
          <w:tcPr>
            <w:tcW w:w="1248"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-1.232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-0.046 </w:t>
            </w:r>
          </w:p>
        </w:tc>
        <w:tc>
          <w:tcPr>
            <w:tcW w:w="883" w:type="dxa"/>
            <w:hideMark/>
          </w:tcPr>
          <w:p w:rsidR="00C04C59" w:rsidRDefault="00C04C59">
            <w:pPr>
              <w:autoSpaceDE w:val="0"/>
              <w:autoSpaceDN w:val="0"/>
              <w:adjustRightInd w:val="0"/>
              <w:jc w:val="right"/>
              <w:cnfStyle w:val="0000000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-0.556 </w:t>
            </w:r>
          </w:p>
        </w:tc>
      </w:tr>
      <w:tr w:rsidR="00C04C59" w:rsidRPr="007D10AE" w:rsidTr="00C04C59">
        <w:trPr>
          <w:cnfStyle w:val="000000100000"/>
          <w:trHeight w:val="264"/>
        </w:trPr>
        <w:tc>
          <w:tcPr>
            <w:cnfStyle w:val="001000000000"/>
            <w:tcW w:w="2155" w:type="dxa"/>
            <w:noWrap/>
            <w:hideMark/>
          </w:tcPr>
          <w:p w:rsidR="00C04C59" w:rsidRPr="007D10AE" w:rsidRDefault="00C04C59" w:rsidP="00C04C59">
            <w:pPr>
              <w:widowControl/>
              <w:jc w:val="left"/>
              <w:rPr>
                <w:rFonts w:ascii="Garamond" w:eastAsia="SimSun" w:hAnsi="Garamond" w:cs="SimSun"/>
                <w:color w:val="000000"/>
                <w:kern w:val="0"/>
                <w:sz w:val="16"/>
                <w:szCs w:val="16"/>
              </w:rPr>
            </w:pPr>
            <w:r w:rsidRPr="007D10AE">
              <w:rPr>
                <w:rFonts w:ascii="Garamond" w:eastAsia="SimSun" w:hAnsi="Garamond" w:cs="SimSun"/>
                <w:color w:val="000000"/>
                <w:kern w:val="0"/>
                <w:sz w:val="16"/>
                <w:szCs w:val="16"/>
              </w:rPr>
              <w:t>Recreation</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-2,624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114</w:t>
            </w:r>
          </w:p>
        </w:tc>
        <w:tc>
          <w:tcPr>
            <w:tcW w:w="848"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-64</w:t>
            </w:r>
          </w:p>
        </w:tc>
        <w:tc>
          <w:tcPr>
            <w:tcW w:w="935" w:type="dxa"/>
            <w:noWrap/>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-2,510</w:t>
            </w:r>
          </w:p>
        </w:tc>
        <w:tc>
          <w:tcPr>
            <w:tcW w:w="110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-1.85 </w:t>
            </w:r>
          </w:p>
        </w:tc>
        <w:tc>
          <w:tcPr>
            <w:tcW w:w="1075"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6.215 </w:t>
            </w:r>
          </w:p>
        </w:tc>
        <w:tc>
          <w:tcPr>
            <w:tcW w:w="1248"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-0.910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2.568 </w:t>
            </w:r>
          </w:p>
        </w:tc>
        <w:tc>
          <w:tcPr>
            <w:tcW w:w="883" w:type="dxa"/>
            <w:hideMark/>
          </w:tcPr>
          <w:p w:rsidR="00C04C59" w:rsidRDefault="00C04C59">
            <w:pPr>
              <w:autoSpaceDE w:val="0"/>
              <w:autoSpaceDN w:val="0"/>
              <w:adjustRightInd w:val="0"/>
              <w:jc w:val="right"/>
              <w:cnfStyle w:val="000000100000"/>
              <w:rPr>
                <w:rFonts w:ascii="Garamond" w:eastAsia="SimSun" w:hAnsi="Garamond" w:cs="Garamond"/>
                <w:color w:val="000000"/>
                <w:kern w:val="0"/>
                <w:sz w:val="16"/>
                <w:szCs w:val="16"/>
              </w:rPr>
            </w:pPr>
            <w:r>
              <w:rPr>
                <w:rFonts w:ascii="Garamond" w:eastAsia="SimSun" w:hAnsi="Garamond" w:cs="Garamond"/>
                <w:color w:val="000000"/>
                <w:kern w:val="0"/>
                <w:sz w:val="16"/>
                <w:szCs w:val="16"/>
              </w:rPr>
              <w:t xml:space="preserve">1.657 </w:t>
            </w:r>
          </w:p>
        </w:tc>
      </w:tr>
    </w:tbl>
    <w:p w:rsidR="00C04C59" w:rsidRDefault="00C04C59" w:rsidP="00C04C59">
      <w:pPr>
        <w:rPr>
          <w:lang w:val="en-CA"/>
        </w:rPr>
      </w:pPr>
      <w:r>
        <w:rPr>
          <w:lang w:val="en-CA"/>
        </w:rPr>
        <w:t>source:</w:t>
      </w:r>
      <w:r>
        <w:rPr>
          <w:rFonts w:hint="eastAsia"/>
          <w:lang w:val="en-CA"/>
        </w:rPr>
        <w:t xml:space="preserve"> Calculation</w:t>
      </w:r>
      <w:r>
        <w:rPr>
          <w:lang w:val="en-CA"/>
        </w:rPr>
        <w:t>s</w:t>
      </w:r>
      <w:r>
        <w:rPr>
          <w:rFonts w:hint="eastAsia"/>
          <w:lang w:val="en-CA"/>
        </w:rPr>
        <w:t xml:space="preserve"> by </w:t>
      </w:r>
      <w:r>
        <w:rPr>
          <w:lang w:val="en-CA"/>
        </w:rPr>
        <w:t>authors</w:t>
      </w:r>
    </w:p>
    <w:p w:rsidR="00743CAB" w:rsidRDefault="00743CAB">
      <w:pPr>
        <w:rPr>
          <w:lang w:val="en-CA"/>
        </w:rPr>
      </w:pPr>
    </w:p>
    <w:sectPr w:rsidR="00743CAB" w:rsidSect="002A26B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1B9D" w:rsidRDefault="00961B9D" w:rsidP="00FE206D">
      <w:r>
        <w:separator/>
      </w:r>
    </w:p>
  </w:endnote>
  <w:endnote w:type="continuationSeparator" w:id="0">
    <w:p w:rsidR="00961B9D" w:rsidRDefault="00961B9D" w:rsidP="00FE20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1B9D" w:rsidRDefault="00961B9D" w:rsidP="00FE206D">
      <w:r>
        <w:separator/>
      </w:r>
    </w:p>
  </w:footnote>
  <w:footnote w:type="continuationSeparator" w:id="0">
    <w:p w:rsidR="00961B9D" w:rsidRDefault="00961B9D" w:rsidP="00FE206D">
      <w:r>
        <w:continuationSeparator/>
      </w:r>
    </w:p>
  </w:footnote>
  <w:footnote w:id="1">
    <w:p w:rsidR="00A14A80" w:rsidRPr="00FE206D" w:rsidRDefault="00A14A80">
      <w:pPr>
        <w:pStyle w:val="FootnoteText"/>
        <w:rPr>
          <w:lang w:val="en-CA"/>
        </w:rPr>
      </w:pPr>
      <w:r>
        <w:rPr>
          <w:rStyle w:val="FootnoteReference"/>
        </w:rPr>
        <w:footnoteRef/>
      </w:r>
      <w:r>
        <w:t xml:space="preserve"> </w:t>
      </w:r>
      <w:proofErr w:type="spellStart"/>
      <w:r>
        <w:rPr>
          <w:lang w:val="en-CA"/>
        </w:rPr>
        <w:t>Jingliang</w:t>
      </w:r>
      <w:proofErr w:type="spellEnd"/>
      <w:r>
        <w:rPr>
          <w:lang w:val="en-CA"/>
        </w:rPr>
        <w:t xml:space="preserve"> (Charles) Xiao, Senior Research Economist at Infinite-Sum Modeling Inc. His email is jingliang.xiao@infisum.com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5378A"/>
    <w:multiLevelType w:val="hybridMultilevel"/>
    <w:tmpl w:val="DB225C8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E7177BC"/>
    <w:multiLevelType w:val="hybridMultilevel"/>
    <w:tmpl w:val="7A1ADCC8"/>
    <w:lvl w:ilvl="0" w:tplc="C01C704C">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72194"/>
    <w:rsid w:val="00015241"/>
    <w:rsid w:val="00022AB1"/>
    <w:rsid w:val="00032C3E"/>
    <w:rsid w:val="000465EE"/>
    <w:rsid w:val="00057AD0"/>
    <w:rsid w:val="00057ED0"/>
    <w:rsid w:val="00061A93"/>
    <w:rsid w:val="00064689"/>
    <w:rsid w:val="00067999"/>
    <w:rsid w:val="0007485D"/>
    <w:rsid w:val="000B2107"/>
    <w:rsid w:val="000C7174"/>
    <w:rsid w:val="000D47CF"/>
    <w:rsid w:val="000F673E"/>
    <w:rsid w:val="00115D51"/>
    <w:rsid w:val="00142972"/>
    <w:rsid w:val="0017429D"/>
    <w:rsid w:val="001849B7"/>
    <w:rsid w:val="001C60F7"/>
    <w:rsid w:val="001D5515"/>
    <w:rsid w:val="001D7B38"/>
    <w:rsid w:val="001F60CB"/>
    <w:rsid w:val="00206BDD"/>
    <w:rsid w:val="00217F88"/>
    <w:rsid w:val="0024046B"/>
    <w:rsid w:val="00257243"/>
    <w:rsid w:val="00281153"/>
    <w:rsid w:val="00281AE7"/>
    <w:rsid w:val="002A26B6"/>
    <w:rsid w:val="002C10D3"/>
    <w:rsid w:val="002D3859"/>
    <w:rsid w:val="002E047E"/>
    <w:rsid w:val="002E3F2D"/>
    <w:rsid w:val="0030047E"/>
    <w:rsid w:val="003023C6"/>
    <w:rsid w:val="00324AA0"/>
    <w:rsid w:val="003409FB"/>
    <w:rsid w:val="00366646"/>
    <w:rsid w:val="00385771"/>
    <w:rsid w:val="003863AB"/>
    <w:rsid w:val="003D06FB"/>
    <w:rsid w:val="003E289E"/>
    <w:rsid w:val="00403FD3"/>
    <w:rsid w:val="00412028"/>
    <w:rsid w:val="00416BC1"/>
    <w:rsid w:val="00422402"/>
    <w:rsid w:val="004712E2"/>
    <w:rsid w:val="004726EA"/>
    <w:rsid w:val="0049143A"/>
    <w:rsid w:val="004970A9"/>
    <w:rsid w:val="004A6C39"/>
    <w:rsid w:val="004A7044"/>
    <w:rsid w:val="004B4B72"/>
    <w:rsid w:val="004D454C"/>
    <w:rsid w:val="004E617C"/>
    <w:rsid w:val="00501DAA"/>
    <w:rsid w:val="005049F4"/>
    <w:rsid w:val="00513A81"/>
    <w:rsid w:val="0051608B"/>
    <w:rsid w:val="00516D88"/>
    <w:rsid w:val="00541EC0"/>
    <w:rsid w:val="005647D9"/>
    <w:rsid w:val="00566A01"/>
    <w:rsid w:val="00577BB5"/>
    <w:rsid w:val="005C102B"/>
    <w:rsid w:val="005F0148"/>
    <w:rsid w:val="006125C1"/>
    <w:rsid w:val="00612655"/>
    <w:rsid w:val="00630973"/>
    <w:rsid w:val="00644430"/>
    <w:rsid w:val="00644645"/>
    <w:rsid w:val="006527FD"/>
    <w:rsid w:val="00661E07"/>
    <w:rsid w:val="00670BB8"/>
    <w:rsid w:val="0067364D"/>
    <w:rsid w:val="006911AF"/>
    <w:rsid w:val="006C0BBA"/>
    <w:rsid w:val="006D224F"/>
    <w:rsid w:val="006D3D46"/>
    <w:rsid w:val="006D467B"/>
    <w:rsid w:val="006F214A"/>
    <w:rsid w:val="006F275A"/>
    <w:rsid w:val="0070402D"/>
    <w:rsid w:val="0073762A"/>
    <w:rsid w:val="00743CAB"/>
    <w:rsid w:val="0077675C"/>
    <w:rsid w:val="0078230D"/>
    <w:rsid w:val="007832C3"/>
    <w:rsid w:val="007B0D59"/>
    <w:rsid w:val="007D0A12"/>
    <w:rsid w:val="007D10AE"/>
    <w:rsid w:val="007E62C4"/>
    <w:rsid w:val="00804ED7"/>
    <w:rsid w:val="0081390F"/>
    <w:rsid w:val="00834A51"/>
    <w:rsid w:val="00842986"/>
    <w:rsid w:val="00852194"/>
    <w:rsid w:val="0085488C"/>
    <w:rsid w:val="00862A54"/>
    <w:rsid w:val="00863F48"/>
    <w:rsid w:val="00864529"/>
    <w:rsid w:val="00890EA6"/>
    <w:rsid w:val="008C0336"/>
    <w:rsid w:val="008E71DA"/>
    <w:rsid w:val="008F6439"/>
    <w:rsid w:val="008F769F"/>
    <w:rsid w:val="00943B24"/>
    <w:rsid w:val="00961B9D"/>
    <w:rsid w:val="009838FE"/>
    <w:rsid w:val="009B3C95"/>
    <w:rsid w:val="009D0969"/>
    <w:rsid w:val="009E6270"/>
    <w:rsid w:val="009F737E"/>
    <w:rsid w:val="00A07494"/>
    <w:rsid w:val="00A1203E"/>
    <w:rsid w:val="00A14A80"/>
    <w:rsid w:val="00A2320D"/>
    <w:rsid w:val="00A309B6"/>
    <w:rsid w:val="00A36F72"/>
    <w:rsid w:val="00A51F8A"/>
    <w:rsid w:val="00A7679C"/>
    <w:rsid w:val="00A91AE0"/>
    <w:rsid w:val="00AA525C"/>
    <w:rsid w:val="00AB0E04"/>
    <w:rsid w:val="00AD17CB"/>
    <w:rsid w:val="00AD2129"/>
    <w:rsid w:val="00AD27DC"/>
    <w:rsid w:val="00AD56A6"/>
    <w:rsid w:val="00AD6B5B"/>
    <w:rsid w:val="00AE4491"/>
    <w:rsid w:val="00AF3128"/>
    <w:rsid w:val="00B20695"/>
    <w:rsid w:val="00B30DBE"/>
    <w:rsid w:val="00B37078"/>
    <w:rsid w:val="00B70A32"/>
    <w:rsid w:val="00B72194"/>
    <w:rsid w:val="00BB592B"/>
    <w:rsid w:val="00BC11AF"/>
    <w:rsid w:val="00BC465D"/>
    <w:rsid w:val="00C03D31"/>
    <w:rsid w:val="00C04C59"/>
    <w:rsid w:val="00C3779C"/>
    <w:rsid w:val="00C43299"/>
    <w:rsid w:val="00C64FE6"/>
    <w:rsid w:val="00C73142"/>
    <w:rsid w:val="00C7419B"/>
    <w:rsid w:val="00C7594A"/>
    <w:rsid w:val="00D159B2"/>
    <w:rsid w:val="00D412A0"/>
    <w:rsid w:val="00D43C0D"/>
    <w:rsid w:val="00D91FA3"/>
    <w:rsid w:val="00DA4719"/>
    <w:rsid w:val="00DB63DE"/>
    <w:rsid w:val="00DC3E17"/>
    <w:rsid w:val="00DC770C"/>
    <w:rsid w:val="00E04670"/>
    <w:rsid w:val="00E33D26"/>
    <w:rsid w:val="00E36199"/>
    <w:rsid w:val="00E63D80"/>
    <w:rsid w:val="00E64650"/>
    <w:rsid w:val="00E74908"/>
    <w:rsid w:val="00E902E7"/>
    <w:rsid w:val="00ED2376"/>
    <w:rsid w:val="00EF3631"/>
    <w:rsid w:val="00F04CF5"/>
    <w:rsid w:val="00F14859"/>
    <w:rsid w:val="00F35396"/>
    <w:rsid w:val="00F73467"/>
    <w:rsid w:val="00FC1774"/>
    <w:rsid w:val="00FE206D"/>
    <w:rsid w:val="00FE7B4F"/>
    <w:rsid w:val="00FF59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6B6"/>
    <w:pPr>
      <w:widowControl w:val="0"/>
      <w:jc w:val="both"/>
    </w:pPr>
  </w:style>
  <w:style w:type="paragraph" w:styleId="Heading2">
    <w:name w:val="heading 2"/>
    <w:basedOn w:val="Normal"/>
    <w:link w:val="Heading2Char"/>
    <w:uiPriority w:val="9"/>
    <w:qFormat/>
    <w:rsid w:val="00A1203E"/>
    <w:pPr>
      <w:widowControl/>
      <w:spacing w:before="200"/>
      <w:ind w:left="250"/>
      <w:jc w:val="left"/>
      <w:outlineLvl w:val="1"/>
    </w:pPr>
    <w:rPr>
      <w:rFonts w:ascii="Arial" w:eastAsia="SimSun" w:hAnsi="Arial" w:cs="Arial"/>
      <w:b/>
      <w:bCs/>
      <w:color w:val="333333"/>
      <w:kern w:val="0"/>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1DAA"/>
    <w:rPr>
      <w:sz w:val="16"/>
      <w:szCs w:val="16"/>
    </w:rPr>
  </w:style>
  <w:style w:type="paragraph" w:styleId="CommentText">
    <w:name w:val="annotation text"/>
    <w:basedOn w:val="Normal"/>
    <w:link w:val="CommentTextChar"/>
    <w:uiPriority w:val="99"/>
    <w:semiHidden/>
    <w:unhideWhenUsed/>
    <w:rsid w:val="00501DAA"/>
    <w:rPr>
      <w:sz w:val="20"/>
      <w:szCs w:val="20"/>
    </w:rPr>
  </w:style>
  <w:style w:type="character" w:customStyle="1" w:styleId="CommentTextChar">
    <w:name w:val="Comment Text Char"/>
    <w:basedOn w:val="DefaultParagraphFont"/>
    <w:link w:val="CommentText"/>
    <w:uiPriority w:val="99"/>
    <w:semiHidden/>
    <w:rsid w:val="00501DAA"/>
    <w:rPr>
      <w:sz w:val="20"/>
      <w:szCs w:val="20"/>
    </w:rPr>
  </w:style>
  <w:style w:type="paragraph" w:styleId="CommentSubject">
    <w:name w:val="annotation subject"/>
    <w:basedOn w:val="CommentText"/>
    <w:next w:val="CommentText"/>
    <w:link w:val="CommentSubjectChar"/>
    <w:uiPriority w:val="99"/>
    <w:semiHidden/>
    <w:unhideWhenUsed/>
    <w:rsid w:val="00501DAA"/>
    <w:rPr>
      <w:b/>
      <w:bCs/>
    </w:rPr>
  </w:style>
  <w:style w:type="character" w:customStyle="1" w:styleId="CommentSubjectChar">
    <w:name w:val="Comment Subject Char"/>
    <w:basedOn w:val="CommentTextChar"/>
    <w:link w:val="CommentSubject"/>
    <w:uiPriority w:val="99"/>
    <w:semiHidden/>
    <w:rsid w:val="00501DAA"/>
    <w:rPr>
      <w:b/>
      <w:bCs/>
      <w:sz w:val="20"/>
      <w:szCs w:val="20"/>
    </w:rPr>
  </w:style>
  <w:style w:type="paragraph" w:styleId="BalloonText">
    <w:name w:val="Balloon Text"/>
    <w:basedOn w:val="Normal"/>
    <w:link w:val="BalloonTextChar"/>
    <w:uiPriority w:val="99"/>
    <w:semiHidden/>
    <w:unhideWhenUsed/>
    <w:rsid w:val="00501DAA"/>
    <w:rPr>
      <w:rFonts w:ascii="Tahoma" w:hAnsi="Tahoma" w:cs="Tahoma"/>
      <w:sz w:val="16"/>
      <w:szCs w:val="16"/>
    </w:rPr>
  </w:style>
  <w:style w:type="character" w:customStyle="1" w:styleId="BalloonTextChar">
    <w:name w:val="Balloon Text Char"/>
    <w:basedOn w:val="DefaultParagraphFont"/>
    <w:link w:val="BalloonText"/>
    <w:uiPriority w:val="99"/>
    <w:semiHidden/>
    <w:rsid w:val="00501DAA"/>
    <w:rPr>
      <w:rFonts w:ascii="Tahoma" w:hAnsi="Tahoma" w:cs="Tahoma"/>
      <w:sz w:val="16"/>
      <w:szCs w:val="16"/>
    </w:rPr>
  </w:style>
  <w:style w:type="paragraph" w:styleId="Revision">
    <w:name w:val="Revision"/>
    <w:hidden/>
    <w:uiPriority w:val="99"/>
    <w:semiHidden/>
    <w:rsid w:val="008F6439"/>
  </w:style>
  <w:style w:type="paragraph" w:styleId="ListParagraph">
    <w:name w:val="List Paragraph"/>
    <w:basedOn w:val="Normal"/>
    <w:link w:val="ListParagraphChar"/>
    <w:uiPriority w:val="34"/>
    <w:qFormat/>
    <w:rsid w:val="00943B24"/>
    <w:pPr>
      <w:ind w:firstLineChars="200" w:firstLine="420"/>
    </w:pPr>
  </w:style>
  <w:style w:type="paragraph" w:customStyle="1" w:styleId="Default">
    <w:name w:val="Default"/>
    <w:rsid w:val="009F737E"/>
    <w:pPr>
      <w:widowControl w:val="0"/>
      <w:autoSpaceDE w:val="0"/>
      <w:autoSpaceDN w:val="0"/>
      <w:adjustRightInd w:val="0"/>
    </w:pPr>
    <w:rPr>
      <w:rFonts w:ascii="Times New Roman" w:hAnsi="Times New Roman" w:cs="Times New Roman"/>
      <w:color w:val="000000"/>
      <w:kern w:val="0"/>
      <w:sz w:val="24"/>
      <w:szCs w:val="24"/>
    </w:rPr>
  </w:style>
  <w:style w:type="character" w:styleId="PlaceholderText">
    <w:name w:val="Placeholder Text"/>
    <w:basedOn w:val="DefaultParagraphFont"/>
    <w:uiPriority w:val="99"/>
    <w:semiHidden/>
    <w:rsid w:val="00C43299"/>
    <w:rPr>
      <w:color w:val="808080"/>
    </w:rPr>
  </w:style>
  <w:style w:type="character" w:customStyle="1" w:styleId="Heading2Char">
    <w:name w:val="Heading 2 Char"/>
    <w:basedOn w:val="DefaultParagraphFont"/>
    <w:link w:val="Heading2"/>
    <w:uiPriority w:val="9"/>
    <w:rsid w:val="00A1203E"/>
    <w:rPr>
      <w:rFonts w:ascii="Arial" w:eastAsia="SimSun" w:hAnsi="Arial" w:cs="Arial"/>
      <w:b/>
      <w:bCs/>
      <w:color w:val="333333"/>
      <w:kern w:val="0"/>
      <w:sz w:val="29"/>
      <w:szCs w:val="29"/>
    </w:rPr>
  </w:style>
  <w:style w:type="paragraph" w:styleId="NormalWeb">
    <w:name w:val="Normal (Web)"/>
    <w:basedOn w:val="Normal"/>
    <w:uiPriority w:val="99"/>
    <w:semiHidden/>
    <w:unhideWhenUsed/>
    <w:rsid w:val="00A1203E"/>
    <w:pPr>
      <w:widowControl/>
      <w:spacing w:before="125"/>
      <w:ind w:left="250"/>
      <w:jc w:val="left"/>
    </w:pPr>
    <w:rPr>
      <w:rFonts w:ascii="Arial" w:eastAsia="SimSun" w:hAnsi="Arial" w:cs="Arial"/>
      <w:color w:val="333333"/>
      <w:kern w:val="0"/>
      <w:sz w:val="24"/>
      <w:szCs w:val="24"/>
    </w:rPr>
  </w:style>
  <w:style w:type="character" w:customStyle="1" w:styleId="apple-converted-space">
    <w:name w:val="apple-converted-space"/>
    <w:basedOn w:val="DefaultParagraphFont"/>
    <w:rsid w:val="00A1203E"/>
  </w:style>
  <w:style w:type="character" w:customStyle="1" w:styleId="ListParagraphChar">
    <w:name w:val="List Paragraph Char"/>
    <w:basedOn w:val="DefaultParagraphFont"/>
    <w:link w:val="ListParagraph"/>
    <w:uiPriority w:val="34"/>
    <w:locked/>
    <w:rsid w:val="00D43C0D"/>
  </w:style>
  <w:style w:type="table" w:customStyle="1" w:styleId="LightShading-Accent11">
    <w:name w:val="Light Shading - Accent 11"/>
    <w:basedOn w:val="TableNormal"/>
    <w:uiPriority w:val="60"/>
    <w:rsid w:val="004726E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7D10A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2">
    <w:name w:val="Light Shading - Accent 12"/>
    <w:basedOn w:val="TableNormal"/>
    <w:uiPriority w:val="60"/>
    <w:rsid w:val="007D10AE"/>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semiHidden/>
    <w:unhideWhenUsed/>
    <w:rsid w:val="00FE206D"/>
    <w:pPr>
      <w:snapToGrid w:val="0"/>
      <w:jc w:val="left"/>
    </w:pPr>
    <w:rPr>
      <w:sz w:val="18"/>
      <w:szCs w:val="18"/>
    </w:rPr>
  </w:style>
  <w:style w:type="character" w:customStyle="1" w:styleId="FootnoteTextChar">
    <w:name w:val="Footnote Text Char"/>
    <w:basedOn w:val="DefaultParagraphFont"/>
    <w:link w:val="FootnoteText"/>
    <w:uiPriority w:val="99"/>
    <w:semiHidden/>
    <w:rsid w:val="00FE206D"/>
    <w:rPr>
      <w:sz w:val="18"/>
      <w:szCs w:val="18"/>
    </w:rPr>
  </w:style>
  <w:style w:type="character" w:styleId="FootnoteReference">
    <w:name w:val="footnote reference"/>
    <w:basedOn w:val="DefaultParagraphFont"/>
    <w:uiPriority w:val="99"/>
    <w:semiHidden/>
    <w:unhideWhenUsed/>
    <w:rsid w:val="00FE206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6B6"/>
    <w:pPr>
      <w:widowControl w:val="0"/>
      <w:jc w:val="both"/>
    </w:pPr>
  </w:style>
  <w:style w:type="paragraph" w:styleId="Heading2">
    <w:name w:val="heading 2"/>
    <w:basedOn w:val="Normal"/>
    <w:link w:val="Heading2Char"/>
    <w:uiPriority w:val="9"/>
    <w:qFormat/>
    <w:rsid w:val="00A1203E"/>
    <w:pPr>
      <w:widowControl/>
      <w:spacing w:before="200"/>
      <w:ind w:left="250"/>
      <w:jc w:val="left"/>
      <w:outlineLvl w:val="1"/>
    </w:pPr>
    <w:rPr>
      <w:rFonts w:ascii="Arial" w:eastAsia="SimSun" w:hAnsi="Arial" w:cs="Arial"/>
      <w:b/>
      <w:bCs/>
      <w:color w:val="333333"/>
      <w:kern w:val="0"/>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1DAA"/>
    <w:rPr>
      <w:sz w:val="16"/>
      <w:szCs w:val="16"/>
    </w:rPr>
  </w:style>
  <w:style w:type="paragraph" w:styleId="CommentText">
    <w:name w:val="annotation text"/>
    <w:basedOn w:val="Normal"/>
    <w:link w:val="CommentTextChar"/>
    <w:uiPriority w:val="99"/>
    <w:semiHidden/>
    <w:unhideWhenUsed/>
    <w:rsid w:val="00501DAA"/>
    <w:rPr>
      <w:sz w:val="20"/>
      <w:szCs w:val="20"/>
    </w:rPr>
  </w:style>
  <w:style w:type="character" w:customStyle="1" w:styleId="CommentTextChar">
    <w:name w:val="Comment Text Char"/>
    <w:basedOn w:val="DefaultParagraphFont"/>
    <w:link w:val="CommentText"/>
    <w:uiPriority w:val="99"/>
    <w:semiHidden/>
    <w:rsid w:val="00501DAA"/>
    <w:rPr>
      <w:sz w:val="20"/>
      <w:szCs w:val="20"/>
    </w:rPr>
  </w:style>
  <w:style w:type="paragraph" w:styleId="CommentSubject">
    <w:name w:val="annotation subject"/>
    <w:basedOn w:val="CommentText"/>
    <w:next w:val="CommentText"/>
    <w:link w:val="CommentSubjectChar"/>
    <w:uiPriority w:val="99"/>
    <w:semiHidden/>
    <w:unhideWhenUsed/>
    <w:rsid w:val="00501DAA"/>
    <w:rPr>
      <w:b/>
      <w:bCs/>
    </w:rPr>
  </w:style>
  <w:style w:type="character" w:customStyle="1" w:styleId="CommentSubjectChar">
    <w:name w:val="Comment Subject Char"/>
    <w:basedOn w:val="CommentTextChar"/>
    <w:link w:val="CommentSubject"/>
    <w:uiPriority w:val="99"/>
    <w:semiHidden/>
    <w:rsid w:val="00501DAA"/>
    <w:rPr>
      <w:b/>
      <w:bCs/>
      <w:sz w:val="20"/>
      <w:szCs w:val="20"/>
    </w:rPr>
  </w:style>
  <w:style w:type="paragraph" w:styleId="BalloonText">
    <w:name w:val="Balloon Text"/>
    <w:basedOn w:val="Normal"/>
    <w:link w:val="BalloonTextChar"/>
    <w:uiPriority w:val="99"/>
    <w:semiHidden/>
    <w:unhideWhenUsed/>
    <w:rsid w:val="00501DAA"/>
    <w:rPr>
      <w:rFonts w:ascii="Tahoma" w:hAnsi="Tahoma" w:cs="Tahoma"/>
      <w:sz w:val="16"/>
      <w:szCs w:val="16"/>
    </w:rPr>
  </w:style>
  <w:style w:type="character" w:customStyle="1" w:styleId="BalloonTextChar">
    <w:name w:val="Balloon Text Char"/>
    <w:basedOn w:val="DefaultParagraphFont"/>
    <w:link w:val="BalloonText"/>
    <w:uiPriority w:val="99"/>
    <w:semiHidden/>
    <w:rsid w:val="00501DAA"/>
    <w:rPr>
      <w:rFonts w:ascii="Tahoma" w:hAnsi="Tahoma" w:cs="Tahoma"/>
      <w:sz w:val="16"/>
      <w:szCs w:val="16"/>
    </w:rPr>
  </w:style>
  <w:style w:type="paragraph" w:styleId="Revision">
    <w:name w:val="Revision"/>
    <w:hidden/>
    <w:uiPriority w:val="99"/>
    <w:semiHidden/>
    <w:rsid w:val="008F6439"/>
  </w:style>
  <w:style w:type="paragraph" w:styleId="ListParagraph">
    <w:name w:val="List Paragraph"/>
    <w:basedOn w:val="Normal"/>
    <w:link w:val="ListParagraphChar"/>
    <w:uiPriority w:val="34"/>
    <w:qFormat/>
    <w:rsid w:val="00943B24"/>
    <w:pPr>
      <w:ind w:firstLineChars="200" w:firstLine="420"/>
    </w:pPr>
  </w:style>
  <w:style w:type="paragraph" w:customStyle="1" w:styleId="Default">
    <w:name w:val="Default"/>
    <w:rsid w:val="009F737E"/>
    <w:pPr>
      <w:widowControl w:val="0"/>
      <w:autoSpaceDE w:val="0"/>
      <w:autoSpaceDN w:val="0"/>
      <w:adjustRightInd w:val="0"/>
    </w:pPr>
    <w:rPr>
      <w:rFonts w:ascii="Times New Roman" w:hAnsi="Times New Roman" w:cs="Times New Roman"/>
      <w:color w:val="000000"/>
      <w:kern w:val="0"/>
      <w:sz w:val="24"/>
      <w:szCs w:val="24"/>
    </w:rPr>
  </w:style>
  <w:style w:type="character" w:styleId="PlaceholderText">
    <w:name w:val="Placeholder Text"/>
    <w:basedOn w:val="DefaultParagraphFont"/>
    <w:uiPriority w:val="99"/>
    <w:semiHidden/>
    <w:rsid w:val="00C43299"/>
    <w:rPr>
      <w:color w:val="808080"/>
    </w:rPr>
  </w:style>
  <w:style w:type="character" w:customStyle="1" w:styleId="Heading2Char">
    <w:name w:val="Heading 2 Char"/>
    <w:basedOn w:val="DefaultParagraphFont"/>
    <w:link w:val="Heading2"/>
    <w:uiPriority w:val="9"/>
    <w:rsid w:val="00A1203E"/>
    <w:rPr>
      <w:rFonts w:ascii="Arial" w:eastAsia="SimSun" w:hAnsi="Arial" w:cs="Arial"/>
      <w:b/>
      <w:bCs/>
      <w:color w:val="333333"/>
      <w:kern w:val="0"/>
      <w:sz w:val="29"/>
      <w:szCs w:val="29"/>
    </w:rPr>
  </w:style>
  <w:style w:type="paragraph" w:styleId="NormalWeb">
    <w:name w:val="Normal (Web)"/>
    <w:basedOn w:val="Normal"/>
    <w:uiPriority w:val="99"/>
    <w:semiHidden/>
    <w:unhideWhenUsed/>
    <w:rsid w:val="00A1203E"/>
    <w:pPr>
      <w:widowControl/>
      <w:spacing w:before="125"/>
      <w:ind w:left="250"/>
      <w:jc w:val="left"/>
    </w:pPr>
    <w:rPr>
      <w:rFonts w:ascii="Arial" w:eastAsia="SimSun" w:hAnsi="Arial" w:cs="Arial"/>
      <w:color w:val="333333"/>
      <w:kern w:val="0"/>
      <w:sz w:val="24"/>
      <w:szCs w:val="24"/>
    </w:rPr>
  </w:style>
  <w:style w:type="character" w:customStyle="1" w:styleId="apple-converted-space">
    <w:name w:val="apple-converted-space"/>
    <w:basedOn w:val="DefaultParagraphFont"/>
    <w:rsid w:val="00A1203E"/>
  </w:style>
  <w:style w:type="character" w:customStyle="1" w:styleId="ListParagraphChar">
    <w:name w:val="List Paragraph Char"/>
    <w:basedOn w:val="DefaultParagraphFont"/>
    <w:link w:val="ListParagraph"/>
    <w:uiPriority w:val="34"/>
    <w:locked/>
    <w:rsid w:val="00D43C0D"/>
  </w:style>
  <w:style w:type="table" w:customStyle="1" w:styleId="LightShading-Accent11">
    <w:name w:val="Light Shading - Accent 11"/>
    <w:basedOn w:val="TableNormal"/>
    <w:uiPriority w:val="60"/>
    <w:rsid w:val="004726E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7D10A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2">
    <w:name w:val="Light Shading - Accent 12"/>
    <w:basedOn w:val="TableNormal"/>
    <w:uiPriority w:val="60"/>
    <w:rsid w:val="007D10A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semiHidden/>
    <w:unhideWhenUsed/>
    <w:rsid w:val="00FE206D"/>
    <w:pPr>
      <w:snapToGrid w:val="0"/>
      <w:jc w:val="left"/>
    </w:pPr>
    <w:rPr>
      <w:sz w:val="18"/>
      <w:szCs w:val="18"/>
    </w:rPr>
  </w:style>
  <w:style w:type="character" w:customStyle="1" w:styleId="FootnoteTextChar">
    <w:name w:val="Footnote Text Char"/>
    <w:basedOn w:val="DefaultParagraphFont"/>
    <w:link w:val="FootnoteText"/>
    <w:uiPriority w:val="99"/>
    <w:semiHidden/>
    <w:rsid w:val="00FE206D"/>
    <w:rPr>
      <w:sz w:val="18"/>
      <w:szCs w:val="18"/>
    </w:rPr>
  </w:style>
  <w:style w:type="character" w:styleId="FootnoteReference">
    <w:name w:val="footnote reference"/>
    <w:basedOn w:val="DefaultParagraphFont"/>
    <w:uiPriority w:val="99"/>
    <w:semiHidden/>
    <w:unhideWhenUsed/>
    <w:rsid w:val="00FE206D"/>
    <w:rPr>
      <w:vertAlign w:val="superscript"/>
    </w:rPr>
  </w:style>
</w:styles>
</file>

<file path=word/webSettings.xml><?xml version="1.0" encoding="utf-8"?>
<w:webSettings xmlns:r="http://schemas.openxmlformats.org/officeDocument/2006/relationships" xmlns:w="http://schemas.openxmlformats.org/wordprocessingml/2006/main">
  <w:divs>
    <w:div w:id="195313693">
      <w:bodyDiv w:val="1"/>
      <w:marLeft w:val="0"/>
      <w:marRight w:val="0"/>
      <w:marTop w:val="0"/>
      <w:marBottom w:val="0"/>
      <w:divBdr>
        <w:top w:val="none" w:sz="0" w:space="0" w:color="auto"/>
        <w:left w:val="none" w:sz="0" w:space="0" w:color="auto"/>
        <w:bottom w:val="none" w:sz="0" w:space="0" w:color="auto"/>
        <w:right w:val="none" w:sz="0" w:space="0" w:color="auto"/>
      </w:divBdr>
    </w:div>
    <w:div w:id="214315636">
      <w:bodyDiv w:val="1"/>
      <w:marLeft w:val="0"/>
      <w:marRight w:val="0"/>
      <w:marTop w:val="0"/>
      <w:marBottom w:val="0"/>
      <w:divBdr>
        <w:top w:val="none" w:sz="0" w:space="0" w:color="auto"/>
        <w:left w:val="none" w:sz="0" w:space="0" w:color="auto"/>
        <w:bottom w:val="none" w:sz="0" w:space="0" w:color="auto"/>
        <w:right w:val="none" w:sz="0" w:space="0" w:color="auto"/>
      </w:divBdr>
    </w:div>
    <w:div w:id="449134000">
      <w:bodyDiv w:val="1"/>
      <w:marLeft w:val="0"/>
      <w:marRight w:val="0"/>
      <w:marTop w:val="0"/>
      <w:marBottom w:val="0"/>
      <w:divBdr>
        <w:top w:val="none" w:sz="0" w:space="0" w:color="auto"/>
        <w:left w:val="none" w:sz="0" w:space="0" w:color="auto"/>
        <w:bottom w:val="none" w:sz="0" w:space="0" w:color="auto"/>
        <w:right w:val="none" w:sz="0" w:space="0" w:color="auto"/>
      </w:divBdr>
    </w:div>
    <w:div w:id="519777053">
      <w:bodyDiv w:val="1"/>
      <w:marLeft w:val="0"/>
      <w:marRight w:val="0"/>
      <w:marTop w:val="0"/>
      <w:marBottom w:val="0"/>
      <w:divBdr>
        <w:top w:val="none" w:sz="0" w:space="0" w:color="auto"/>
        <w:left w:val="none" w:sz="0" w:space="0" w:color="auto"/>
        <w:bottom w:val="none" w:sz="0" w:space="0" w:color="auto"/>
        <w:right w:val="none" w:sz="0" w:space="0" w:color="auto"/>
      </w:divBdr>
    </w:div>
    <w:div w:id="535968738">
      <w:bodyDiv w:val="1"/>
      <w:marLeft w:val="0"/>
      <w:marRight w:val="0"/>
      <w:marTop w:val="0"/>
      <w:marBottom w:val="0"/>
      <w:divBdr>
        <w:top w:val="none" w:sz="0" w:space="0" w:color="auto"/>
        <w:left w:val="none" w:sz="0" w:space="0" w:color="auto"/>
        <w:bottom w:val="none" w:sz="0" w:space="0" w:color="auto"/>
        <w:right w:val="none" w:sz="0" w:space="0" w:color="auto"/>
      </w:divBdr>
    </w:div>
    <w:div w:id="543450453">
      <w:bodyDiv w:val="1"/>
      <w:marLeft w:val="0"/>
      <w:marRight w:val="0"/>
      <w:marTop w:val="0"/>
      <w:marBottom w:val="0"/>
      <w:divBdr>
        <w:top w:val="none" w:sz="0" w:space="0" w:color="auto"/>
        <w:left w:val="none" w:sz="0" w:space="0" w:color="auto"/>
        <w:bottom w:val="none" w:sz="0" w:space="0" w:color="auto"/>
        <w:right w:val="none" w:sz="0" w:space="0" w:color="auto"/>
      </w:divBdr>
    </w:div>
    <w:div w:id="637033734">
      <w:bodyDiv w:val="1"/>
      <w:marLeft w:val="0"/>
      <w:marRight w:val="0"/>
      <w:marTop w:val="0"/>
      <w:marBottom w:val="0"/>
      <w:divBdr>
        <w:top w:val="none" w:sz="0" w:space="0" w:color="auto"/>
        <w:left w:val="none" w:sz="0" w:space="0" w:color="auto"/>
        <w:bottom w:val="none" w:sz="0" w:space="0" w:color="auto"/>
        <w:right w:val="none" w:sz="0" w:space="0" w:color="auto"/>
      </w:divBdr>
    </w:div>
    <w:div w:id="717246834">
      <w:bodyDiv w:val="1"/>
      <w:marLeft w:val="0"/>
      <w:marRight w:val="0"/>
      <w:marTop w:val="0"/>
      <w:marBottom w:val="0"/>
      <w:divBdr>
        <w:top w:val="none" w:sz="0" w:space="0" w:color="auto"/>
        <w:left w:val="none" w:sz="0" w:space="0" w:color="auto"/>
        <w:bottom w:val="none" w:sz="0" w:space="0" w:color="auto"/>
        <w:right w:val="none" w:sz="0" w:space="0" w:color="auto"/>
      </w:divBdr>
    </w:div>
    <w:div w:id="865556088">
      <w:bodyDiv w:val="1"/>
      <w:marLeft w:val="0"/>
      <w:marRight w:val="0"/>
      <w:marTop w:val="0"/>
      <w:marBottom w:val="0"/>
      <w:divBdr>
        <w:top w:val="none" w:sz="0" w:space="0" w:color="auto"/>
        <w:left w:val="none" w:sz="0" w:space="0" w:color="auto"/>
        <w:bottom w:val="none" w:sz="0" w:space="0" w:color="auto"/>
        <w:right w:val="none" w:sz="0" w:space="0" w:color="auto"/>
      </w:divBdr>
    </w:div>
    <w:div w:id="1273440520">
      <w:bodyDiv w:val="1"/>
      <w:marLeft w:val="0"/>
      <w:marRight w:val="0"/>
      <w:marTop w:val="0"/>
      <w:marBottom w:val="0"/>
      <w:divBdr>
        <w:top w:val="none" w:sz="0" w:space="0" w:color="auto"/>
        <w:left w:val="none" w:sz="0" w:space="0" w:color="auto"/>
        <w:bottom w:val="none" w:sz="0" w:space="0" w:color="auto"/>
        <w:right w:val="none" w:sz="0" w:space="0" w:color="auto"/>
      </w:divBdr>
    </w:div>
    <w:div w:id="1295914564">
      <w:bodyDiv w:val="1"/>
      <w:marLeft w:val="0"/>
      <w:marRight w:val="0"/>
      <w:marTop w:val="0"/>
      <w:marBottom w:val="0"/>
      <w:divBdr>
        <w:top w:val="none" w:sz="0" w:space="0" w:color="auto"/>
        <w:left w:val="none" w:sz="0" w:space="0" w:color="auto"/>
        <w:bottom w:val="none" w:sz="0" w:space="0" w:color="auto"/>
        <w:right w:val="none" w:sz="0" w:space="0" w:color="auto"/>
      </w:divBdr>
    </w:div>
    <w:div w:id="1468935353">
      <w:bodyDiv w:val="1"/>
      <w:marLeft w:val="0"/>
      <w:marRight w:val="0"/>
      <w:marTop w:val="0"/>
      <w:marBottom w:val="0"/>
      <w:divBdr>
        <w:top w:val="none" w:sz="0" w:space="0" w:color="auto"/>
        <w:left w:val="none" w:sz="0" w:space="0" w:color="auto"/>
        <w:bottom w:val="none" w:sz="0" w:space="0" w:color="auto"/>
        <w:right w:val="none" w:sz="0" w:space="0" w:color="auto"/>
      </w:divBdr>
    </w:div>
    <w:div w:id="1582375411">
      <w:bodyDiv w:val="1"/>
      <w:marLeft w:val="0"/>
      <w:marRight w:val="0"/>
      <w:marTop w:val="0"/>
      <w:marBottom w:val="0"/>
      <w:divBdr>
        <w:top w:val="none" w:sz="0" w:space="0" w:color="auto"/>
        <w:left w:val="none" w:sz="0" w:space="0" w:color="auto"/>
        <w:bottom w:val="none" w:sz="0" w:space="0" w:color="auto"/>
        <w:right w:val="none" w:sz="0" w:space="0" w:color="auto"/>
      </w:divBdr>
    </w:div>
    <w:div w:id="1611738318">
      <w:bodyDiv w:val="1"/>
      <w:marLeft w:val="0"/>
      <w:marRight w:val="0"/>
      <w:marTop w:val="0"/>
      <w:marBottom w:val="0"/>
      <w:divBdr>
        <w:top w:val="none" w:sz="0" w:space="0" w:color="auto"/>
        <w:left w:val="none" w:sz="0" w:space="0" w:color="auto"/>
        <w:bottom w:val="none" w:sz="0" w:space="0" w:color="auto"/>
        <w:right w:val="none" w:sz="0" w:space="0" w:color="auto"/>
      </w:divBdr>
    </w:div>
    <w:div w:id="1645811331">
      <w:bodyDiv w:val="1"/>
      <w:marLeft w:val="0"/>
      <w:marRight w:val="0"/>
      <w:marTop w:val="0"/>
      <w:marBottom w:val="0"/>
      <w:divBdr>
        <w:top w:val="none" w:sz="0" w:space="0" w:color="auto"/>
        <w:left w:val="none" w:sz="0" w:space="0" w:color="auto"/>
        <w:bottom w:val="none" w:sz="0" w:space="0" w:color="auto"/>
        <w:right w:val="none" w:sz="0" w:space="0" w:color="auto"/>
      </w:divBdr>
    </w:div>
    <w:div w:id="1910385769">
      <w:bodyDiv w:val="1"/>
      <w:marLeft w:val="0"/>
      <w:marRight w:val="0"/>
      <w:marTop w:val="0"/>
      <w:marBottom w:val="0"/>
      <w:divBdr>
        <w:top w:val="none" w:sz="0" w:space="0" w:color="auto"/>
        <w:left w:val="none" w:sz="0" w:space="0" w:color="auto"/>
        <w:bottom w:val="none" w:sz="0" w:space="0" w:color="auto"/>
        <w:right w:val="none" w:sz="0" w:space="0" w:color="auto"/>
      </w:divBdr>
      <w:divsChild>
        <w:div w:id="1504780450">
          <w:marLeft w:val="0"/>
          <w:marRight w:val="0"/>
          <w:marTop w:val="0"/>
          <w:marBottom w:val="0"/>
          <w:divBdr>
            <w:top w:val="single" w:sz="4" w:space="3" w:color="AAAAAA"/>
            <w:left w:val="single" w:sz="4" w:space="13" w:color="AAAAAA"/>
            <w:bottom w:val="single" w:sz="4" w:space="13" w:color="AAAAAA"/>
            <w:right w:val="single" w:sz="4" w:space="13" w:color="AAAAAA"/>
          </w:divBdr>
        </w:div>
      </w:divsChild>
    </w:div>
    <w:div w:id="2084136208">
      <w:bodyDiv w:val="1"/>
      <w:marLeft w:val="0"/>
      <w:marRight w:val="0"/>
      <w:marTop w:val="0"/>
      <w:marBottom w:val="0"/>
      <w:divBdr>
        <w:top w:val="none" w:sz="0" w:space="0" w:color="auto"/>
        <w:left w:val="none" w:sz="0" w:space="0" w:color="auto"/>
        <w:bottom w:val="none" w:sz="0" w:space="0" w:color="auto"/>
        <w:right w:val="none" w:sz="0" w:space="0" w:color="auto"/>
      </w:divBdr>
    </w:div>
    <w:div w:id="2112427919">
      <w:bodyDiv w:val="1"/>
      <w:marLeft w:val="0"/>
      <w:marRight w:val="0"/>
      <w:marTop w:val="0"/>
      <w:marBottom w:val="0"/>
      <w:divBdr>
        <w:top w:val="none" w:sz="0" w:space="0" w:color="auto"/>
        <w:left w:val="none" w:sz="0" w:space="0" w:color="auto"/>
        <w:bottom w:val="none" w:sz="0" w:space="0" w:color="auto"/>
        <w:right w:val="none" w:sz="0" w:space="0" w:color="auto"/>
      </w:divBdr>
      <w:divsChild>
        <w:div w:id="1576087396">
          <w:marLeft w:val="0"/>
          <w:marRight w:val="0"/>
          <w:marTop w:val="0"/>
          <w:marBottom w:val="0"/>
          <w:divBdr>
            <w:top w:val="none" w:sz="0" w:space="0" w:color="auto"/>
            <w:left w:val="none" w:sz="0" w:space="0" w:color="auto"/>
            <w:bottom w:val="none" w:sz="0" w:space="0" w:color="auto"/>
            <w:right w:val="none" w:sz="0" w:space="0" w:color="auto"/>
          </w:divBdr>
        </w:div>
        <w:div w:id="859664459">
          <w:marLeft w:val="0"/>
          <w:marRight w:val="0"/>
          <w:marTop w:val="0"/>
          <w:marBottom w:val="0"/>
          <w:divBdr>
            <w:top w:val="none" w:sz="0" w:space="0" w:color="auto"/>
            <w:left w:val="none" w:sz="0" w:space="0" w:color="auto"/>
            <w:bottom w:val="none" w:sz="0" w:space="0" w:color="auto"/>
            <w:right w:val="none" w:sz="0" w:space="0" w:color="auto"/>
          </w:divBdr>
        </w:div>
        <w:div w:id="645743957">
          <w:marLeft w:val="0"/>
          <w:marRight w:val="0"/>
          <w:marTop w:val="0"/>
          <w:marBottom w:val="0"/>
          <w:divBdr>
            <w:top w:val="none" w:sz="0" w:space="0" w:color="auto"/>
            <w:left w:val="none" w:sz="0" w:space="0" w:color="auto"/>
            <w:bottom w:val="none" w:sz="0" w:space="0" w:color="auto"/>
            <w:right w:val="none" w:sz="0" w:space="0" w:color="auto"/>
          </w:divBdr>
        </w:div>
        <w:div w:id="1947732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D:\Dropbox\InfiniteSumModeling(ISM)\1.CoreBusiness\1.ConsultingProjects\1.Pipeline&amp;Proposal\2018_GTAPconferenPaper\results\Tables_SingleFlx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ropbox\InfiniteSumModeling(ISM)\1.CoreBusiness\1.ConsultingProjects\1.Pipeline&amp;Proposal\2018_GTAPconferenPaper\results\Tables_SingleFlx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ropbox\InfiniteSumModeling(ISM)\1.CoreBusiness\1.ConsultingProjects\1.Pipeline&amp;Proposal\2018_GTAPconferenPaper\results\Tables_SingleFlx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plotArea>
      <c:layout>
        <c:manualLayout>
          <c:layoutTarget val="inner"/>
          <c:xMode val="edge"/>
          <c:yMode val="edge"/>
          <c:x val="6.4088383124996512E-2"/>
          <c:y val="6.031803189645172E-2"/>
          <c:w val="0.90942473991858663"/>
          <c:h val="0.80898570285619065"/>
        </c:manualLayout>
      </c:layout>
      <c:lineChart>
        <c:grouping val="standard"/>
        <c:ser>
          <c:idx val="0"/>
          <c:order val="0"/>
          <c:tx>
            <c:strRef>
              <c:f>Macro_MEX!$B$39</c:f>
              <c:strCache>
                <c:ptCount val="1"/>
                <c:pt idx="0">
                  <c:v>(1) Gdyn (Fixed L)</c:v>
                </c:pt>
              </c:strCache>
            </c:strRef>
          </c:tx>
          <c:cat>
            <c:numRef>
              <c:f>Macro_MEX!$C$38:$P$38</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Macro_MEX!$C$39:$P$39</c:f>
              <c:numCache>
                <c:formatCode>0.000_ </c:formatCode>
                <c:ptCount val="14"/>
                <c:pt idx="0" formatCode="General">
                  <c:v>0</c:v>
                </c:pt>
                <c:pt idx="1">
                  <c:v>-0.31399900000000008</c:v>
                </c:pt>
                <c:pt idx="2">
                  <c:v>-0.61774200000000068</c:v>
                </c:pt>
                <c:pt idx="3">
                  <c:v>-0.96001300000000001</c:v>
                </c:pt>
                <c:pt idx="4">
                  <c:v>-1.3192299999999988</c:v>
                </c:pt>
                <c:pt idx="5">
                  <c:v>-1.68076</c:v>
                </c:pt>
                <c:pt idx="6">
                  <c:v>-2.0346599999999975</c:v>
                </c:pt>
                <c:pt idx="7">
                  <c:v>-2.3742599999999974</c:v>
                </c:pt>
                <c:pt idx="8">
                  <c:v>-2.6949800000000002</c:v>
                </c:pt>
                <c:pt idx="9">
                  <c:v>-2.9937800000000001</c:v>
                </c:pt>
                <c:pt idx="10">
                  <c:v>-3.26986</c:v>
                </c:pt>
                <c:pt idx="11">
                  <c:v>-3.5225599999999977</c:v>
                </c:pt>
                <c:pt idx="12">
                  <c:v>-3.751659999999998</c:v>
                </c:pt>
                <c:pt idx="13">
                  <c:v>-3.9574399999999987</c:v>
                </c:pt>
              </c:numCache>
            </c:numRef>
          </c:val>
        </c:ser>
        <c:ser>
          <c:idx val="1"/>
          <c:order val="1"/>
          <c:tx>
            <c:strRef>
              <c:f>Macro_MEX!$B$40</c:f>
              <c:strCache>
                <c:ptCount val="1"/>
                <c:pt idx="0">
                  <c:v>(2) Gdyn (Fixed DKHAT)</c:v>
                </c:pt>
              </c:strCache>
            </c:strRef>
          </c:tx>
          <c:cat>
            <c:numRef>
              <c:f>Macro_MEX!$C$38:$P$38</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Macro_MEX!$C$40:$P$40</c:f>
              <c:numCache>
                <c:formatCode>0.000_ </c:formatCode>
                <c:ptCount val="14"/>
                <c:pt idx="0" formatCode="General">
                  <c:v>0</c:v>
                </c:pt>
                <c:pt idx="1">
                  <c:v>-0.17964400000000014</c:v>
                </c:pt>
                <c:pt idx="2">
                  <c:v>-0.2549010000000001</c:v>
                </c:pt>
                <c:pt idx="3">
                  <c:v>-0.35634400000000033</c:v>
                </c:pt>
                <c:pt idx="4">
                  <c:v>-0.47422300000000001</c:v>
                </c:pt>
                <c:pt idx="5">
                  <c:v>-0.60192000000000057</c:v>
                </c:pt>
                <c:pt idx="6">
                  <c:v>-0.73482099999999995</c:v>
                </c:pt>
                <c:pt idx="7">
                  <c:v>-0.86955499999999997</c:v>
                </c:pt>
                <c:pt idx="8">
                  <c:v>-1.0035099999999988</c:v>
                </c:pt>
                <c:pt idx="9">
                  <c:v>-1.13469</c:v>
                </c:pt>
                <c:pt idx="10">
                  <c:v>-1.2625299999999988</c:v>
                </c:pt>
                <c:pt idx="11">
                  <c:v>-1.3866000000000001</c:v>
                </c:pt>
                <c:pt idx="12">
                  <c:v>-1.50658</c:v>
                </c:pt>
                <c:pt idx="13">
                  <c:v>-1.62249</c:v>
                </c:pt>
              </c:numCache>
            </c:numRef>
          </c:val>
        </c:ser>
        <c:ser>
          <c:idx val="2"/>
          <c:order val="2"/>
          <c:tx>
            <c:strRef>
              <c:f>Macro_MEX!$B$41</c:f>
              <c:strCache>
                <c:ptCount val="1"/>
                <c:pt idx="0">
                  <c:v>(3) GTAPISM (Fixed L)</c:v>
                </c:pt>
              </c:strCache>
            </c:strRef>
          </c:tx>
          <c:cat>
            <c:numRef>
              <c:f>Macro_MEX!$C$38:$P$38</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Macro_MEX!$C$41:$P$41</c:f>
              <c:numCache>
                <c:formatCode>0.000_ </c:formatCode>
                <c:ptCount val="14"/>
                <c:pt idx="0" formatCode="General">
                  <c:v>0</c:v>
                </c:pt>
                <c:pt idx="1">
                  <c:v>-0.14538999999999999</c:v>
                </c:pt>
                <c:pt idx="2">
                  <c:v>-0.22927500000000001</c:v>
                </c:pt>
                <c:pt idx="3">
                  <c:v>-0.32106700000000032</c:v>
                </c:pt>
                <c:pt idx="4">
                  <c:v>-0.41690700000000008</c:v>
                </c:pt>
                <c:pt idx="5">
                  <c:v>-0.514123</c:v>
                </c:pt>
                <c:pt idx="6">
                  <c:v>-0.61095699999999997</c:v>
                </c:pt>
                <c:pt idx="7">
                  <c:v>-0.70608000000000004</c:v>
                </c:pt>
                <c:pt idx="8">
                  <c:v>-0.79856599999999944</c:v>
                </c:pt>
                <c:pt idx="9">
                  <c:v>-0.8877119999999995</c:v>
                </c:pt>
                <c:pt idx="10">
                  <c:v>-0.97325899999999999</c:v>
                </c:pt>
                <c:pt idx="11">
                  <c:v>-1.05505</c:v>
                </c:pt>
                <c:pt idx="12">
                  <c:v>-1.13304</c:v>
                </c:pt>
                <c:pt idx="13">
                  <c:v>-1.2072599999999998</c:v>
                </c:pt>
              </c:numCache>
            </c:numRef>
          </c:val>
        </c:ser>
        <c:ser>
          <c:idx val="3"/>
          <c:order val="3"/>
          <c:tx>
            <c:strRef>
              <c:f>Macro_MEX!$B$42</c:f>
              <c:strCache>
                <c:ptCount val="1"/>
                <c:pt idx="0">
                  <c:v>(4) GTAPISM (Sticky-W)</c:v>
                </c:pt>
              </c:strCache>
            </c:strRef>
          </c:tx>
          <c:cat>
            <c:numRef>
              <c:f>Macro_MEX!$C$38:$P$38</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Macro_MEX!$C$42:$P$42</c:f>
              <c:numCache>
                <c:formatCode>0.000_ </c:formatCode>
                <c:ptCount val="14"/>
                <c:pt idx="0" formatCode="General">
                  <c:v>0</c:v>
                </c:pt>
                <c:pt idx="1">
                  <c:v>-0.84353999999999996</c:v>
                </c:pt>
                <c:pt idx="2">
                  <c:v>-0.79777600000000004</c:v>
                </c:pt>
                <c:pt idx="3">
                  <c:v>-0.79738399999999932</c:v>
                </c:pt>
                <c:pt idx="4">
                  <c:v>-0.8268480000000008</c:v>
                </c:pt>
                <c:pt idx="5">
                  <c:v>-0.87588299999999997</c:v>
                </c:pt>
                <c:pt idx="6">
                  <c:v>-0.93703599999999998</c:v>
                </c:pt>
                <c:pt idx="7">
                  <c:v>-1.005129999999999</c:v>
                </c:pt>
                <c:pt idx="8">
                  <c:v>-1.0765</c:v>
                </c:pt>
                <c:pt idx="9">
                  <c:v>-1.1487400000000001</c:v>
                </c:pt>
                <c:pt idx="10">
                  <c:v>-1.22024</c:v>
                </c:pt>
                <c:pt idx="11">
                  <c:v>-1.2899099999999988</c:v>
                </c:pt>
                <c:pt idx="12">
                  <c:v>-1.3570599999999999</c:v>
                </c:pt>
                <c:pt idx="13">
                  <c:v>-1.4213199999999988</c:v>
                </c:pt>
              </c:numCache>
            </c:numRef>
          </c:val>
        </c:ser>
        <c:marker val="1"/>
        <c:axId val="174045056"/>
        <c:axId val="174395776"/>
      </c:lineChart>
      <c:catAx>
        <c:axId val="174045056"/>
        <c:scaling>
          <c:orientation val="minMax"/>
        </c:scaling>
        <c:axPos val="b"/>
        <c:numFmt formatCode="General" sourceLinked="1"/>
        <c:tickLblPos val="nextTo"/>
        <c:crossAx val="174395776"/>
        <c:crosses val="autoZero"/>
        <c:auto val="1"/>
        <c:lblAlgn val="ctr"/>
        <c:lblOffset val="100"/>
      </c:catAx>
      <c:valAx>
        <c:axId val="174395776"/>
        <c:scaling>
          <c:orientation val="minMax"/>
        </c:scaling>
        <c:axPos val="l"/>
        <c:majorGridlines/>
        <c:numFmt formatCode="General" sourceLinked="1"/>
        <c:tickLblPos val="nextTo"/>
        <c:crossAx val="174045056"/>
        <c:crosses val="autoZero"/>
        <c:crossBetween val="between"/>
      </c:valAx>
    </c:plotArea>
    <c:legend>
      <c:legendPos val="b"/>
      <c:layout>
        <c:manualLayout>
          <c:xMode val="edge"/>
          <c:yMode val="edge"/>
          <c:x val="2.8268721406212376E-2"/>
          <c:y val="0.83640299008185037"/>
          <c:w val="0.94346255718757521"/>
          <c:h val="0.16359700991814968"/>
        </c:manualLayout>
      </c:layout>
    </c:legend>
    <c:plotVisOnly val="1"/>
    <c:dispBlanksAs val="gap"/>
  </c:chart>
  <c:txPr>
    <a:bodyPr/>
    <a:lstStyle/>
    <a:p>
      <a:pPr>
        <a:defRPr sz="800" b="1"/>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zh-CN"/>
  <c:chart>
    <c:plotArea>
      <c:layout>
        <c:manualLayout>
          <c:layoutTarget val="inner"/>
          <c:xMode val="edge"/>
          <c:yMode val="edge"/>
          <c:x val="4.9183305493988784E-2"/>
          <c:y val="6.0960735962339682E-2"/>
          <c:w val="0.92432981754959587"/>
          <c:h val="0.78478285628757471"/>
        </c:manualLayout>
      </c:layout>
      <c:lineChart>
        <c:grouping val="standard"/>
        <c:ser>
          <c:idx val="0"/>
          <c:order val="0"/>
          <c:tx>
            <c:strRef>
              <c:f>Macro_MEX!$B$31</c:f>
              <c:strCache>
                <c:ptCount val="1"/>
                <c:pt idx="0">
                  <c:v>(1) Gdyn (Fixed L)</c:v>
                </c:pt>
              </c:strCache>
            </c:strRef>
          </c:tx>
          <c:cat>
            <c:numRef>
              <c:f>Macro_MEX!$C$30:$P$30</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Macro_MEX!$C$31:$P$31</c:f>
              <c:numCache>
                <c:formatCode>0.000_ </c:formatCode>
                <c:ptCount val="14"/>
                <c:pt idx="0" formatCode="General">
                  <c:v>0</c:v>
                </c:pt>
                <c:pt idx="1">
                  <c:v>-2.5953399999999998</c:v>
                </c:pt>
                <c:pt idx="2">
                  <c:v>-3.5112399999999977</c:v>
                </c:pt>
                <c:pt idx="3">
                  <c:v>-4.3548899999999948</c:v>
                </c:pt>
                <c:pt idx="4">
                  <c:v>-5.0926600000000004</c:v>
                </c:pt>
                <c:pt idx="5">
                  <c:v>-5.7255799999999955</c:v>
                </c:pt>
                <c:pt idx="6">
                  <c:v>-6.2560500000000001</c:v>
                </c:pt>
                <c:pt idx="7">
                  <c:v>-6.6880499999999996</c:v>
                </c:pt>
                <c:pt idx="8">
                  <c:v>-7.0246399999999953</c:v>
                </c:pt>
                <c:pt idx="9">
                  <c:v>-7.26675</c:v>
                </c:pt>
                <c:pt idx="10">
                  <c:v>-7.4264099999999997</c:v>
                </c:pt>
                <c:pt idx="11">
                  <c:v>-7.512939999999996</c:v>
                </c:pt>
                <c:pt idx="12">
                  <c:v>-7.5346700000000002</c:v>
                </c:pt>
                <c:pt idx="13">
                  <c:v>-7.5009399999999955</c:v>
                </c:pt>
              </c:numCache>
            </c:numRef>
          </c:val>
        </c:ser>
        <c:ser>
          <c:idx val="1"/>
          <c:order val="1"/>
          <c:tx>
            <c:strRef>
              <c:f>Macro_MEX!$B$32</c:f>
              <c:strCache>
                <c:ptCount val="1"/>
                <c:pt idx="0">
                  <c:v>(2) Gdyn (Fixed DKHAT)</c:v>
                </c:pt>
              </c:strCache>
            </c:strRef>
          </c:tx>
          <c:cat>
            <c:numRef>
              <c:f>Macro_MEX!$C$30:$P$30</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Macro_MEX!$C$32:$P$32</c:f>
              <c:numCache>
                <c:formatCode>0.000_ </c:formatCode>
                <c:ptCount val="14"/>
                <c:pt idx="0" formatCode="General">
                  <c:v>0</c:v>
                </c:pt>
                <c:pt idx="1">
                  <c:v>-0.12839800000000001</c:v>
                </c:pt>
                <c:pt idx="2">
                  <c:v>-0.38856000000000041</c:v>
                </c:pt>
                <c:pt idx="3">
                  <c:v>-0.65100800000000081</c:v>
                </c:pt>
                <c:pt idx="4">
                  <c:v>-0.91490899999999997</c:v>
                </c:pt>
                <c:pt idx="5">
                  <c:v>-1.1743500000000011</c:v>
                </c:pt>
                <c:pt idx="6">
                  <c:v>-1.4237899999999988</c:v>
                </c:pt>
                <c:pt idx="7">
                  <c:v>-1.6586700000000001</c:v>
                </c:pt>
                <c:pt idx="8">
                  <c:v>-1.87571</c:v>
                </c:pt>
                <c:pt idx="9">
                  <c:v>-2.0708299999999977</c:v>
                </c:pt>
                <c:pt idx="10">
                  <c:v>-2.2453799999999999</c:v>
                </c:pt>
                <c:pt idx="11">
                  <c:v>-2.4013900000000001</c:v>
                </c:pt>
                <c:pt idx="12">
                  <c:v>-2.5409299999999999</c:v>
                </c:pt>
                <c:pt idx="13">
                  <c:v>-2.66675</c:v>
                </c:pt>
              </c:numCache>
            </c:numRef>
          </c:val>
        </c:ser>
        <c:ser>
          <c:idx val="2"/>
          <c:order val="2"/>
          <c:tx>
            <c:strRef>
              <c:f>Macro_MEX!$B$33</c:f>
              <c:strCache>
                <c:ptCount val="1"/>
                <c:pt idx="0">
                  <c:v>(3) GTAPISM (Fixed L)</c:v>
                </c:pt>
              </c:strCache>
            </c:strRef>
          </c:tx>
          <c:cat>
            <c:numRef>
              <c:f>Macro_MEX!$C$30:$P$30</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Macro_MEX!$C$33:$P$33</c:f>
              <c:numCache>
                <c:formatCode>0.000_ </c:formatCode>
                <c:ptCount val="14"/>
                <c:pt idx="0" formatCode="General">
                  <c:v>0</c:v>
                </c:pt>
                <c:pt idx="1">
                  <c:v>-1.7487199999999998</c:v>
                </c:pt>
                <c:pt idx="2">
                  <c:v>-2.0403099999999998</c:v>
                </c:pt>
                <c:pt idx="3">
                  <c:v>-2.2659099999999999</c:v>
                </c:pt>
                <c:pt idx="4">
                  <c:v>-2.4418199999999977</c:v>
                </c:pt>
                <c:pt idx="5">
                  <c:v>-2.5788199999999977</c:v>
                </c:pt>
                <c:pt idx="6">
                  <c:v>-2.6848000000000001</c:v>
                </c:pt>
                <c:pt idx="7">
                  <c:v>-2.7656299999999998</c:v>
                </c:pt>
                <c:pt idx="8">
                  <c:v>-2.8257300000000001</c:v>
                </c:pt>
                <c:pt idx="9">
                  <c:v>-2.8690799999999976</c:v>
                </c:pt>
                <c:pt idx="10">
                  <c:v>-2.8991099999999976</c:v>
                </c:pt>
                <c:pt idx="11">
                  <c:v>-2.918479999999998</c:v>
                </c:pt>
                <c:pt idx="12">
                  <c:v>-2.9290799999999977</c:v>
                </c:pt>
                <c:pt idx="13">
                  <c:v>-2.932509999999998</c:v>
                </c:pt>
              </c:numCache>
            </c:numRef>
          </c:val>
        </c:ser>
        <c:ser>
          <c:idx val="3"/>
          <c:order val="3"/>
          <c:tx>
            <c:strRef>
              <c:f>Macro_MEX!$B$34</c:f>
              <c:strCache>
                <c:ptCount val="1"/>
                <c:pt idx="0">
                  <c:v>(4) GTAPISM (Sticky-W)</c:v>
                </c:pt>
              </c:strCache>
            </c:strRef>
          </c:tx>
          <c:cat>
            <c:numRef>
              <c:f>Macro_MEX!$C$30:$P$30</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Macro_MEX!$C$34:$P$34</c:f>
              <c:numCache>
                <c:formatCode>0.000_ </c:formatCode>
                <c:ptCount val="14"/>
                <c:pt idx="0" formatCode="General">
                  <c:v>0</c:v>
                </c:pt>
                <c:pt idx="1">
                  <c:v>-2.91879</c:v>
                </c:pt>
                <c:pt idx="2">
                  <c:v>-2.9184399999999977</c:v>
                </c:pt>
                <c:pt idx="3">
                  <c:v>-2.9359399999999987</c:v>
                </c:pt>
                <c:pt idx="4">
                  <c:v>-2.9618399999999987</c:v>
                </c:pt>
                <c:pt idx="5">
                  <c:v>-2.990269999999998</c:v>
                </c:pt>
                <c:pt idx="6">
                  <c:v>-3.0171199999999998</c:v>
                </c:pt>
                <c:pt idx="7">
                  <c:v>-3.0398599999999969</c:v>
                </c:pt>
                <c:pt idx="8">
                  <c:v>-3.0568299999999979</c:v>
                </c:pt>
                <c:pt idx="9">
                  <c:v>-3.0680800000000001</c:v>
                </c:pt>
                <c:pt idx="10">
                  <c:v>-3.0736699999999977</c:v>
                </c:pt>
                <c:pt idx="11">
                  <c:v>-3.07395</c:v>
                </c:pt>
                <c:pt idx="12">
                  <c:v>-3.06915</c:v>
                </c:pt>
                <c:pt idx="13">
                  <c:v>-3.0596899999999976</c:v>
                </c:pt>
              </c:numCache>
            </c:numRef>
          </c:val>
        </c:ser>
        <c:marker val="1"/>
        <c:axId val="181748480"/>
        <c:axId val="181750784"/>
      </c:lineChart>
      <c:catAx>
        <c:axId val="181748480"/>
        <c:scaling>
          <c:orientation val="minMax"/>
        </c:scaling>
        <c:axPos val="b"/>
        <c:numFmt formatCode="General" sourceLinked="1"/>
        <c:tickLblPos val="nextTo"/>
        <c:crossAx val="181750784"/>
        <c:crosses val="autoZero"/>
        <c:auto val="1"/>
        <c:lblAlgn val="ctr"/>
        <c:lblOffset val="100"/>
      </c:catAx>
      <c:valAx>
        <c:axId val="181750784"/>
        <c:scaling>
          <c:orientation val="minMax"/>
        </c:scaling>
        <c:axPos val="l"/>
        <c:majorGridlines/>
        <c:numFmt formatCode="General" sourceLinked="1"/>
        <c:tickLblPos val="nextTo"/>
        <c:crossAx val="181748480"/>
        <c:crosses val="autoZero"/>
        <c:crossBetween val="between"/>
      </c:valAx>
    </c:plotArea>
    <c:legend>
      <c:legendPos val="b"/>
      <c:layout>
        <c:manualLayout>
          <c:xMode val="edge"/>
          <c:yMode val="edge"/>
          <c:x val="1.3821333975439439E-2"/>
          <c:y val="0.8346598220749436"/>
          <c:w val="0.98439682157476527"/>
          <c:h val="0.16534017792505712"/>
        </c:manualLayout>
      </c:layout>
    </c:legend>
    <c:plotVisOnly val="1"/>
    <c:dispBlanksAs val="gap"/>
  </c:chart>
  <c:txPr>
    <a:bodyPr/>
    <a:lstStyle/>
    <a:p>
      <a:pPr>
        <a:defRPr sz="800" b="1"/>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plotArea>
      <c:layout>
        <c:manualLayout>
          <c:layoutTarget val="inner"/>
          <c:xMode val="edge"/>
          <c:yMode val="edge"/>
          <c:x val="6.4088383124996512E-2"/>
          <c:y val="5.8588474887897708E-2"/>
          <c:w val="0.90942473991858663"/>
          <c:h val="0.78783171477603853"/>
        </c:manualLayout>
      </c:layout>
      <c:lineChart>
        <c:grouping val="standard"/>
        <c:ser>
          <c:idx val="0"/>
          <c:order val="0"/>
          <c:tx>
            <c:strRef>
              <c:f>Macro_MEX!$B$47</c:f>
              <c:strCache>
                <c:ptCount val="1"/>
                <c:pt idx="0">
                  <c:v>Real wage (Unskilled)</c:v>
                </c:pt>
              </c:strCache>
            </c:strRef>
          </c:tx>
          <c:cat>
            <c:numRef>
              <c:f>Macro_MEX!$C$46:$P$46</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Macro_MEX!$C$47:$P$47</c:f>
              <c:numCache>
                <c:formatCode>0.000_ </c:formatCode>
                <c:ptCount val="14"/>
                <c:pt idx="0" formatCode="General">
                  <c:v>0</c:v>
                </c:pt>
                <c:pt idx="1">
                  <c:v>-0.4458470000000001</c:v>
                </c:pt>
                <c:pt idx="2">
                  <c:v>-0.77974700000000086</c:v>
                </c:pt>
                <c:pt idx="3">
                  <c:v>-1.0339499999999988</c:v>
                </c:pt>
                <c:pt idx="4">
                  <c:v>-1.2311199999999998</c:v>
                </c:pt>
                <c:pt idx="5">
                  <c:v>-1.38758</c:v>
                </c:pt>
                <c:pt idx="6">
                  <c:v>-1.5147899999999999</c:v>
                </c:pt>
                <c:pt idx="7">
                  <c:v>-1.62094</c:v>
                </c:pt>
                <c:pt idx="8">
                  <c:v>-1.7116699999999987</c:v>
                </c:pt>
                <c:pt idx="9">
                  <c:v>-1.7909899999999999</c:v>
                </c:pt>
                <c:pt idx="10">
                  <c:v>-1.86174</c:v>
                </c:pt>
                <c:pt idx="11">
                  <c:v>-1.92584</c:v>
                </c:pt>
                <c:pt idx="12">
                  <c:v>-1.9845600000000001</c:v>
                </c:pt>
                <c:pt idx="13">
                  <c:v>-2.0388099999999976</c:v>
                </c:pt>
              </c:numCache>
            </c:numRef>
          </c:val>
        </c:ser>
        <c:ser>
          <c:idx val="1"/>
          <c:order val="1"/>
          <c:tx>
            <c:strRef>
              <c:f>Macro_MEX!$B$48</c:f>
              <c:strCache>
                <c:ptCount val="1"/>
                <c:pt idx="0">
                  <c:v>Real wage (Skilled)</c:v>
                </c:pt>
              </c:strCache>
            </c:strRef>
          </c:tx>
          <c:cat>
            <c:numRef>
              <c:f>Macro_MEX!$C$46:$P$46</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Macro_MEX!$C$48:$P$48</c:f>
              <c:numCache>
                <c:formatCode>0.000_ </c:formatCode>
                <c:ptCount val="14"/>
                <c:pt idx="0" formatCode="General">
                  <c:v>0</c:v>
                </c:pt>
                <c:pt idx="1">
                  <c:v>-0.37171100000000001</c:v>
                </c:pt>
                <c:pt idx="2">
                  <c:v>-0.64346999999999999</c:v>
                </c:pt>
                <c:pt idx="3">
                  <c:v>-0.84606300000000001</c:v>
                </c:pt>
                <c:pt idx="4">
                  <c:v>-1.0007199999999998</c:v>
                </c:pt>
                <c:pt idx="5">
                  <c:v>-1.12226</c:v>
                </c:pt>
                <c:pt idx="6">
                  <c:v>-1.2208199999999998</c:v>
                </c:pt>
                <c:pt idx="7">
                  <c:v>-1.3032899999999998</c:v>
                </c:pt>
                <c:pt idx="8">
                  <c:v>-1.37436</c:v>
                </c:pt>
                <c:pt idx="9">
                  <c:v>-1.4372999999999987</c:v>
                </c:pt>
                <c:pt idx="10">
                  <c:v>-1.49424</c:v>
                </c:pt>
                <c:pt idx="11">
                  <c:v>-1.54654</c:v>
                </c:pt>
                <c:pt idx="12">
                  <c:v>-1.5950599999999999</c:v>
                </c:pt>
                <c:pt idx="13">
                  <c:v>-1.6403000000000001</c:v>
                </c:pt>
              </c:numCache>
            </c:numRef>
          </c:val>
        </c:ser>
        <c:ser>
          <c:idx val="2"/>
          <c:order val="2"/>
          <c:tx>
            <c:strRef>
              <c:f>Macro_MEX!$B$49</c:f>
              <c:strCache>
                <c:ptCount val="1"/>
                <c:pt idx="0">
                  <c:v>Employment (Unskilled)</c:v>
                </c:pt>
              </c:strCache>
            </c:strRef>
          </c:tx>
          <c:cat>
            <c:numRef>
              <c:f>Macro_MEX!$C$46:$P$46</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Macro_MEX!$C$49:$P$49</c:f>
              <c:numCache>
                <c:formatCode>0.000_ </c:formatCode>
                <c:ptCount val="14"/>
                <c:pt idx="0" formatCode="General">
                  <c:v>0</c:v>
                </c:pt>
                <c:pt idx="1">
                  <c:v>-2.2292299999999998</c:v>
                </c:pt>
                <c:pt idx="2">
                  <c:v>-1.67059</c:v>
                </c:pt>
                <c:pt idx="3">
                  <c:v>-1.2720400000000001</c:v>
                </c:pt>
                <c:pt idx="4">
                  <c:v>-0.98683900000000002</c:v>
                </c:pt>
                <c:pt idx="5">
                  <c:v>-0.78326299999999927</c:v>
                </c:pt>
                <c:pt idx="6">
                  <c:v>-0.63724899999999995</c:v>
                </c:pt>
                <c:pt idx="7">
                  <c:v>-0.53187300000000004</c:v>
                </c:pt>
                <c:pt idx="8">
                  <c:v>-0.45482200000000034</c:v>
                </c:pt>
                <c:pt idx="9">
                  <c:v>-0.39791800000000055</c:v>
                </c:pt>
                <c:pt idx="10">
                  <c:v>-0.35495500000000002</c:v>
                </c:pt>
                <c:pt idx="11">
                  <c:v>-0.32160900000000031</c:v>
                </c:pt>
                <c:pt idx="12">
                  <c:v>-0.29474</c:v>
                </c:pt>
                <c:pt idx="13">
                  <c:v>-0.27228000000000002</c:v>
                </c:pt>
              </c:numCache>
            </c:numRef>
          </c:val>
        </c:ser>
        <c:ser>
          <c:idx val="3"/>
          <c:order val="3"/>
          <c:tx>
            <c:strRef>
              <c:f>Macro_MEX!$B$50</c:f>
              <c:strCache>
                <c:ptCount val="1"/>
                <c:pt idx="0">
                  <c:v>Employment (Skilled)</c:v>
                </c:pt>
              </c:strCache>
            </c:strRef>
          </c:tx>
          <c:cat>
            <c:numRef>
              <c:f>Macro_MEX!$C$46:$P$46</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Macro_MEX!$C$50:$P$50</c:f>
              <c:numCache>
                <c:formatCode>0.000_ </c:formatCode>
                <c:ptCount val="14"/>
                <c:pt idx="0" formatCode="General">
                  <c:v>0</c:v>
                </c:pt>
                <c:pt idx="1">
                  <c:v>-1.85856</c:v>
                </c:pt>
                <c:pt idx="2">
                  <c:v>-1.3587499999999999</c:v>
                </c:pt>
                <c:pt idx="3">
                  <c:v>-1.012929999999999</c:v>
                </c:pt>
                <c:pt idx="4">
                  <c:v>-0.77327900000000083</c:v>
                </c:pt>
                <c:pt idx="5">
                  <c:v>-0.60778399999999999</c:v>
                </c:pt>
                <c:pt idx="6">
                  <c:v>-0.49286100000000038</c:v>
                </c:pt>
                <c:pt idx="7">
                  <c:v>-0.41251300000000002</c:v>
                </c:pt>
                <c:pt idx="8">
                  <c:v>-0.35548800000000047</c:v>
                </c:pt>
                <c:pt idx="9">
                  <c:v>-0.31483300000000031</c:v>
                </c:pt>
                <c:pt idx="10">
                  <c:v>-0.284744</c:v>
                </c:pt>
                <c:pt idx="11">
                  <c:v>-0.26144800000000001</c:v>
                </c:pt>
                <c:pt idx="12">
                  <c:v>-0.24245700000000017</c:v>
                </c:pt>
                <c:pt idx="13">
                  <c:v>-0.226161</c:v>
                </c:pt>
              </c:numCache>
            </c:numRef>
          </c:val>
        </c:ser>
        <c:marker val="1"/>
        <c:axId val="93252224"/>
        <c:axId val="170881408"/>
      </c:lineChart>
      <c:catAx>
        <c:axId val="93252224"/>
        <c:scaling>
          <c:orientation val="minMax"/>
        </c:scaling>
        <c:axPos val="b"/>
        <c:numFmt formatCode="General" sourceLinked="1"/>
        <c:tickLblPos val="nextTo"/>
        <c:crossAx val="170881408"/>
        <c:crosses val="autoZero"/>
        <c:auto val="1"/>
        <c:lblAlgn val="ctr"/>
        <c:lblOffset val="100"/>
      </c:catAx>
      <c:valAx>
        <c:axId val="170881408"/>
        <c:scaling>
          <c:orientation val="minMax"/>
        </c:scaling>
        <c:axPos val="l"/>
        <c:majorGridlines/>
        <c:numFmt formatCode="General" sourceLinked="1"/>
        <c:tickLblPos val="nextTo"/>
        <c:crossAx val="93252224"/>
        <c:crosses val="autoZero"/>
        <c:crossBetween val="between"/>
      </c:valAx>
    </c:plotArea>
    <c:legend>
      <c:legendPos val="b"/>
      <c:layout>
        <c:manualLayout>
          <c:xMode val="edge"/>
          <c:yMode val="edge"/>
          <c:x val="0"/>
          <c:y val="0.83576773968431861"/>
          <c:w val="0.97481338791235195"/>
          <c:h val="0.15890603532587294"/>
        </c:manualLayout>
      </c:layout>
    </c:legend>
    <c:plotVisOnly val="1"/>
    <c:dispBlanksAs val="gap"/>
  </c:chart>
  <c:txPr>
    <a:bodyPr/>
    <a:lstStyle/>
    <a:p>
      <a:pPr>
        <a:defRPr sz="800" b="1"/>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4F01FF-73B8-4A25-900B-2B551FD31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22</Pages>
  <Words>7532</Words>
  <Characters>42937</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msi1</dc:creator>
  <cp:lastModifiedBy>msi1</cp:lastModifiedBy>
  <cp:revision>3</cp:revision>
  <dcterms:created xsi:type="dcterms:W3CDTF">2018-04-16T01:04:00Z</dcterms:created>
  <dcterms:modified xsi:type="dcterms:W3CDTF">2018-04-16T01:15:00Z</dcterms:modified>
</cp:coreProperties>
</file>