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21D" w:rsidRDefault="008D67C4" w:rsidP="00E132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Giving GTAP short-run to long-run dynamics: industry-specific capital and sticky-wage rates</w:t>
      </w:r>
    </w:p>
    <w:p w:rsidR="00E132A9" w:rsidRDefault="00E132A9" w:rsidP="002E4C30">
      <w:pPr>
        <w:spacing w:before="120" w:after="0" w:line="240" w:lineRule="auto"/>
        <w:jc w:val="center"/>
        <w:rPr>
          <w:rFonts w:ascii="Times New Roman" w:hAnsi="Times New Roman" w:cs="Times New Roman"/>
          <w:b/>
          <w:sz w:val="24"/>
          <w:szCs w:val="24"/>
        </w:rPr>
      </w:pPr>
    </w:p>
    <w:p w:rsidR="00E132A9" w:rsidRPr="00E132A9" w:rsidRDefault="00E132A9" w:rsidP="002E4C30">
      <w:pPr>
        <w:spacing w:before="120" w:after="0" w:line="240" w:lineRule="auto"/>
        <w:jc w:val="center"/>
        <w:rPr>
          <w:rFonts w:ascii="Times New Roman" w:hAnsi="Times New Roman" w:cs="Times New Roman"/>
          <w:b/>
          <w:i/>
          <w:sz w:val="24"/>
          <w:szCs w:val="24"/>
        </w:rPr>
      </w:pPr>
    </w:p>
    <w:p w:rsidR="002E4C30" w:rsidRPr="0034602C" w:rsidRDefault="002E4C30" w:rsidP="002E4C30">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 xml:space="preserve">By </w:t>
      </w:r>
    </w:p>
    <w:p w:rsidR="002E4C30" w:rsidRPr="0034602C" w:rsidRDefault="002E4C30" w:rsidP="002E4C30">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 xml:space="preserve">Peter B. Dixon, Maureen Rimmer and Nhi Tran </w:t>
      </w:r>
    </w:p>
    <w:p w:rsidR="002E4C30" w:rsidRPr="0034602C" w:rsidRDefault="002E4C30" w:rsidP="002E4C30">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Centre of Policy Studies</w:t>
      </w:r>
    </w:p>
    <w:p w:rsidR="002E4C30" w:rsidRPr="0034602C" w:rsidRDefault="004D023D" w:rsidP="002E4C3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April 10, 2019</w:t>
      </w:r>
    </w:p>
    <w:p w:rsidR="008D67C4" w:rsidRDefault="008D67C4" w:rsidP="008D67C4">
      <w:pPr>
        <w:spacing w:before="120" w:after="0" w:line="240" w:lineRule="auto"/>
        <w:rPr>
          <w:rFonts w:ascii="Times New Roman" w:hAnsi="Times New Roman" w:cs="Times New Roman"/>
          <w:b/>
          <w:sz w:val="24"/>
          <w:szCs w:val="24"/>
          <w:lang w:val="en-US"/>
        </w:rPr>
      </w:pPr>
    </w:p>
    <w:p w:rsidR="008D67C4" w:rsidRPr="008D67C4" w:rsidRDefault="004D023D" w:rsidP="008D67C4">
      <w:pPr>
        <w:spacing w:before="120" w:after="0" w:line="240" w:lineRule="auto"/>
        <w:rPr>
          <w:rFonts w:ascii="Times New Roman" w:hAnsi="Times New Roman" w:cs="Times New Roman"/>
          <w:b/>
          <w:sz w:val="24"/>
          <w:szCs w:val="24"/>
          <w:lang w:val="en-US"/>
        </w:rPr>
      </w:pPr>
      <w:r w:rsidRPr="008D67C4">
        <w:rPr>
          <w:rFonts w:ascii="Times New Roman" w:hAnsi="Times New Roman" w:cs="Times New Roman"/>
          <w:b/>
          <w:sz w:val="24"/>
          <w:szCs w:val="24"/>
          <w:lang w:val="en-US"/>
        </w:rPr>
        <w:t>Abstract</w:t>
      </w:r>
    </w:p>
    <w:p w:rsidR="004D023D" w:rsidRDefault="008D67C4" w:rsidP="008D67C4">
      <w:pPr>
        <w:spacing w:before="120" w:after="0" w:line="240" w:lineRule="auto"/>
        <w:rPr>
          <w:rFonts w:ascii="Times New Roman" w:hAnsi="Times New Roman" w:cs="Times New Roman"/>
          <w:sz w:val="24"/>
          <w:szCs w:val="24"/>
        </w:rPr>
      </w:pPr>
      <w:r>
        <w:rPr>
          <w:rFonts w:ascii="Times New Roman" w:hAnsi="Times New Roman" w:cs="Times New Roman"/>
          <w:sz w:val="24"/>
          <w:szCs w:val="24"/>
          <w:lang w:val="en-US"/>
        </w:rPr>
        <w:t>In standard GTAP</w:t>
      </w:r>
      <w:r w:rsidR="004D023D">
        <w:rPr>
          <w:rFonts w:ascii="Times New Roman" w:hAnsi="Times New Roman" w:cs="Times New Roman"/>
          <w:sz w:val="24"/>
          <w:szCs w:val="24"/>
          <w:lang w:val="en-US"/>
        </w:rPr>
        <w:t xml:space="preserve"> capital in each country is completely mobile between industries. Labor markets are characterized by either fixed real wages with completely elastic employment or completely flexible real wages that adjust to eliminate policy-induced movements in aggregate employment. These capital and labor assumptions limit the usefulness of standard GTAP as a tool for analyzing the path of impacts of policy changes from short-run to long-run. </w:t>
      </w:r>
      <w:r w:rsidR="004D023D">
        <w:rPr>
          <w:rFonts w:ascii="Times New Roman" w:hAnsi="Times New Roman" w:cs="Times New Roman"/>
          <w:sz w:val="24"/>
          <w:szCs w:val="24"/>
        </w:rPr>
        <w:t xml:space="preserve">This paper </w:t>
      </w:r>
      <w:r w:rsidR="004D023D" w:rsidRPr="002E0C24">
        <w:rPr>
          <w:rFonts w:ascii="Times New Roman" w:hAnsi="Times New Roman" w:cs="Times New Roman"/>
          <w:sz w:val="24"/>
          <w:szCs w:val="24"/>
        </w:rPr>
        <w:t xml:space="preserve">describes </w:t>
      </w:r>
      <w:r w:rsidR="004D023D">
        <w:rPr>
          <w:rFonts w:ascii="Times New Roman" w:hAnsi="Times New Roman" w:cs="Times New Roman"/>
          <w:sz w:val="24"/>
          <w:szCs w:val="24"/>
        </w:rPr>
        <w:t xml:space="preserve">modifications to standard GTAP </w:t>
      </w:r>
      <w:r w:rsidR="0055392F">
        <w:rPr>
          <w:rFonts w:ascii="Times New Roman" w:hAnsi="Times New Roman" w:cs="Times New Roman"/>
          <w:sz w:val="24"/>
          <w:szCs w:val="24"/>
        </w:rPr>
        <w:t>to</w:t>
      </w:r>
      <w:r w:rsidR="004D023D">
        <w:rPr>
          <w:rFonts w:ascii="Times New Roman" w:hAnsi="Times New Roman" w:cs="Times New Roman"/>
          <w:sz w:val="24"/>
          <w:szCs w:val="24"/>
        </w:rPr>
        <w:t xml:space="preserve"> enhance its depiction of both capital and labor markets. </w:t>
      </w:r>
    </w:p>
    <w:p w:rsidR="004D023D" w:rsidRPr="00C75576" w:rsidRDefault="004D023D" w:rsidP="004D023D">
      <w:pPr>
        <w:spacing w:before="120" w:after="0" w:line="240" w:lineRule="auto"/>
        <w:rPr>
          <w:rFonts w:ascii="Times New Roman" w:hAnsi="Times New Roman"/>
          <w:sz w:val="24"/>
          <w:szCs w:val="24"/>
        </w:rPr>
      </w:pPr>
      <w:r>
        <w:rPr>
          <w:rFonts w:ascii="Times New Roman" w:hAnsi="Times New Roman" w:cs="Times New Roman"/>
          <w:sz w:val="24"/>
          <w:szCs w:val="24"/>
        </w:rPr>
        <w:t>With regard to capital</w:t>
      </w:r>
      <w:r>
        <w:rPr>
          <w:rFonts w:ascii="Times New Roman" w:hAnsi="Times New Roman"/>
          <w:sz w:val="24"/>
          <w:szCs w:val="24"/>
        </w:rPr>
        <w:t xml:space="preserve">, we introduce industry specificity </w:t>
      </w:r>
      <w:r w:rsidRPr="00C75576">
        <w:rPr>
          <w:rFonts w:ascii="Times New Roman" w:hAnsi="Times New Roman"/>
          <w:sz w:val="24"/>
          <w:szCs w:val="24"/>
        </w:rPr>
        <w:t xml:space="preserve">mainly by a closure swap with little disruption to the standard model: the key idea </w:t>
      </w:r>
      <w:r>
        <w:rPr>
          <w:rFonts w:ascii="Times New Roman" w:hAnsi="Times New Roman"/>
          <w:sz w:val="24"/>
          <w:szCs w:val="24"/>
        </w:rPr>
        <w:t>is</w:t>
      </w:r>
      <w:r w:rsidRPr="00C75576">
        <w:rPr>
          <w:rFonts w:ascii="Times New Roman" w:hAnsi="Times New Roman"/>
          <w:sz w:val="24"/>
          <w:szCs w:val="24"/>
        </w:rPr>
        <w:t xml:space="preserve"> to endogenize a phantom tax on the use of capital by each industry in each region while exogenizing or pre-determining start-of-year capital availability in each industry and each region. A simplifying assumption that we retained from standard GTAP is that the commodity composition of investment is the same across industries in any given region.    </w:t>
      </w:r>
    </w:p>
    <w:p w:rsidR="004D023D" w:rsidRDefault="004D023D" w:rsidP="004D023D">
      <w:pPr>
        <w:spacing w:before="120" w:after="0" w:line="240" w:lineRule="auto"/>
        <w:rPr>
          <w:rFonts w:ascii="Times New Roman" w:hAnsi="Times New Roman" w:cs="Times New Roman"/>
          <w:sz w:val="24"/>
          <w:szCs w:val="24"/>
        </w:rPr>
      </w:pPr>
      <w:r>
        <w:rPr>
          <w:rFonts w:ascii="Times New Roman" w:hAnsi="Times New Roman" w:cs="Times New Roman"/>
          <w:sz w:val="24"/>
          <w:szCs w:val="24"/>
        </w:rPr>
        <w:t>With regard to labor</w:t>
      </w:r>
      <w:r>
        <w:rPr>
          <w:rFonts w:ascii="Times New Roman" w:hAnsi="Times New Roman"/>
          <w:sz w:val="24"/>
          <w:szCs w:val="24"/>
        </w:rPr>
        <w:t xml:space="preserve">, we introduce an approach that has been used by the Centre of Policy Studies (CoPS) for the last 20 years in single-country models to trace out the deviations from basecase paths for employment by occupation generated by policy and other shocks. In the simplest version of these models, we assume </w:t>
      </w:r>
      <w:r>
        <w:rPr>
          <w:rFonts w:ascii="Times New Roman" w:hAnsi="Times New Roman" w:cs="Times New Roman"/>
          <w:sz w:val="24"/>
          <w:szCs w:val="24"/>
        </w:rPr>
        <w:t>in policy simulations</w:t>
      </w:r>
      <w:r w:rsidRPr="00AB6FB4">
        <w:rPr>
          <w:rFonts w:ascii="Times New Roman" w:hAnsi="Times New Roman" w:cs="Times New Roman"/>
          <w:sz w:val="24"/>
          <w:szCs w:val="24"/>
        </w:rPr>
        <w:t xml:space="preserve"> that the deviation</w:t>
      </w:r>
      <w:r>
        <w:rPr>
          <w:rFonts w:ascii="Times New Roman" w:hAnsi="Times New Roman" w:cs="Times New Roman"/>
          <w:sz w:val="24"/>
          <w:szCs w:val="24"/>
        </w:rPr>
        <w:t xml:space="preserve"> </w:t>
      </w:r>
      <w:r w:rsidRPr="00AB6FB4">
        <w:rPr>
          <w:rFonts w:ascii="Times New Roman" w:hAnsi="Times New Roman" w:cs="Times New Roman"/>
          <w:sz w:val="24"/>
          <w:szCs w:val="24"/>
        </w:rPr>
        <w:t xml:space="preserve">in the real wage rate </w:t>
      </w:r>
      <w:r>
        <w:rPr>
          <w:rFonts w:ascii="Times New Roman" w:hAnsi="Times New Roman" w:cs="Times New Roman"/>
          <w:sz w:val="24"/>
          <w:szCs w:val="24"/>
        </w:rPr>
        <w:t xml:space="preserve">for an occupation </w:t>
      </w:r>
      <w:r w:rsidRPr="00AB6FB4">
        <w:rPr>
          <w:rFonts w:ascii="Times New Roman" w:hAnsi="Times New Roman" w:cs="Times New Roman"/>
          <w:sz w:val="24"/>
          <w:szCs w:val="24"/>
        </w:rPr>
        <w:t xml:space="preserve">from its basecase forecast </w:t>
      </w:r>
      <w:r>
        <w:rPr>
          <w:rFonts w:ascii="Times New Roman" w:hAnsi="Times New Roman" w:cs="Times New Roman"/>
          <w:sz w:val="24"/>
          <w:szCs w:val="24"/>
        </w:rPr>
        <w:t>path</w:t>
      </w:r>
      <w:r w:rsidRPr="00AB6FB4">
        <w:rPr>
          <w:rFonts w:ascii="Times New Roman" w:hAnsi="Times New Roman" w:cs="Times New Roman"/>
          <w:sz w:val="24"/>
          <w:szCs w:val="24"/>
        </w:rPr>
        <w:t xml:space="preserve"> increases at a rate which is proportional to the deviation in employment from its basecase forecast </w:t>
      </w:r>
      <w:r>
        <w:rPr>
          <w:rFonts w:ascii="Times New Roman" w:hAnsi="Times New Roman" w:cs="Times New Roman"/>
          <w:sz w:val="24"/>
          <w:szCs w:val="24"/>
        </w:rPr>
        <w:t>path</w:t>
      </w:r>
      <w:r w:rsidRPr="00AB6FB4">
        <w:rPr>
          <w:rFonts w:ascii="Times New Roman" w:hAnsi="Times New Roman" w:cs="Times New Roman"/>
          <w:sz w:val="24"/>
          <w:szCs w:val="24"/>
        </w:rPr>
        <w:t xml:space="preserve">. </w:t>
      </w:r>
      <w:r w:rsidR="0055392F">
        <w:rPr>
          <w:rFonts w:ascii="Times New Roman" w:hAnsi="Times New Roman" w:cs="Times New Roman"/>
          <w:sz w:val="24"/>
          <w:szCs w:val="24"/>
        </w:rPr>
        <w:t>T</w:t>
      </w:r>
      <w:r w:rsidRPr="00AB6FB4">
        <w:rPr>
          <w:rFonts w:ascii="Times New Roman" w:hAnsi="Times New Roman" w:cs="Times New Roman"/>
          <w:sz w:val="24"/>
          <w:szCs w:val="24"/>
        </w:rPr>
        <w:t xml:space="preserve">he coefficient of proportionality is chosen so that the employment effects of a shock to the economy are largely eliminated after 5 years. </w:t>
      </w:r>
      <w:r>
        <w:rPr>
          <w:rFonts w:ascii="Times New Roman" w:hAnsi="Times New Roman" w:cs="Times New Roman"/>
          <w:sz w:val="24"/>
          <w:szCs w:val="24"/>
        </w:rPr>
        <w:t xml:space="preserve">In more elaborate CoPS’ models, the wage specification takes account not only of deviations in demand for labor but also of deviations in supply.  </w:t>
      </w:r>
    </w:p>
    <w:p w:rsidR="0055392F" w:rsidRDefault="0055392F" w:rsidP="004D023D">
      <w:pPr>
        <w:spacing w:before="120" w:after="0" w:line="240" w:lineRule="auto"/>
        <w:rPr>
          <w:rFonts w:ascii="Times New Roman" w:hAnsi="Times New Roman" w:cs="Times New Roman"/>
          <w:sz w:val="24"/>
          <w:szCs w:val="24"/>
        </w:rPr>
      </w:pPr>
    </w:p>
    <w:p w:rsidR="004D023D" w:rsidRDefault="004D023D">
      <w:pPr>
        <w:rPr>
          <w:rFonts w:ascii="Times New Roman" w:hAnsi="Times New Roman" w:cs="Times New Roman"/>
          <w:b/>
          <w:sz w:val="24"/>
          <w:szCs w:val="24"/>
          <w:highlight w:val="yellow"/>
        </w:rPr>
      </w:pPr>
    </w:p>
    <w:p w:rsidR="0055392F" w:rsidRPr="0055392F" w:rsidRDefault="0055392F">
      <w:pPr>
        <w:rPr>
          <w:rFonts w:ascii="Times New Roman" w:hAnsi="Times New Roman" w:cs="Times New Roman"/>
          <w:b/>
          <w:sz w:val="24"/>
          <w:szCs w:val="24"/>
        </w:rPr>
      </w:pPr>
      <w:r w:rsidRPr="0055392F">
        <w:rPr>
          <w:rFonts w:ascii="Times New Roman" w:hAnsi="Times New Roman" w:cs="Times New Roman"/>
          <w:b/>
          <w:sz w:val="24"/>
          <w:szCs w:val="24"/>
        </w:rPr>
        <w:t>Key words</w:t>
      </w:r>
      <w:r>
        <w:rPr>
          <w:rFonts w:ascii="Times New Roman" w:hAnsi="Times New Roman" w:cs="Times New Roman"/>
          <w:b/>
          <w:sz w:val="24"/>
          <w:szCs w:val="24"/>
        </w:rPr>
        <w:t xml:space="preserve">:  </w:t>
      </w:r>
      <w:r>
        <w:rPr>
          <w:rFonts w:ascii="Times New Roman" w:hAnsi="Times New Roman" w:cs="Times New Roman"/>
          <w:sz w:val="24"/>
          <w:szCs w:val="24"/>
        </w:rPr>
        <w:t>i</w:t>
      </w:r>
      <w:r w:rsidRPr="0055392F">
        <w:rPr>
          <w:rFonts w:ascii="Times New Roman" w:hAnsi="Times New Roman" w:cs="Times New Roman"/>
          <w:sz w:val="24"/>
          <w:szCs w:val="24"/>
        </w:rPr>
        <w:t>ndustry-specific capital</w:t>
      </w:r>
      <w:r>
        <w:rPr>
          <w:rFonts w:ascii="Times New Roman" w:hAnsi="Times New Roman" w:cs="Times New Roman"/>
          <w:sz w:val="24"/>
          <w:szCs w:val="24"/>
        </w:rPr>
        <w:t>; sticky-wage adjustment; GTAP model; short-to-long-run dynamics;</w:t>
      </w:r>
    </w:p>
    <w:p w:rsidR="005A2431" w:rsidRPr="00925098" w:rsidRDefault="005A2431">
      <w:pPr>
        <w:rPr>
          <w:rFonts w:ascii="Times New Roman" w:hAnsi="Times New Roman" w:cs="Times New Roman"/>
          <w:b/>
          <w:sz w:val="24"/>
          <w:szCs w:val="24"/>
          <w:highlight w:val="yellow"/>
        </w:rPr>
      </w:pPr>
      <w:r w:rsidRPr="00925098">
        <w:rPr>
          <w:rFonts w:ascii="Times New Roman" w:hAnsi="Times New Roman" w:cs="Times New Roman"/>
          <w:b/>
          <w:sz w:val="24"/>
          <w:szCs w:val="24"/>
          <w:highlight w:val="yellow"/>
        </w:rPr>
        <w:br w:type="page"/>
      </w:r>
    </w:p>
    <w:p w:rsidR="0055392F" w:rsidRDefault="0055392F" w:rsidP="005539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Giving GTAP short-run to long-run dynamics: industry-specific capital and sticky-wage rates</w:t>
      </w:r>
    </w:p>
    <w:p w:rsidR="0055392F" w:rsidRPr="0034602C" w:rsidRDefault="0055392F" w:rsidP="0055392F">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 xml:space="preserve">By </w:t>
      </w:r>
    </w:p>
    <w:p w:rsidR="0055392F" w:rsidRPr="0034602C" w:rsidRDefault="0055392F" w:rsidP="0055392F">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 xml:space="preserve">Peter B. Dixon, Maureen Rimmer and Nhi Tran </w:t>
      </w:r>
    </w:p>
    <w:p w:rsidR="0055392F" w:rsidRPr="0034602C" w:rsidRDefault="0055392F" w:rsidP="0055392F">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Centre of Policy Studies</w:t>
      </w:r>
    </w:p>
    <w:p w:rsidR="0055392F" w:rsidRDefault="0055392F" w:rsidP="0055392F">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April 10, 2019</w:t>
      </w:r>
    </w:p>
    <w:p w:rsidR="0055392F" w:rsidRDefault="0055392F" w:rsidP="0055392F">
      <w:pPr>
        <w:spacing w:before="120" w:after="0" w:line="240" w:lineRule="auto"/>
        <w:jc w:val="center"/>
        <w:rPr>
          <w:rFonts w:ascii="Times New Roman" w:hAnsi="Times New Roman" w:cs="Times New Roman"/>
          <w:b/>
          <w:sz w:val="24"/>
          <w:szCs w:val="24"/>
        </w:rPr>
      </w:pPr>
    </w:p>
    <w:p w:rsidR="0055392F" w:rsidRDefault="0055392F" w:rsidP="0055392F">
      <w:pPr>
        <w:spacing w:before="120" w:after="0" w:line="240" w:lineRule="auto"/>
        <w:rPr>
          <w:rFonts w:ascii="Times New Roman" w:hAnsi="Times New Roman" w:cs="Times New Roman"/>
          <w:sz w:val="24"/>
          <w:szCs w:val="24"/>
        </w:rPr>
      </w:pPr>
      <w:r w:rsidRPr="0055392F">
        <w:rPr>
          <w:rFonts w:ascii="Times New Roman" w:hAnsi="Times New Roman" w:cs="Times New Roman"/>
          <w:sz w:val="24"/>
          <w:szCs w:val="24"/>
        </w:rPr>
        <w:t xml:space="preserve">This paper </w:t>
      </w:r>
      <w:r>
        <w:rPr>
          <w:rFonts w:ascii="Times New Roman" w:hAnsi="Times New Roman" w:cs="Times New Roman"/>
          <w:sz w:val="24"/>
          <w:szCs w:val="24"/>
        </w:rPr>
        <w:t xml:space="preserve">consists of </w:t>
      </w:r>
      <w:r w:rsidR="007D6386">
        <w:rPr>
          <w:rFonts w:ascii="Times New Roman" w:hAnsi="Times New Roman" w:cs="Times New Roman"/>
          <w:sz w:val="24"/>
          <w:szCs w:val="24"/>
        </w:rPr>
        <w:t>sub-</w:t>
      </w:r>
      <w:r>
        <w:rPr>
          <w:rFonts w:ascii="Times New Roman" w:hAnsi="Times New Roman" w:cs="Times New Roman"/>
          <w:sz w:val="24"/>
          <w:szCs w:val="24"/>
        </w:rPr>
        <w:t>section</w:t>
      </w:r>
      <w:r w:rsidR="007D6386">
        <w:rPr>
          <w:rFonts w:ascii="Times New Roman" w:hAnsi="Times New Roman" w:cs="Times New Roman"/>
          <w:sz w:val="24"/>
          <w:szCs w:val="24"/>
        </w:rPr>
        <w:t>s</w:t>
      </w:r>
      <w:r>
        <w:rPr>
          <w:rFonts w:ascii="Times New Roman" w:hAnsi="Times New Roman" w:cs="Times New Roman"/>
          <w:sz w:val="24"/>
          <w:szCs w:val="24"/>
        </w:rPr>
        <w:t xml:space="preserve"> 2</w:t>
      </w:r>
      <w:r w:rsidR="007D6386">
        <w:rPr>
          <w:rFonts w:ascii="Times New Roman" w:hAnsi="Times New Roman" w:cs="Times New Roman"/>
          <w:sz w:val="24"/>
          <w:szCs w:val="24"/>
        </w:rPr>
        <w:t>.4, 2.5 and 2.6 of</w:t>
      </w:r>
      <w:r>
        <w:rPr>
          <w:rFonts w:ascii="Times New Roman" w:hAnsi="Times New Roman" w:cs="Times New Roman"/>
          <w:sz w:val="24"/>
          <w:szCs w:val="24"/>
        </w:rPr>
        <w:t xml:space="preserve"> a larger study by the same authors </w:t>
      </w:r>
      <w:r w:rsidR="007D6386">
        <w:rPr>
          <w:rFonts w:ascii="Times New Roman" w:hAnsi="Times New Roman" w:cs="Times New Roman"/>
          <w:sz w:val="24"/>
          <w:szCs w:val="24"/>
        </w:rPr>
        <w:t>given below.</w:t>
      </w:r>
    </w:p>
    <w:p w:rsidR="007D6386" w:rsidRDefault="007D6386" w:rsidP="0055392F">
      <w:pPr>
        <w:spacing w:before="120" w:after="0" w:line="240" w:lineRule="auto"/>
        <w:rPr>
          <w:rFonts w:ascii="Times New Roman" w:hAnsi="Times New Roman" w:cs="Times New Roman"/>
          <w:sz w:val="24"/>
          <w:szCs w:val="24"/>
        </w:rPr>
      </w:pPr>
    </w:p>
    <w:p w:rsidR="007D6386" w:rsidRPr="0055392F" w:rsidRDefault="007D6386" w:rsidP="0055392F">
      <w:pPr>
        <w:spacing w:before="120" w:after="0" w:line="240" w:lineRule="auto"/>
        <w:rPr>
          <w:rFonts w:ascii="Times New Roman" w:hAnsi="Times New Roman" w:cs="Times New Roman"/>
          <w:sz w:val="24"/>
          <w:szCs w:val="24"/>
        </w:rPr>
      </w:pPr>
    </w:p>
    <w:p w:rsidR="0055392F" w:rsidRDefault="0055392F" w:rsidP="0055392F">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GTAP-MVH, a </w:t>
      </w:r>
      <w:r w:rsidRPr="0034602C">
        <w:rPr>
          <w:rFonts w:ascii="Times New Roman" w:hAnsi="Times New Roman" w:cs="Times New Roman"/>
          <w:b/>
          <w:sz w:val="24"/>
          <w:szCs w:val="24"/>
        </w:rPr>
        <w:t xml:space="preserve">model for analysing the worldwide effects of </w:t>
      </w:r>
      <w:r>
        <w:rPr>
          <w:rFonts w:ascii="Times New Roman" w:hAnsi="Times New Roman" w:cs="Times New Roman"/>
          <w:b/>
          <w:sz w:val="24"/>
          <w:szCs w:val="24"/>
        </w:rPr>
        <w:t>trade policies in the motor vehicle sector: theory and data</w:t>
      </w:r>
    </w:p>
    <w:p w:rsidR="008D67C4" w:rsidRPr="005A2431" w:rsidRDefault="008D67C4" w:rsidP="008D67C4">
      <w:pPr>
        <w:tabs>
          <w:tab w:val="left" w:pos="567"/>
        </w:tabs>
        <w:spacing w:before="120" w:after="0" w:line="240" w:lineRule="auto"/>
        <w:rPr>
          <w:rFonts w:ascii="Times New Roman" w:hAnsi="Times New Roman" w:cs="Times New Roman"/>
          <w:b/>
          <w:sz w:val="24"/>
          <w:szCs w:val="24"/>
        </w:rPr>
      </w:pPr>
      <w:r w:rsidRPr="005A2431">
        <w:rPr>
          <w:rFonts w:ascii="Times New Roman" w:hAnsi="Times New Roman" w:cs="Times New Roman"/>
          <w:b/>
          <w:sz w:val="24"/>
          <w:szCs w:val="24"/>
        </w:rPr>
        <w:t>Table of contents</w:t>
      </w:r>
    </w:p>
    <w:p w:rsidR="008D67C4" w:rsidRPr="00342D2E" w:rsidRDefault="008D67C4" w:rsidP="008D67C4">
      <w:pPr>
        <w:pStyle w:val="ListParagraph"/>
        <w:numPr>
          <w:ilvl w:val="0"/>
          <w:numId w:val="8"/>
        </w:numPr>
        <w:tabs>
          <w:tab w:val="left" w:pos="567"/>
          <w:tab w:val="left" w:pos="1701"/>
          <w:tab w:val="right" w:pos="8505"/>
        </w:tabs>
        <w:spacing w:before="120" w:after="0" w:line="240" w:lineRule="auto"/>
        <w:rPr>
          <w:rFonts w:ascii="Times New Roman" w:hAnsi="Times New Roman" w:cs="Times New Roman"/>
          <w:sz w:val="24"/>
          <w:szCs w:val="24"/>
        </w:rPr>
      </w:pPr>
      <w:r w:rsidRPr="00342D2E">
        <w:rPr>
          <w:rFonts w:ascii="Times New Roman" w:hAnsi="Times New Roman" w:cs="Times New Roman"/>
          <w:sz w:val="24"/>
          <w:szCs w:val="24"/>
        </w:rPr>
        <w:t xml:space="preserve">Introduction </w:t>
      </w:r>
    </w:p>
    <w:p w:rsidR="008D67C4" w:rsidRPr="005A2431" w:rsidRDefault="008D67C4" w:rsidP="008D67C4">
      <w:pPr>
        <w:pStyle w:val="ListParagraph"/>
        <w:numPr>
          <w:ilvl w:val="0"/>
          <w:numId w:val="8"/>
        </w:numPr>
        <w:tabs>
          <w:tab w:val="left" w:pos="567"/>
          <w:tab w:val="left" w:pos="1701"/>
          <w:tab w:val="right" w:pos="8505"/>
        </w:tabs>
        <w:spacing w:before="120" w:after="0" w:line="240" w:lineRule="auto"/>
        <w:ind w:hanging="357"/>
        <w:contextualSpacing w:val="0"/>
        <w:rPr>
          <w:rFonts w:ascii="Times New Roman" w:hAnsi="Times New Roman" w:cs="Times New Roman"/>
          <w:sz w:val="24"/>
          <w:szCs w:val="24"/>
        </w:rPr>
      </w:pPr>
      <w:r w:rsidRPr="007543C4">
        <w:rPr>
          <w:rFonts w:ascii="Times New Roman" w:hAnsi="Times New Roman" w:cs="Times New Roman"/>
          <w:sz w:val="24"/>
          <w:szCs w:val="24"/>
        </w:rPr>
        <w:t>Transforming standard GTAP into GTAP-</w:t>
      </w:r>
      <w:r>
        <w:rPr>
          <w:rFonts w:ascii="Times New Roman" w:hAnsi="Times New Roman" w:cs="Times New Roman"/>
          <w:sz w:val="24"/>
          <w:szCs w:val="24"/>
        </w:rPr>
        <w:t>MVH</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Regions and industries in GTAP-MVH</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Adding foreign assets and liabilities and associated income flows: calculating net national income</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Saving, investment, capital, rates of return and investment/saving balance in the simulation year</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Introducing industry-specific capital</w:t>
      </w:r>
      <w:r w:rsidRPr="00F858F0">
        <w:rPr>
          <w:rFonts w:ascii="Times New Roman" w:hAnsi="Times New Roman" w:cs="Times New Roman"/>
          <w:sz w:val="24"/>
          <w:szCs w:val="24"/>
        </w:rPr>
        <w:t xml:space="preserve"> </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Introducing sticky real wages</w:t>
      </w:r>
      <w:r w:rsidRPr="00F858F0">
        <w:rPr>
          <w:rFonts w:ascii="Times New Roman" w:hAnsi="Times New Roman" w:cs="Times New Roman"/>
          <w:sz w:val="24"/>
          <w:szCs w:val="24"/>
        </w:rPr>
        <w:t xml:space="preserve"> </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Rates of return in the baseline forecast and capital-labor substitution</w:t>
      </w:r>
      <w:r w:rsidRPr="00F858F0">
        <w:rPr>
          <w:rFonts w:ascii="Times New Roman" w:hAnsi="Times New Roman" w:cs="Times New Roman"/>
          <w:sz w:val="24"/>
          <w:szCs w:val="24"/>
        </w:rPr>
        <w:t xml:space="preserve"> </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Private consumption, public consumption and net savings</w:t>
      </w:r>
      <w:r w:rsidRPr="00F858F0">
        <w:rPr>
          <w:rFonts w:ascii="Times New Roman" w:hAnsi="Times New Roman" w:cs="Times New Roman"/>
          <w:sz w:val="24"/>
          <w:szCs w:val="24"/>
        </w:rPr>
        <w:t xml:space="preserve"> </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sidRPr="00F858F0">
        <w:rPr>
          <w:rFonts w:ascii="Times New Roman" w:hAnsi="Times New Roman" w:cs="Times New Roman"/>
          <w:i/>
          <w:sz w:val="24"/>
          <w:szCs w:val="24"/>
        </w:rPr>
        <w:t>Adding the capability to simulate import/domestic preference twists</w:t>
      </w:r>
    </w:p>
    <w:p w:rsidR="008D67C4" w:rsidRDefault="008D67C4" w:rsidP="008D67C4">
      <w:pPr>
        <w:pStyle w:val="ListParagraph"/>
        <w:numPr>
          <w:ilvl w:val="0"/>
          <w:numId w:val="8"/>
        </w:numPr>
        <w:tabs>
          <w:tab w:val="left" w:pos="567"/>
          <w:tab w:val="left" w:pos="1701"/>
          <w:tab w:val="right" w:pos="8505"/>
        </w:tabs>
        <w:spacing w:before="120" w:after="0" w:line="240" w:lineRule="auto"/>
        <w:ind w:hanging="357"/>
        <w:contextualSpacing w:val="0"/>
        <w:rPr>
          <w:rFonts w:ascii="Times New Roman" w:hAnsi="Times New Roman" w:cs="Times New Roman"/>
          <w:sz w:val="24"/>
          <w:szCs w:val="24"/>
        </w:rPr>
      </w:pPr>
      <w:r w:rsidRPr="00F858F0">
        <w:rPr>
          <w:rFonts w:ascii="Times New Roman" w:hAnsi="Times New Roman" w:cs="Times New Roman"/>
          <w:sz w:val="24"/>
          <w:szCs w:val="24"/>
        </w:rPr>
        <w:t>GTAP-MVH database compilation</w:t>
      </w:r>
      <w:r>
        <w:rPr>
          <w:rFonts w:ascii="Times New Roman" w:hAnsi="Times New Roman" w:cs="Times New Roman"/>
          <w:sz w:val="24"/>
          <w:szCs w:val="24"/>
        </w:rPr>
        <w:t xml:space="preserve"> </w:t>
      </w:r>
    </w:p>
    <w:p w:rsidR="008D67C4" w:rsidRPr="0002598B"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i/>
          <w:sz w:val="24"/>
          <w:szCs w:val="24"/>
        </w:rPr>
      </w:pPr>
      <w:r w:rsidRPr="0002598B">
        <w:rPr>
          <w:rFonts w:ascii="Times New Roman" w:hAnsi="Times New Roman"/>
          <w:i/>
          <w:sz w:val="24"/>
          <w:szCs w:val="24"/>
        </w:rPr>
        <w:t>Data sources</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Pr>
          <w:rFonts w:ascii="Times New Roman" w:hAnsi="Times New Roman" w:cs="Times New Roman"/>
          <w:i/>
          <w:sz w:val="24"/>
          <w:szCs w:val="24"/>
        </w:rPr>
        <w:t>Theoretical structure for the disaggregation of the mvh sector into 9 mvh industries</w:t>
      </w:r>
    </w:p>
    <w:p w:rsidR="008D67C4" w:rsidRPr="007B3005"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i/>
          <w:sz w:val="24"/>
          <w:szCs w:val="24"/>
        </w:rPr>
      </w:pPr>
      <w:r w:rsidRPr="007B3005">
        <w:rPr>
          <w:rFonts w:ascii="Times New Roman" w:hAnsi="Times New Roman" w:cs="Times New Roman"/>
          <w:i/>
          <w:sz w:val="24"/>
          <w:szCs w:val="24"/>
        </w:rPr>
        <w:t>Compilation of trade data [TR(n,s,d)]</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Pr>
          <w:rFonts w:ascii="Times New Roman" w:hAnsi="Times New Roman" w:cs="Times New Roman"/>
          <w:i/>
          <w:sz w:val="24"/>
          <w:szCs w:val="24"/>
        </w:rPr>
        <w:t>Setting the initial guesses for use in equation system (3.1) – (3.7)</w:t>
      </w:r>
      <w:r w:rsidRPr="00F858F0">
        <w:rPr>
          <w:rFonts w:ascii="Times New Roman" w:hAnsi="Times New Roman" w:cs="Times New Roman"/>
          <w:sz w:val="24"/>
          <w:szCs w:val="24"/>
        </w:rPr>
        <w:t xml:space="preserve"> </w:t>
      </w:r>
    </w:p>
    <w:p w:rsidR="008D67C4" w:rsidRPr="00F858F0" w:rsidRDefault="008D67C4" w:rsidP="008D67C4">
      <w:pPr>
        <w:pStyle w:val="ListParagraph"/>
        <w:numPr>
          <w:ilvl w:val="1"/>
          <w:numId w:val="8"/>
        </w:numPr>
        <w:tabs>
          <w:tab w:val="left" w:pos="567"/>
          <w:tab w:val="left" w:pos="1701"/>
          <w:tab w:val="right" w:pos="8505"/>
        </w:tabs>
        <w:spacing w:before="120" w:after="0" w:line="240" w:lineRule="auto"/>
        <w:rPr>
          <w:rFonts w:ascii="Times New Roman" w:hAnsi="Times New Roman" w:cs="Times New Roman"/>
          <w:sz w:val="24"/>
          <w:szCs w:val="24"/>
        </w:rPr>
      </w:pPr>
      <w:r>
        <w:rPr>
          <w:rFonts w:ascii="Times New Roman" w:hAnsi="Times New Roman" w:cs="Times New Roman"/>
          <w:i/>
          <w:sz w:val="24"/>
          <w:szCs w:val="24"/>
        </w:rPr>
        <w:t>Sales matrices for disaggregated mvh products: outcomes from the disaggregation procedures</w:t>
      </w:r>
      <w:r w:rsidRPr="00F858F0">
        <w:rPr>
          <w:rFonts w:ascii="Times New Roman" w:hAnsi="Times New Roman" w:cs="Times New Roman"/>
          <w:sz w:val="24"/>
          <w:szCs w:val="24"/>
        </w:rPr>
        <w:t xml:space="preserve"> </w:t>
      </w:r>
    </w:p>
    <w:p w:rsidR="008D67C4" w:rsidRDefault="008D67C4" w:rsidP="008D67C4">
      <w:pPr>
        <w:pStyle w:val="ListParagraph"/>
        <w:numPr>
          <w:ilvl w:val="0"/>
          <w:numId w:val="8"/>
        </w:numPr>
        <w:tabs>
          <w:tab w:val="left" w:pos="567"/>
          <w:tab w:val="left" w:pos="1701"/>
          <w:tab w:val="right" w:pos="8505"/>
        </w:tabs>
        <w:spacing w:before="120" w:after="0" w:line="240" w:lineRule="auto"/>
        <w:ind w:hanging="357"/>
        <w:contextualSpacing w:val="0"/>
        <w:rPr>
          <w:rFonts w:ascii="Times New Roman" w:hAnsi="Times New Roman" w:cs="Times New Roman"/>
          <w:sz w:val="24"/>
          <w:szCs w:val="24"/>
        </w:rPr>
      </w:pPr>
      <w:r>
        <w:rPr>
          <w:rFonts w:ascii="Times New Roman" w:hAnsi="Times New Roman" w:cs="Times New Roman"/>
          <w:sz w:val="24"/>
          <w:szCs w:val="24"/>
        </w:rPr>
        <w:t xml:space="preserve">Concluding remarks </w:t>
      </w:r>
    </w:p>
    <w:p w:rsidR="008D67C4" w:rsidRPr="005A2431" w:rsidRDefault="008D67C4" w:rsidP="008D67C4">
      <w:pPr>
        <w:pStyle w:val="ListParagraph"/>
        <w:tabs>
          <w:tab w:val="left" w:pos="567"/>
          <w:tab w:val="left" w:pos="1701"/>
          <w:tab w:val="right" w:pos="8505"/>
        </w:tabs>
        <w:spacing w:before="120" w:after="0" w:line="240" w:lineRule="auto"/>
        <w:ind w:left="930"/>
        <w:contextualSpacing w:val="0"/>
        <w:rPr>
          <w:rFonts w:ascii="Times New Roman" w:hAnsi="Times New Roman" w:cs="Times New Roman"/>
          <w:sz w:val="24"/>
          <w:szCs w:val="24"/>
        </w:rPr>
      </w:pPr>
    </w:p>
    <w:p w:rsidR="008D67C4" w:rsidRDefault="008D67C4" w:rsidP="008D67C4">
      <w:pPr>
        <w:tabs>
          <w:tab w:val="left" w:pos="567"/>
          <w:tab w:val="left" w:pos="1701"/>
          <w:tab w:val="right" w:pos="8505"/>
        </w:tabs>
        <w:spacing w:before="120" w:after="0" w:line="240" w:lineRule="auto"/>
        <w:ind w:left="570"/>
        <w:rPr>
          <w:rFonts w:ascii="Times New Roman" w:hAnsi="Times New Roman"/>
          <w:sz w:val="24"/>
          <w:szCs w:val="24"/>
        </w:rPr>
      </w:pPr>
      <w:r w:rsidRPr="00F858F0">
        <w:rPr>
          <w:rFonts w:ascii="Times New Roman" w:hAnsi="Times New Roman"/>
          <w:sz w:val="24"/>
          <w:szCs w:val="24"/>
        </w:rPr>
        <w:t xml:space="preserve">Appendix </w:t>
      </w:r>
      <w:r>
        <w:rPr>
          <w:rFonts w:ascii="Times New Roman" w:hAnsi="Times New Roman"/>
          <w:sz w:val="24"/>
          <w:szCs w:val="24"/>
        </w:rPr>
        <w:t>1</w:t>
      </w:r>
      <w:r w:rsidRPr="00F858F0">
        <w:rPr>
          <w:rFonts w:ascii="Times New Roman" w:hAnsi="Times New Roman"/>
          <w:sz w:val="24"/>
          <w:szCs w:val="24"/>
        </w:rPr>
        <w:t>.  Inputs to baseline forecast for GTAP-MVH</w:t>
      </w:r>
    </w:p>
    <w:p w:rsidR="008D67C4" w:rsidRPr="00F858F0" w:rsidRDefault="008D67C4" w:rsidP="008D67C4">
      <w:pPr>
        <w:tabs>
          <w:tab w:val="left" w:pos="567"/>
          <w:tab w:val="left" w:pos="1701"/>
          <w:tab w:val="right" w:pos="8505"/>
        </w:tabs>
        <w:spacing w:before="120" w:after="0" w:line="240" w:lineRule="auto"/>
        <w:ind w:left="570"/>
        <w:rPr>
          <w:rFonts w:ascii="Times New Roman" w:hAnsi="Times New Roman"/>
          <w:sz w:val="24"/>
          <w:szCs w:val="24"/>
        </w:rPr>
      </w:pPr>
      <w:r>
        <w:rPr>
          <w:rFonts w:ascii="Times New Roman" w:hAnsi="Times New Roman"/>
          <w:sz w:val="24"/>
          <w:szCs w:val="24"/>
        </w:rPr>
        <w:t xml:space="preserve">Appendix 2.  </w:t>
      </w:r>
      <w:r w:rsidRPr="00F779DB">
        <w:rPr>
          <w:rFonts w:ascii="Times New Roman" w:hAnsi="Times New Roman"/>
          <w:sz w:val="24"/>
          <w:szCs w:val="24"/>
        </w:rPr>
        <w:t>Two illustrative dynamic tariff simulations with GTAP-MVH</w:t>
      </w:r>
    </w:p>
    <w:p w:rsidR="008D67C4" w:rsidRDefault="008D67C4" w:rsidP="008D67C4">
      <w:pPr>
        <w:tabs>
          <w:tab w:val="left" w:pos="567"/>
          <w:tab w:val="left" w:pos="1843"/>
          <w:tab w:val="right" w:pos="8505"/>
        </w:tabs>
        <w:spacing w:before="120" w:after="0" w:line="240" w:lineRule="auto"/>
        <w:ind w:left="1843" w:hanging="1701"/>
        <w:rPr>
          <w:rFonts w:ascii="Times New Roman" w:hAnsi="Times New Roman" w:cs="Times New Roman"/>
          <w:sz w:val="24"/>
          <w:szCs w:val="24"/>
        </w:rPr>
      </w:pPr>
      <w:r w:rsidRPr="00F858F0">
        <w:rPr>
          <w:rFonts w:ascii="Times New Roman" w:hAnsi="Times New Roman" w:cs="Times New Roman"/>
          <w:sz w:val="24"/>
          <w:szCs w:val="24"/>
        </w:rPr>
        <w:tab/>
        <w:t>References</w:t>
      </w:r>
    </w:p>
    <w:p w:rsidR="008D67C4" w:rsidRDefault="008D67C4" w:rsidP="007D6386">
      <w:pPr>
        <w:tabs>
          <w:tab w:val="right" w:pos="8505"/>
        </w:tabs>
        <w:spacing w:before="120" w:after="0" w:line="240" w:lineRule="auto"/>
        <w:rPr>
          <w:rFonts w:ascii="Times New Roman" w:hAnsi="Times New Roman" w:cs="Times New Roman"/>
          <w:b/>
          <w:sz w:val="24"/>
          <w:szCs w:val="24"/>
        </w:rPr>
      </w:pPr>
      <w:r>
        <w:rPr>
          <w:rFonts w:ascii="Times New Roman" w:hAnsi="Times New Roman" w:cs="Times New Roman"/>
          <w:sz w:val="24"/>
          <w:szCs w:val="24"/>
        </w:rPr>
        <w:t xml:space="preserve">Acknowledgement:  We thank Global Affairs Canada for financial support.  Shenjie Chen and Jeff Bennett from Global Affairs provided valuable encouragement and research inputs.  However, neither they nor Global Affairs is responsible for any aspect of this paper.  </w:t>
      </w:r>
      <w:r>
        <w:rPr>
          <w:rFonts w:ascii="Times New Roman" w:hAnsi="Times New Roman" w:cs="Times New Roman"/>
          <w:b/>
          <w:sz w:val="24"/>
          <w:szCs w:val="24"/>
        </w:rPr>
        <w:br w:type="page"/>
      </w:r>
    </w:p>
    <w:p w:rsidR="002E4C30" w:rsidRPr="00CD6058" w:rsidRDefault="002E4C30" w:rsidP="002E4C30">
      <w:pPr>
        <w:spacing w:before="120" w:after="0" w:line="240" w:lineRule="auto"/>
        <w:rPr>
          <w:rFonts w:ascii="Times New Roman" w:hAnsi="Times New Roman" w:cs="Times New Roman"/>
          <w:b/>
          <w:sz w:val="24"/>
          <w:szCs w:val="24"/>
          <w:highlight w:val="yellow"/>
        </w:rPr>
      </w:pPr>
      <w:r w:rsidRPr="001C7B66">
        <w:rPr>
          <w:rFonts w:ascii="Times New Roman" w:hAnsi="Times New Roman" w:cs="Times New Roman"/>
          <w:b/>
          <w:sz w:val="24"/>
          <w:szCs w:val="24"/>
        </w:rPr>
        <w:lastRenderedPageBreak/>
        <w:t>1.  Introduction</w:t>
      </w:r>
    </w:p>
    <w:p w:rsidR="002E0C24" w:rsidRPr="002E0C24" w:rsidRDefault="002E0C24" w:rsidP="002E0C24">
      <w:pPr>
        <w:spacing w:before="120" w:after="0" w:line="240" w:lineRule="auto"/>
        <w:rPr>
          <w:rFonts w:ascii="Times New Roman" w:hAnsi="Times New Roman" w:cs="Times New Roman"/>
          <w:sz w:val="24"/>
          <w:szCs w:val="24"/>
        </w:rPr>
      </w:pPr>
      <w:r w:rsidRPr="002E0C24">
        <w:rPr>
          <w:rFonts w:ascii="Times New Roman" w:hAnsi="Times New Roman" w:cs="Times New Roman"/>
          <w:sz w:val="24"/>
          <w:szCs w:val="24"/>
        </w:rPr>
        <w:t xml:space="preserve">The Office of the Chief Economist in Global Affairs (hereafter, the Office) is seeking to add to its tools for looking at the effects on Canada and other countries of higher U.S. protection.  The Office is particularly interested in the motor vehicle sector.  To meet the Office’s requirements, the Centre of Policy Studies (CoPS) has created a version of the GTAP model in which the motor vehicle sector is disaggregated.  We call this version GTAP-MVH. </w:t>
      </w:r>
    </w:p>
    <w:p w:rsidR="00E72CA4" w:rsidRDefault="002E0C24" w:rsidP="002E0C24">
      <w:pPr>
        <w:spacing w:before="120" w:after="0" w:line="240" w:lineRule="auto"/>
        <w:rPr>
          <w:rFonts w:ascii="Times New Roman" w:hAnsi="Times New Roman" w:cs="Times New Roman"/>
          <w:sz w:val="24"/>
          <w:szCs w:val="24"/>
          <w:lang w:val="en-US"/>
        </w:rPr>
      </w:pPr>
      <w:r w:rsidRPr="002E0C24">
        <w:rPr>
          <w:rFonts w:ascii="Times New Roman" w:hAnsi="Times New Roman" w:cs="Times New Roman"/>
          <w:sz w:val="24"/>
          <w:szCs w:val="24"/>
        </w:rPr>
        <w:t xml:space="preserve">GTAP is the world’s best known and most widely used global trade model. </w:t>
      </w:r>
      <w:r w:rsidR="001A7730">
        <w:rPr>
          <w:rFonts w:ascii="Times New Roman" w:hAnsi="Times New Roman" w:cs="Times New Roman"/>
          <w:sz w:val="24"/>
          <w:szCs w:val="24"/>
        </w:rPr>
        <w:t xml:space="preserve"> </w:t>
      </w:r>
      <w:r w:rsidRPr="002E0C24">
        <w:rPr>
          <w:rFonts w:ascii="Times New Roman" w:hAnsi="Times New Roman" w:cs="Times New Roman"/>
          <w:sz w:val="24"/>
          <w:szCs w:val="24"/>
        </w:rPr>
        <w:t xml:space="preserve">Its full database consists of </w:t>
      </w:r>
      <w:r w:rsidRPr="002E0C24">
        <w:rPr>
          <w:rFonts w:ascii="Times New Roman" w:hAnsi="Times New Roman" w:cs="Times New Roman"/>
          <w:sz w:val="24"/>
          <w:szCs w:val="24"/>
          <w:lang w:val="en-US"/>
        </w:rPr>
        <w:t xml:space="preserve">mutually consistent input-output tables, trade flows and protection rates in 140 countries. </w:t>
      </w:r>
      <w:r w:rsidR="001C7B66">
        <w:rPr>
          <w:rFonts w:ascii="Times New Roman" w:hAnsi="Times New Roman" w:cs="Times New Roman"/>
          <w:sz w:val="24"/>
          <w:szCs w:val="24"/>
          <w:lang w:val="en-US"/>
        </w:rPr>
        <w:t xml:space="preserve"> </w:t>
      </w:r>
      <w:r w:rsidRPr="002E0C24">
        <w:rPr>
          <w:rFonts w:ascii="Times New Roman" w:hAnsi="Times New Roman" w:cs="Times New Roman"/>
          <w:sz w:val="24"/>
          <w:szCs w:val="24"/>
          <w:lang w:val="en-US"/>
        </w:rPr>
        <w:t xml:space="preserve">Documentation of GTAP’s theory and data can be found in Hertel (1997), </w:t>
      </w:r>
      <w:r w:rsidRPr="002E0C24">
        <w:rPr>
          <w:rFonts w:ascii="Times New Roman" w:hAnsi="Times New Roman" w:cs="Times New Roman"/>
          <w:sz w:val="24"/>
          <w:szCs w:val="24"/>
        </w:rPr>
        <w:t xml:space="preserve">Corong </w:t>
      </w:r>
      <w:r w:rsidRPr="002E0C24">
        <w:rPr>
          <w:rFonts w:ascii="Times New Roman" w:hAnsi="Times New Roman" w:cs="Times New Roman"/>
          <w:i/>
          <w:sz w:val="24"/>
          <w:szCs w:val="24"/>
        </w:rPr>
        <w:t>et al.</w:t>
      </w:r>
      <w:r w:rsidRPr="002E0C24">
        <w:rPr>
          <w:rFonts w:ascii="Times New Roman" w:hAnsi="Times New Roman" w:cs="Times New Roman"/>
          <w:sz w:val="24"/>
          <w:szCs w:val="24"/>
        </w:rPr>
        <w:t xml:space="preserve"> (2017) and Aguiar </w:t>
      </w:r>
      <w:r w:rsidRPr="002E0C24">
        <w:rPr>
          <w:rFonts w:ascii="Times New Roman" w:hAnsi="Times New Roman" w:cs="Times New Roman"/>
          <w:i/>
          <w:sz w:val="24"/>
          <w:szCs w:val="24"/>
        </w:rPr>
        <w:t>et al.</w:t>
      </w:r>
      <w:r w:rsidRPr="002E0C24">
        <w:rPr>
          <w:rFonts w:ascii="Times New Roman" w:hAnsi="Times New Roman" w:cs="Times New Roman"/>
          <w:sz w:val="24"/>
          <w:szCs w:val="24"/>
        </w:rPr>
        <w:t xml:space="preserve"> (2016).</w:t>
      </w:r>
      <w:r w:rsidRPr="002E0C24">
        <w:rPr>
          <w:rFonts w:ascii="Times New Roman" w:hAnsi="Times New Roman" w:cs="Times New Roman"/>
          <w:sz w:val="24"/>
          <w:szCs w:val="24"/>
          <w:lang w:val="en-US"/>
        </w:rPr>
        <w:t xml:space="preserve"> </w:t>
      </w:r>
      <w:r w:rsidR="001A7730">
        <w:rPr>
          <w:rFonts w:ascii="Times New Roman" w:hAnsi="Times New Roman" w:cs="Times New Roman"/>
          <w:sz w:val="24"/>
          <w:szCs w:val="24"/>
          <w:lang w:val="en-US"/>
        </w:rPr>
        <w:t xml:space="preserve"> </w:t>
      </w:r>
      <w:r w:rsidRPr="002E0C24">
        <w:rPr>
          <w:rFonts w:ascii="Times New Roman" w:hAnsi="Times New Roman" w:cs="Times New Roman"/>
          <w:sz w:val="24"/>
          <w:szCs w:val="24"/>
          <w:lang w:val="en-US"/>
        </w:rPr>
        <w:t xml:space="preserve">However, </w:t>
      </w:r>
      <w:r w:rsidR="00F74EA2">
        <w:rPr>
          <w:rFonts w:ascii="Times New Roman" w:hAnsi="Times New Roman" w:cs="Times New Roman"/>
          <w:sz w:val="24"/>
          <w:szCs w:val="24"/>
          <w:lang w:val="en-US"/>
        </w:rPr>
        <w:t xml:space="preserve">the standard </w:t>
      </w:r>
      <w:r w:rsidRPr="002E0C24">
        <w:rPr>
          <w:rFonts w:ascii="Times New Roman" w:hAnsi="Times New Roman" w:cs="Times New Roman"/>
          <w:sz w:val="24"/>
          <w:szCs w:val="24"/>
          <w:lang w:val="en-US"/>
        </w:rPr>
        <w:t>GTAP</w:t>
      </w:r>
      <w:r w:rsidR="00F74EA2">
        <w:rPr>
          <w:rFonts w:ascii="Times New Roman" w:hAnsi="Times New Roman" w:cs="Times New Roman"/>
          <w:sz w:val="24"/>
          <w:szCs w:val="24"/>
          <w:lang w:val="en-US"/>
        </w:rPr>
        <w:t xml:space="preserve"> theory and database do not fully meet the Office’s requirements.  </w:t>
      </w:r>
    </w:p>
    <w:p w:rsidR="00E72CA4" w:rsidRDefault="00E72CA4" w:rsidP="002E0C24">
      <w:pPr>
        <w:spacing w:before="120"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theory in standard </w:t>
      </w:r>
      <w:r w:rsidR="00F74EA2">
        <w:rPr>
          <w:rFonts w:ascii="Times New Roman" w:hAnsi="Times New Roman" w:cs="Times New Roman"/>
          <w:sz w:val="24"/>
          <w:szCs w:val="24"/>
          <w:lang w:val="en-US"/>
        </w:rPr>
        <w:t xml:space="preserve">GTAP assumes that capital is completely mobile between industries and that labor markets are characterized by either fixed real wages or completely flexible real wages that adjust to eliminate effects on aggregate employment from policy changes.  These capital and labor assumptions limit the usefulness of standard GTAP as a tool for analyzing the short-run impacts of policy changes.  In the short run, policy changes can lead to underutilization of both capital and labor.  </w:t>
      </w:r>
      <w:r>
        <w:rPr>
          <w:rFonts w:ascii="Times New Roman" w:hAnsi="Times New Roman" w:cs="Times New Roman"/>
          <w:sz w:val="24"/>
          <w:szCs w:val="24"/>
          <w:lang w:val="en-US"/>
        </w:rPr>
        <w:t xml:space="preserve">From a policy perspective, what is needed is a model that can trace out adjustment processes in both capital and labor markets.  </w:t>
      </w:r>
    </w:p>
    <w:p w:rsidR="002E0C24" w:rsidRPr="002E0C24" w:rsidRDefault="00E72CA4" w:rsidP="002E0C24">
      <w:pPr>
        <w:spacing w:before="120"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The database for </w:t>
      </w:r>
      <w:r w:rsidR="00292A3D">
        <w:rPr>
          <w:rFonts w:ascii="Times New Roman" w:hAnsi="Times New Roman" w:cs="Times New Roman"/>
          <w:sz w:val="24"/>
          <w:szCs w:val="24"/>
          <w:lang w:val="en-US"/>
        </w:rPr>
        <w:t xml:space="preserve">the </w:t>
      </w:r>
      <w:r>
        <w:rPr>
          <w:rFonts w:ascii="Times New Roman" w:hAnsi="Times New Roman" w:cs="Times New Roman"/>
          <w:sz w:val="24"/>
          <w:szCs w:val="24"/>
          <w:lang w:val="en-US"/>
        </w:rPr>
        <w:t>standard GTAP</w:t>
      </w:r>
      <w:r w:rsidRPr="002E0C24">
        <w:rPr>
          <w:rFonts w:ascii="Times New Roman" w:hAnsi="Times New Roman" w:cs="Times New Roman"/>
          <w:sz w:val="24"/>
          <w:szCs w:val="24"/>
          <w:lang w:val="en-US"/>
        </w:rPr>
        <w:t xml:space="preserve"> </w:t>
      </w:r>
      <w:r w:rsidR="00292A3D">
        <w:rPr>
          <w:rFonts w:ascii="Times New Roman" w:hAnsi="Times New Roman" w:cs="Times New Roman"/>
          <w:sz w:val="24"/>
          <w:szCs w:val="24"/>
          <w:lang w:val="en-US"/>
        </w:rPr>
        <w:t>model</w:t>
      </w:r>
      <w:r w:rsidR="002E0C24" w:rsidRPr="002E0C24">
        <w:rPr>
          <w:rFonts w:ascii="Times New Roman" w:hAnsi="Times New Roman" w:cs="Times New Roman"/>
          <w:sz w:val="24"/>
          <w:szCs w:val="24"/>
          <w:lang w:val="en-US"/>
        </w:rPr>
        <w:t xml:space="preserve"> distinguishes 57 sectors, of which only one sector, denoted by ‘mvh’, represents motor vehicles industries.</w:t>
      </w:r>
      <w:r w:rsidR="00814692">
        <w:rPr>
          <w:rStyle w:val="FootnoteReference"/>
          <w:rFonts w:ascii="Times New Roman" w:hAnsi="Times New Roman" w:cs="Times New Roman"/>
          <w:szCs w:val="24"/>
          <w:lang w:val="en-US"/>
        </w:rPr>
        <w:footnoteReference w:id="1"/>
      </w:r>
      <w:r w:rsidR="00814692">
        <w:rPr>
          <w:rFonts w:ascii="Times New Roman" w:hAnsi="Times New Roman" w:cs="Times New Roman"/>
          <w:sz w:val="24"/>
          <w:szCs w:val="24"/>
          <w:lang w:val="en-US"/>
        </w:rPr>
        <w:t xml:space="preserve"> </w:t>
      </w:r>
      <w:r w:rsidR="00F74EA2">
        <w:rPr>
          <w:rFonts w:ascii="Times New Roman" w:hAnsi="Times New Roman" w:cs="Times New Roman"/>
          <w:sz w:val="24"/>
          <w:szCs w:val="24"/>
          <w:lang w:val="en-US"/>
        </w:rPr>
        <w:t xml:space="preserve"> </w:t>
      </w:r>
      <w:r w:rsidR="002E0C24" w:rsidRPr="002E0C24">
        <w:rPr>
          <w:rFonts w:ascii="Times New Roman" w:hAnsi="Times New Roman" w:cs="Times New Roman"/>
          <w:sz w:val="24"/>
          <w:szCs w:val="24"/>
          <w:lang w:val="en-US"/>
        </w:rPr>
        <w:t xml:space="preserve">For this project, </w:t>
      </w:r>
      <w:r w:rsidR="002E0C24" w:rsidRPr="002E0C24">
        <w:rPr>
          <w:rFonts w:ascii="Times New Roman" w:hAnsi="Times New Roman" w:cs="Times New Roman"/>
          <w:sz w:val="24"/>
          <w:szCs w:val="24"/>
        </w:rPr>
        <w:t>in consultation with the Office, it was decided that the motor vehicle (</w:t>
      </w:r>
      <w:r w:rsidR="001C7B66">
        <w:rPr>
          <w:rFonts w:ascii="Times New Roman" w:hAnsi="Times New Roman" w:cs="Times New Roman"/>
          <w:sz w:val="24"/>
          <w:szCs w:val="24"/>
        </w:rPr>
        <w:t>mvh</w:t>
      </w:r>
      <w:r w:rsidR="002E0C24" w:rsidRPr="002E0C24">
        <w:rPr>
          <w:rFonts w:ascii="Times New Roman" w:hAnsi="Times New Roman" w:cs="Times New Roman"/>
          <w:sz w:val="24"/>
          <w:szCs w:val="24"/>
        </w:rPr>
        <w:t>) industries must be represented in more detail, while non-</w:t>
      </w:r>
      <w:r w:rsidR="001C7B66">
        <w:rPr>
          <w:rFonts w:ascii="Times New Roman" w:hAnsi="Times New Roman" w:cs="Times New Roman"/>
          <w:sz w:val="24"/>
          <w:szCs w:val="24"/>
        </w:rPr>
        <w:t>mvh</w:t>
      </w:r>
      <w:r w:rsidR="002E0C24" w:rsidRPr="002E0C24">
        <w:rPr>
          <w:rFonts w:ascii="Times New Roman" w:hAnsi="Times New Roman" w:cs="Times New Roman"/>
          <w:sz w:val="24"/>
          <w:szCs w:val="24"/>
        </w:rPr>
        <w:t xml:space="preserve"> sectors and the regions could be more aggregated. </w:t>
      </w:r>
    </w:p>
    <w:p w:rsidR="00E132A9" w:rsidRPr="00B41CC3" w:rsidRDefault="00C17D1E" w:rsidP="00B41CC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Section 2 of this paper </w:t>
      </w:r>
      <w:r w:rsidR="002E0C24" w:rsidRPr="002E0C24">
        <w:rPr>
          <w:rFonts w:ascii="Times New Roman" w:hAnsi="Times New Roman" w:cs="Times New Roman"/>
          <w:sz w:val="24"/>
          <w:szCs w:val="24"/>
        </w:rPr>
        <w:t xml:space="preserve">describes </w:t>
      </w:r>
      <w:r w:rsidR="00E72CA4">
        <w:rPr>
          <w:rFonts w:ascii="Times New Roman" w:hAnsi="Times New Roman" w:cs="Times New Roman"/>
          <w:sz w:val="24"/>
          <w:szCs w:val="24"/>
        </w:rPr>
        <w:t xml:space="preserve">theoretical innovations that we have made to standard GTAP to enhance its depiction of both capital and labor markets.  </w:t>
      </w:r>
      <w:r w:rsidR="00292A3D">
        <w:rPr>
          <w:rFonts w:ascii="Times New Roman" w:hAnsi="Times New Roman" w:cs="Times New Roman"/>
          <w:sz w:val="24"/>
          <w:szCs w:val="24"/>
        </w:rPr>
        <w:t xml:space="preserve">It also describes </w:t>
      </w:r>
      <w:r w:rsidR="00E72CA4">
        <w:rPr>
          <w:rFonts w:ascii="Times New Roman" w:hAnsi="Times New Roman" w:cs="Times New Roman"/>
          <w:sz w:val="24"/>
          <w:szCs w:val="24"/>
        </w:rPr>
        <w:t xml:space="preserve">innovations </w:t>
      </w:r>
      <w:r w:rsidR="00292A3D">
        <w:rPr>
          <w:rFonts w:ascii="Times New Roman" w:hAnsi="Times New Roman" w:cs="Times New Roman"/>
          <w:sz w:val="24"/>
          <w:szCs w:val="24"/>
        </w:rPr>
        <w:t xml:space="preserve">that we have made </w:t>
      </w:r>
      <w:r w:rsidR="00E72CA4">
        <w:rPr>
          <w:rFonts w:ascii="Times New Roman" w:hAnsi="Times New Roman" w:cs="Times New Roman"/>
          <w:sz w:val="24"/>
          <w:szCs w:val="24"/>
        </w:rPr>
        <w:t xml:space="preserve">in </w:t>
      </w:r>
      <w:r>
        <w:rPr>
          <w:rFonts w:ascii="Times New Roman" w:hAnsi="Times New Roman" w:cs="Times New Roman"/>
          <w:sz w:val="24"/>
          <w:szCs w:val="24"/>
        </w:rPr>
        <w:t xml:space="preserve">other areas, particularly </w:t>
      </w:r>
      <w:r w:rsidR="00292A3D">
        <w:rPr>
          <w:rFonts w:ascii="Times New Roman" w:hAnsi="Times New Roman" w:cs="Times New Roman"/>
          <w:sz w:val="24"/>
          <w:szCs w:val="24"/>
        </w:rPr>
        <w:t xml:space="preserve">in </w:t>
      </w:r>
      <w:r w:rsidR="00E72CA4">
        <w:rPr>
          <w:rFonts w:ascii="Times New Roman" w:hAnsi="Times New Roman" w:cs="Times New Roman"/>
          <w:sz w:val="24"/>
          <w:szCs w:val="24"/>
        </w:rPr>
        <w:t>the treatments of: the accumulation by each region of foreign assets and liabilities; and the determination of savings, investment and rates of return</w:t>
      </w:r>
      <w:r>
        <w:rPr>
          <w:rFonts w:ascii="Times New Roman" w:hAnsi="Times New Roman" w:cs="Times New Roman"/>
          <w:sz w:val="24"/>
          <w:szCs w:val="24"/>
        </w:rPr>
        <w:t xml:space="preserve">.  </w:t>
      </w:r>
      <w:r w:rsidR="002E0C24" w:rsidRPr="002E0C24">
        <w:rPr>
          <w:rFonts w:ascii="Times New Roman" w:hAnsi="Times New Roman" w:cs="Times New Roman"/>
          <w:sz w:val="24"/>
          <w:szCs w:val="24"/>
        </w:rPr>
        <w:t xml:space="preserve">Section </w:t>
      </w:r>
      <w:r w:rsidR="00DE6050">
        <w:rPr>
          <w:rFonts w:ascii="Times New Roman" w:hAnsi="Times New Roman" w:cs="Times New Roman"/>
          <w:sz w:val="24"/>
          <w:szCs w:val="24"/>
        </w:rPr>
        <w:t>3</w:t>
      </w:r>
      <w:r w:rsidR="002E0C24" w:rsidRPr="002E0C24">
        <w:rPr>
          <w:rFonts w:ascii="Times New Roman" w:hAnsi="Times New Roman" w:cs="Times New Roman"/>
          <w:sz w:val="24"/>
          <w:szCs w:val="24"/>
        </w:rPr>
        <w:t xml:space="preserve"> describes the </w:t>
      </w:r>
      <w:r>
        <w:rPr>
          <w:rFonts w:ascii="Times New Roman" w:hAnsi="Times New Roman" w:cs="Times New Roman"/>
          <w:sz w:val="24"/>
          <w:szCs w:val="24"/>
        </w:rPr>
        <w:t xml:space="preserve">process and </w:t>
      </w:r>
      <w:r w:rsidR="002E0C24" w:rsidRPr="002E0C24">
        <w:rPr>
          <w:rFonts w:ascii="Times New Roman" w:hAnsi="Times New Roman" w:cs="Times New Roman"/>
          <w:sz w:val="24"/>
          <w:szCs w:val="24"/>
        </w:rPr>
        <w:t xml:space="preserve">data inputs </w:t>
      </w:r>
      <w:r>
        <w:rPr>
          <w:rFonts w:ascii="Times New Roman" w:hAnsi="Times New Roman" w:cs="Times New Roman"/>
          <w:sz w:val="24"/>
          <w:szCs w:val="24"/>
        </w:rPr>
        <w:t xml:space="preserve">though which we constructed a disaggregated motor vehicle sector for GTAP-MVH.  Concluding remarks are in section 4.  </w:t>
      </w:r>
      <w:r w:rsidR="007D6386">
        <w:rPr>
          <w:rFonts w:ascii="Times New Roman" w:hAnsi="Times New Roman" w:cs="Times New Roman"/>
          <w:sz w:val="24"/>
          <w:szCs w:val="24"/>
        </w:rPr>
        <w:t>Two appendices describe construction of the baseline and illustrative policy applications.</w:t>
      </w:r>
      <w:r w:rsidR="00E132A9">
        <w:rPr>
          <w:rFonts w:ascii="Times New Roman" w:hAnsi="Times New Roman" w:cs="Times New Roman"/>
          <w:sz w:val="24"/>
          <w:szCs w:val="24"/>
        </w:rPr>
        <w:t xml:space="preserve"> </w:t>
      </w:r>
    </w:p>
    <w:p w:rsidR="002E4C30" w:rsidRPr="0034602C" w:rsidRDefault="002E4C30" w:rsidP="002E4C30">
      <w:pPr>
        <w:spacing w:before="120" w:after="0" w:line="240" w:lineRule="auto"/>
        <w:rPr>
          <w:rFonts w:ascii="Times New Roman" w:hAnsi="Times New Roman" w:cs="Times New Roman"/>
          <w:b/>
          <w:sz w:val="24"/>
          <w:szCs w:val="24"/>
        </w:rPr>
      </w:pPr>
      <w:r w:rsidRPr="0034602C">
        <w:rPr>
          <w:rFonts w:ascii="Times New Roman" w:hAnsi="Times New Roman" w:cs="Times New Roman"/>
          <w:b/>
          <w:sz w:val="24"/>
          <w:szCs w:val="24"/>
        </w:rPr>
        <w:t xml:space="preserve">2.  </w:t>
      </w:r>
      <w:r w:rsidR="00E132A9">
        <w:rPr>
          <w:rFonts w:ascii="Times New Roman" w:hAnsi="Times New Roman" w:cs="Times New Roman"/>
          <w:b/>
          <w:sz w:val="24"/>
          <w:szCs w:val="24"/>
        </w:rPr>
        <w:t xml:space="preserve">Transforming </w:t>
      </w:r>
      <w:r w:rsidRPr="0034602C">
        <w:rPr>
          <w:rFonts w:ascii="Times New Roman" w:hAnsi="Times New Roman" w:cs="Times New Roman"/>
          <w:b/>
          <w:sz w:val="24"/>
          <w:szCs w:val="24"/>
        </w:rPr>
        <w:t>standard GTAP</w:t>
      </w:r>
      <w:r w:rsidR="00E132A9">
        <w:rPr>
          <w:rFonts w:ascii="Times New Roman" w:hAnsi="Times New Roman" w:cs="Times New Roman"/>
          <w:b/>
          <w:sz w:val="24"/>
          <w:szCs w:val="24"/>
        </w:rPr>
        <w:t xml:space="preserve"> into GTAP-</w:t>
      </w:r>
      <w:r w:rsidR="00CD6058">
        <w:rPr>
          <w:rFonts w:ascii="Times New Roman" w:hAnsi="Times New Roman" w:cs="Times New Roman"/>
          <w:b/>
          <w:sz w:val="24"/>
          <w:szCs w:val="24"/>
        </w:rPr>
        <w:t>M</w:t>
      </w:r>
      <w:r w:rsidR="00C64706">
        <w:rPr>
          <w:rFonts w:ascii="Times New Roman" w:hAnsi="Times New Roman" w:cs="Times New Roman"/>
          <w:b/>
          <w:sz w:val="24"/>
          <w:szCs w:val="24"/>
        </w:rPr>
        <w:t>VH</w:t>
      </w:r>
    </w:p>
    <w:p w:rsidR="008E701F" w:rsidRDefault="00FF4295" w:rsidP="00FF4295">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This section contains </w:t>
      </w:r>
      <w:r w:rsidR="00C64706">
        <w:rPr>
          <w:rFonts w:ascii="Times New Roman" w:hAnsi="Times New Roman" w:cs="Times New Roman"/>
          <w:sz w:val="24"/>
          <w:szCs w:val="24"/>
        </w:rPr>
        <w:t>8</w:t>
      </w:r>
      <w:r>
        <w:rPr>
          <w:rFonts w:ascii="Times New Roman" w:hAnsi="Times New Roman" w:cs="Times New Roman"/>
          <w:sz w:val="24"/>
          <w:szCs w:val="24"/>
        </w:rPr>
        <w:t xml:space="preserve"> subsections describing the major operations we performed to transform standard GTAP into GTAP-</w:t>
      </w:r>
      <w:r w:rsidR="00CD6058">
        <w:rPr>
          <w:rFonts w:ascii="Times New Roman" w:hAnsi="Times New Roman" w:cs="Times New Roman"/>
          <w:sz w:val="24"/>
          <w:szCs w:val="24"/>
        </w:rPr>
        <w:t>MV</w:t>
      </w:r>
      <w:r w:rsidR="00C64706">
        <w:rPr>
          <w:rFonts w:ascii="Times New Roman" w:hAnsi="Times New Roman" w:cs="Times New Roman"/>
          <w:sz w:val="24"/>
          <w:szCs w:val="24"/>
        </w:rPr>
        <w:t>H.</w:t>
      </w:r>
      <w:r>
        <w:rPr>
          <w:rFonts w:ascii="Times New Roman" w:hAnsi="Times New Roman" w:cs="Times New Roman"/>
          <w:sz w:val="24"/>
          <w:szCs w:val="24"/>
        </w:rPr>
        <w:t xml:space="preserve">  These operations covered: </w:t>
      </w:r>
    </w:p>
    <w:p w:rsidR="008E701F" w:rsidRDefault="007B6A6A" w:rsidP="006143AB">
      <w:pPr>
        <w:tabs>
          <w:tab w:val="left" w:pos="851"/>
        </w:tabs>
        <w:spacing w:before="40" w:after="0" w:line="240" w:lineRule="auto"/>
        <w:ind w:left="851" w:hanging="567"/>
        <w:rPr>
          <w:rFonts w:ascii="Times New Roman" w:hAnsi="Times New Roman" w:cs="Times New Roman"/>
          <w:sz w:val="24"/>
          <w:szCs w:val="24"/>
        </w:rPr>
      </w:pPr>
      <w:r>
        <w:rPr>
          <w:rFonts w:ascii="Times New Roman" w:hAnsi="Times New Roman" w:cs="Times New Roman"/>
          <w:sz w:val="24"/>
          <w:szCs w:val="24"/>
        </w:rPr>
        <w:t xml:space="preserve">(1) </w:t>
      </w:r>
      <w:r w:rsidR="008E701F">
        <w:rPr>
          <w:rFonts w:ascii="Times New Roman" w:hAnsi="Times New Roman" w:cs="Times New Roman"/>
          <w:sz w:val="24"/>
          <w:szCs w:val="24"/>
        </w:rPr>
        <w:tab/>
      </w:r>
      <w:r w:rsidR="00FF4295">
        <w:rPr>
          <w:rFonts w:ascii="Times New Roman" w:hAnsi="Times New Roman" w:cs="Times New Roman"/>
          <w:sz w:val="24"/>
          <w:szCs w:val="24"/>
        </w:rPr>
        <w:t>ag</w:t>
      </w:r>
      <w:bookmarkStart w:id="0" w:name="_GoBack"/>
      <w:r w:rsidR="00FF4295">
        <w:rPr>
          <w:rFonts w:ascii="Times New Roman" w:hAnsi="Times New Roman" w:cs="Times New Roman"/>
          <w:sz w:val="24"/>
          <w:szCs w:val="24"/>
        </w:rPr>
        <w:t xml:space="preserve">gregation and disaggregation to generate a database highlighting the regions and industries of prime interest in the analysis of </w:t>
      </w:r>
      <w:r w:rsidR="00CD6058">
        <w:rPr>
          <w:rFonts w:ascii="Times New Roman" w:hAnsi="Times New Roman" w:cs="Times New Roman"/>
          <w:sz w:val="24"/>
          <w:szCs w:val="24"/>
        </w:rPr>
        <w:t>motor vehicle trade policies</w:t>
      </w:r>
      <w:r w:rsidR="00FF4295">
        <w:rPr>
          <w:rFonts w:ascii="Times New Roman" w:hAnsi="Times New Roman" w:cs="Times New Roman"/>
          <w:sz w:val="24"/>
          <w:szCs w:val="24"/>
        </w:rPr>
        <w:t>;</w:t>
      </w:r>
      <w:r>
        <w:rPr>
          <w:rFonts w:ascii="Times New Roman" w:hAnsi="Times New Roman" w:cs="Times New Roman"/>
          <w:sz w:val="24"/>
          <w:szCs w:val="24"/>
        </w:rPr>
        <w:t xml:space="preserve"> </w:t>
      </w:r>
    </w:p>
    <w:p w:rsidR="00C64706" w:rsidRDefault="007B6A6A" w:rsidP="006143AB">
      <w:pPr>
        <w:tabs>
          <w:tab w:val="left" w:pos="851"/>
        </w:tabs>
        <w:spacing w:before="40" w:after="0" w:line="240" w:lineRule="auto"/>
        <w:ind w:left="851" w:hanging="567"/>
        <w:rPr>
          <w:rFonts w:ascii="Times New Roman" w:hAnsi="Times New Roman" w:cs="Times New Roman"/>
          <w:sz w:val="24"/>
          <w:szCs w:val="24"/>
        </w:rPr>
      </w:pPr>
      <w:r>
        <w:rPr>
          <w:rFonts w:ascii="Times New Roman" w:hAnsi="Times New Roman" w:cs="Times New Roman"/>
          <w:sz w:val="24"/>
          <w:szCs w:val="24"/>
        </w:rPr>
        <w:t>(</w:t>
      </w:r>
      <w:r w:rsidR="00CD6058">
        <w:rPr>
          <w:rFonts w:ascii="Times New Roman" w:hAnsi="Times New Roman" w:cs="Times New Roman"/>
          <w:sz w:val="24"/>
          <w:szCs w:val="24"/>
        </w:rPr>
        <w:t>2</w:t>
      </w:r>
      <w:r>
        <w:rPr>
          <w:rFonts w:ascii="Times New Roman" w:hAnsi="Times New Roman" w:cs="Times New Roman"/>
          <w:sz w:val="24"/>
          <w:szCs w:val="24"/>
        </w:rPr>
        <w:t xml:space="preserve">) </w:t>
      </w:r>
      <w:r w:rsidR="008E701F">
        <w:rPr>
          <w:rFonts w:ascii="Times New Roman" w:hAnsi="Times New Roman" w:cs="Times New Roman"/>
          <w:sz w:val="24"/>
          <w:szCs w:val="24"/>
        </w:rPr>
        <w:tab/>
      </w:r>
      <w:r w:rsidR="00FF4295">
        <w:rPr>
          <w:rFonts w:ascii="Times New Roman" w:hAnsi="Times New Roman" w:cs="Times New Roman"/>
          <w:sz w:val="24"/>
          <w:szCs w:val="24"/>
        </w:rPr>
        <w:t xml:space="preserve">reformulation of GTAP’s treatment of foreign assets and liabilities to account for net foreign asset accumulation in each region; </w:t>
      </w:r>
    </w:p>
    <w:p w:rsidR="00C64706" w:rsidRDefault="007B6A6A" w:rsidP="006143AB">
      <w:pPr>
        <w:tabs>
          <w:tab w:val="left" w:pos="851"/>
        </w:tabs>
        <w:spacing w:before="40" w:after="0" w:line="240" w:lineRule="auto"/>
        <w:ind w:left="851" w:hanging="567"/>
        <w:rPr>
          <w:rFonts w:ascii="Times New Roman" w:hAnsi="Times New Roman" w:cs="Times New Roman"/>
          <w:sz w:val="24"/>
          <w:szCs w:val="24"/>
        </w:rPr>
      </w:pPr>
      <w:r>
        <w:rPr>
          <w:rFonts w:ascii="Times New Roman" w:hAnsi="Times New Roman" w:cs="Times New Roman"/>
          <w:sz w:val="24"/>
          <w:szCs w:val="24"/>
        </w:rPr>
        <w:t>(</w:t>
      </w:r>
      <w:r w:rsidR="00CD6058">
        <w:rPr>
          <w:rFonts w:ascii="Times New Roman" w:hAnsi="Times New Roman" w:cs="Times New Roman"/>
          <w:sz w:val="24"/>
          <w:szCs w:val="24"/>
        </w:rPr>
        <w:t>3</w:t>
      </w:r>
      <w:r>
        <w:rPr>
          <w:rFonts w:ascii="Times New Roman" w:hAnsi="Times New Roman" w:cs="Times New Roman"/>
          <w:sz w:val="24"/>
          <w:szCs w:val="24"/>
        </w:rPr>
        <w:t xml:space="preserve">) </w:t>
      </w:r>
      <w:r w:rsidR="008E701F">
        <w:rPr>
          <w:rFonts w:ascii="Times New Roman" w:hAnsi="Times New Roman" w:cs="Times New Roman"/>
          <w:sz w:val="24"/>
          <w:szCs w:val="24"/>
        </w:rPr>
        <w:tab/>
      </w:r>
      <w:r w:rsidR="003472A2">
        <w:rPr>
          <w:rFonts w:ascii="Times New Roman" w:hAnsi="Times New Roman" w:cs="Times New Roman"/>
          <w:sz w:val="24"/>
          <w:szCs w:val="24"/>
        </w:rPr>
        <w:t xml:space="preserve">development of closures to ensure that accumulated global saving equals accumulated investment over the period from the </w:t>
      </w:r>
      <w:r w:rsidR="006844C2">
        <w:rPr>
          <w:rFonts w:ascii="Times New Roman" w:hAnsi="Times New Roman" w:cs="Times New Roman"/>
          <w:sz w:val="24"/>
          <w:szCs w:val="24"/>
        </w:rPr>
        <w:t xml:space="preserve">start of the data year </w:t>
      </w:r>
      <w:r w:rsidR="003472A2">
        <w:rPr>
          <w:rFonts w:ascii="Times New Roman" w:hAnsi="Times New Roman" w:cs="Times New Roman"/>
          <w:sz w:val="24"/>
          <w:szCs w:val="24"/>
        </w:rPr>
        <w:t xml:space="preserve">to the start of the simulation year in long-run simulations </w:t>
      </w:r>
      <w:r w:rsidR="006844C2">
        <w:rPr>
          <w:rFonts w:ascii="Times New Roman" w:hAnsi="Times New Roman" w:cs="Times New Roman"/>
          <w:sz w:val="24"/>
          <w:szCs w:val="24"/>
        </w:rPr>
        <w:t>and that global saving in the simulation year equals global investment in the simulation year in both long-run and year-on-year simulations;</w:t>
      </w:r>
    </w:p>
    <w:p w:rsidR="008E701F" w:rsidRDefault="00C64706" w:rsidP="006143AB">
      <w:pPr>
        <w:tabs>
          <w:tab w:val="left" w:pos="851"/>
        </w:tabs>
        <w:spacing w:before="40" w:after="0" w:line="240" w:lineRule="auto"/>
        <w:ind w:left="851" w:hanging="567"/>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AB3052">
        <w:rPr>
          <w:rFonts w:ascii="Times New Roman" w:hAnsi="Times New Roman" w:cs="Times New Roman"/>
          <w:sz w:val="24"/>
          <w:szCs w:val="24"/>
        </w:rPr>
        <w:t xml:space="preserve">development of </w:t>
      </w:r>
      <w:r w:rsidR="00CD6058">
        <w:rPr>
          <w:rFonts w:ascii="Times New Roman" w:hAnsi="Times New Roman" w:cs="Times New Roman"/>
          <w:sz w:val="24"/>
          <w:szCs w:val="24"/>
        </w:rPr>
        <w:t>new equations and closure</w:t>
      </w:r>
      <w:r w:rsidR="008E701F">
        <w:rPr>
          <w:rFonts w:ascii="Times New Roman" w:hAnsi="Times New Roman" w:cs="Times New Roman"/>
          <w:sz w:val="24"/>
          <w:szCs w:val="24"/>
        </w:rPr>
        <w:t>s</w:t>
      </w:r>
      <w:r w:rsidR="00CD6058">
        <w:rPr>
          <w:rFonts w:ascii="Times New Roman" w:hAnsi="Times New Roman" w:cs="Times New Roman"/>
          <w:sz w:val="24"/>
          <w:szCs w:val="24"/>
        </w:rPr>
        <w:t xml:space="preserve"> </w:t>
      </w:r>
      <w:r w:rsidR="008E701F">
        <w:rPr>
          <w:rFonts w:ascii="Times New Roman" w:hAnsi="Times New Roman" w:cs="Times New Roman"/>
          <w:sz w:val="24"/>
          <w:szCs w:val="24"/>
        </w:rPr>
        <w:t xml:space="preserve">for facilitating </w:t>
      </w:r>
      <w:r w:rsidR="008A2721">
        <w:rPr>
          <w:rFonts w:ascii="Times New Roman" w:hAnsi="Times New Roman" w:cs="Times New Roman"/>
          <w:sz w:val="24"/>
          <w:szCs w:val="24"/>
        </w:rPr>
        <w:t xml:space="preserve">year-to-year simulations with </w:t>
      </w:r>
      <w:r w:rsidR="008E701F">
        <w:rPr>
          <w:rFonts w:ascii="Times New Roman" w:hAnsi="Times New Roman" w:cs="Times New Roman"/>
          <w:sz w:val="24"/>
          <w:szCs w:val="24"/>
        </w:rPr>
        <w:t>industry specific c</w:t>
      </w:r>
      <w:r w:rsidR="00CD6058">
        <w:rPr>
          <w:rFonts w:ascii="Times New Roman" w:hAnsi="Times New Roman" w:cs="Times New Roman"/>
          <w:sz w:val="24"/>
          <w:szCs w:val="24"/>
        </w:rPr>
        <w:t xml:space="preserve">apital in each </w:t>
      </w:r>
      <w:r w:rsidR="00777919">
        <w:rPr>
          <w:rFonts w:ascii="Times New Roman" w:hAnsi="Times New Roman" w:cs="Times New Roman"/>
          <w:sz w:val="24"/>
          <w:szCs w:val="24"/>
        </w:rPr>
        <w:t>region</w:t>
      </w:r>
      <w:r w:rsidR="00CD6058">
        <w:rPr>
          <w:rFonts w:ascii="Times New Roman" w:hAnsi="Times New Roman" w:cs="Times New Roman"/>
          <w:sz w:val="24"/>
          <w:szCs w:val="24"/>
        </w:rPr>
        <w:t xml:space="preserve">; </w:t>
      </w:r>
    </w:p>
    <w:p w:rsidR="008E701F" w:rsidRDefault="00CD6058" w:rsidP="006143AB">
      <w:pPr>
        <w:tabs>
          <w:tab w:val="left" w:pos="851"/>
        </w:tabs>
        <w:spacing w:before="40" w:after="0" w:line="240" w:lineRule="auto"/>
        <w:ind w:left="851" w:hanging="567"/>
        <w:rPr>
          <w:rFonts w:ascii="Times New Roman" w:hAnsi="Times New Roman" w:cs="Times New Roman"/>
          <w:sz w:val="24"/>
          <w:szCs w:val="24"/>
        </w:rPr>
      </w:pPr>
      <w:r>
        <w:rPr>
          <w:rFonts w:ascii="Times New Roman" w:hAnsi="Times New Roman" w:cs="Times New Roman"/>
          <w:sz w:val="24"/>
          <w:szCs w:val="24"/>
        </w:rPr>
        <w:lastRenderedPageBreak/>
        <w:t>(</w:t>
      </w:r>
      <w:r w:rsidR="00C64706">
        <w:rPr>
          <w:rFonts w:ascii="Times New Roman" w:hAnsi="Times New Roman" w:cs="Times New Roman"/>
          <w:sz w:val="24"/>
          <w:szCs w:val="24"/>
        </w:rPr>
        <w:t>5</w:t>
      </w:r>
      <w:r>
        <w:rPr>
          <w:rFonts w:ascii="Times New Roman" w:hAnsi="Times New Roman" w:cs="Times New Roman"/>
          <w:sz w:val="24"/>
          <w:szCs w:val="24"/>
        </w:rPr>
        <w:t xml:space="preserve">) </w:t>
      </w:r>
      <w:r w:rsidR="008E701F">
        <w:rPr>
          <w:rFonts w:ascii="Times New Roman" w:hAnsi="Times New Roman" w:cs="Times New Roman"/>
          <w:sz w:val="24"/>
          <w:szCs w:val="24"/>
        </w:rPr>
        <w:tab/>
      </w:r>
      <w:r>
        <w:rPr>
          <w:rFonts w:ascii="Times New Roman" w:hAnsi="Times New Roman" w:cs="Times New Roman"/>
          <w:sz w:val="24"/>
          <w:szCs w:val="24"/>
        </w:rPr>
        <w:t xml:space="preserve">development of a sticky-wage specification that allows for short-run variations in employment; and </w:t>
      </w:r>
    </w:p>
    <w:p w:rsidR="006844C2" w:rsidRPr="00A91ACE" w:rsidRDefault="00CD6058" w:rsidP="006143AB">
      <w:pPr>
        <w:tabs>
          <w:tab w:val="left" w:pos="851"/>
        </w:tabs>
        <w:spacing w:before="40" w:after="0" w:line="240" w:lineRule="auto"/>
        <w:ind w:left="851" w:hanging="567"/>
        <w:rPr>
          <w:rFonts w:ascii="Times New Roman" w:hAnsi="Times New Roman" w:cs="Times New Roman"/>
          <w:sz w:val="24"/>
          <w:szCs w:val="24"/>
        </w:rPr>
      </w:pPr>
      <w:r>
        <w:rPr>
          <w:rFonts w:ascii="Times New Roman" w:hAnsi="Times New Roman" w:cs="Times New Roman"/>
          <w:sz w:val="24"/>
          <w:szCs w:val="24"/>
        </w:rPr>
        <w:t>(</w:t>
      </w:r>
      <w:r w:rsidR="00C64706">
        <w:rPr>
          <w:rFonts w:ascii="Times New Roman" w:hAnsi="Times New Roman" w:cs="Times New Roman"/>
          <w:sz w:val="24"/>
          <w:szCs w:val="24"/>
        </w:rPr>
        <w:t>6</w:t>
      </w:r>
      <w:r>
        <w:rPr>
          <w:rFonts w:ascii="Times New Roman" w:hAnsi="Times New Roman" w:cs="Times New Roman"/>
          <w:sz w:val="24"/>
          <w:szCs w:val="24"/>
        </w:rPr>
        <w:t xml:space="preserve">) </w:t>
      </w:r>
      <w:r w:rsidR="008E701F">
        <w:rPr>
          <w:rFonts w:ascii="Times New Roman" w:hAnsi="Times New Roman" w:cs="Times New Roman"/>
          <w:sz w:val="24"/>
          <w:szCs w:val="24"/>
        </w:rPr>
        <w:tab/>
      </w:r>
      <w:r w:rsidR="00A91ACE">
        <w:rPr>
          <w:rFonts w:ascii="Times New Roman" w:hAnsi="Times New Roman" w:cs="Times New Roman"/>
          <w:sz w:val="24"/>
          <w:szCs w:val="24"/>
        </w:rPr>
        <w:t xml:space="preserve">introduction of capital-using technical changes and changes in capital-labor substitution elasticities and consumption propensities to obtain </w:t>
      </w:r>
      <w:r w:rsidR="00AF73F2" w:rsidRPr="00A91ACE">
        <w:rPr>
          <w:rFonts w:ascii="Times New Roman" w:hAnsi="Times New Roman" w:cs="Times New Roman"/>
          <w:sz w:val="24"/>
          <w:szCs w:val="24"/>
        </w:rPr>
        <w:t xml:space="preserve">credible </w:t>
      </w:r>
      <w:r w:rsidR="00AB3052" w:rsidRPr="00A91ACE">
        <w:rPr>
          <w:rFonts w:ascii="Times New Roman" w:hAnsi="Times New Roman" w:cs="Times New Roman"/>
          <w:sz w:val="24"/>
          <w:szCs w:val="24"/>
        </w:rPr>
        <w:t>paths for rates of return on capital in a world in which savings is likely to run ahead of investment;</w:t>
      </w:r>
      <w:r w:rsidR="007B6A6A" w:rsidRPr="00A91ACE">
        <w:rPr>
          <w:rFonts w:ascii="Times New Roman" w:hAnsi="Times New Roman" w:cs="Times New Roman"/>
          <w:sz w:val="24"/>
          <w:szCs w:val="24"/>
        </w:rPr>
        <w:t xml:space="preserve"> </w:t>
      </w:r>
    </w:p>
    <w:p w:rsidR="006844C2" w:rsidRPr="006844C2" w:rsidRDefault="007B6A6A" w:rsidP="006143AB">
      <w:pPr>
        <w:tabs>
          <w:tab w:val="left" w:pos="851"/>
        </w:tabs>
        <w:spacing w:before="40" w:after="0" w:line="240" w:lineRule="auto"/>
        <w:ind w:left="851" w:hanging="567"/>
        <w:rPr>
          <w:rFonts w:ascii="Times New Roman" w:hAnsi="Times New Roman" w:cs="Times New Roman"/>
          <w:sz w:val="24"/>
          <w:szCs w:val="24"/>
        </w:rPr>
      </w:pPr>
      <w:r w:rsidRPr="006844C2">
        <w:rPr>
          <w:rFonts w:ascii="Times New Roman" w:hAnsi="Times New Roman" w:cs="Times New Roman"/>
          <w:sz w:val="24"/>
          <w:szCs w:val="24"/>
        </w:rPr>
        <w:t>(</w:t>
      </w:r>
      <w:r w:rsidR="006844C2" w:rsidRPr="006844C2">
        <w:rPr>
          <w:rFonts w:ascii="Times New Roman" w:hAnsi="Times New Roman" w:cs="Times New Roman"/>
          <w:sz w:val="24"/>
          <w:szCs w:val="24"/>
        </w:rPr>
        <w:t>7</w:t>
      </w:r>
      <w:r w:rsidRPr="006844C2">
        <w:rPr>
          <w:rFonts w:ascii="Times New Roman" w:hAnsi="Times New Roman" w:cs="Times New Roman"/>
          <w:sz w:val="24"/>
          <w:szCs w:val="24"/>
        </w:rPr>
        <w:t>)</w:t>
      </w:r>
      <w:r w:rsidR="00AB3052" w:rsidRPr="006844C2">
        <w:rPr>
          <w:rFonts w:ascii="Times New Roman" w:hAnsi="Times New Roman" w:cs="Times New Roman"/>
          <w:sz w:val="24"/>
          <w:szCs w:val="24"/>
        </w:rPr>
        <w:t xml:space="preserve"> </w:t>
      </w:r>
      <w:r w:rsidR="006844C2" w:rsidRPr="006844C2">
        <w:rPr>
          <w:rFonts w:ascii="Times New Roman" w:hAnsi="Times New Roman" w:cs="Times New Roman"/>
          <w:sz w:val="24"/>
          <w:szCs w:val="24"/>
        </w:rPr>
        <w:tab/>
        <w:t xml:space="preserve">addition of equations and variables to allow public consumption, private consumption and saving to </w:t>
      </w:r>
      <w:r w:rsidR="006844C2">
        <w:rPr>
          <w:rFonts w:ascii="Times New Roman" w:hAnsi="Times New Roman" w:cs="Times New Roman"/>
          <w:sz w:val="24"/>
          <w:szCs w:val="24"/>
        </w:rPr>
        <w:t>have</w:t>
      </w:r>
      <w:r w:rsidR="006844C2" w:rsidRPr="006844C2">
        <w:rPr>
          <w:rFonts w:ascii="Times New Roman" w:hAnsi="Times New Roman" w:cs="Times New Roman"/>
          <w:sz w:val="24"/>
          <w:szCs w:val="24"/>
        </w:rPr>
        <w:t xml:space="preserve"> fixed shares in</w:t>
      </w:r>
      <w:r w:rsidR="006844C2">
        <w:rPr>
          <w:rFonts w:ascii="Times New Roman" w:hAnsi="Times New Roman" w:cs="Times New Roman"/>
          <w:sz w:val="24"/>
          <w:szCs w:val="24"/>
        </w:rPr>
        <w:t xml:space="preserve"> regional income in</w:t>
      </w:r>
      <w:r w:rsidR="006844C2" w:rsidRPr="006844C2">
        <w:rPr>
          <w:rFonts w:ascii="Times New Roman" w:hAnsi="Times New Roman" w:cs="Times New Roman"/>
          <w:sz w:val="24"/>
          <w:szCs w:val="24"/>
        </w:rPr>
        <w:t xml:space="preserve"> either nominal or real terms </w:t>
      </w:r>
      <w:r w:rsidR="00AB3052" w:rsidRPr="006844C2">
        <w:rPr>
          <w:rFonts w:ascii="Times New Roman" w:hAnsi="Times New Roman" w:cs="Times New Roman"/>
          <w:sz w:val="24"/>
          <w:szCs w:val="24"/>
        </w:rPr>
        <w:t xml:space="preserve">; and </w:t>
      </w:r>
    </w:p>
    <w:p w:rsidR="00FF4295" w:rsidRPr="00FF4295" w:rsidRDefault="007B6A6A" w:rsidP="006143AB">
      <w:pPr>
        <w:tabs>
          <w:tab w:val="left" w:pos="851"/>
        </w:tabs>
        <w:spacing w:before="40" w:after="0" w:line="240" w:lineRule="auto"/>
        <w:ind w:left="851" w:hanging="567"/>
        <w:rPr>
          <w:rFonts w:ascii="Times New Roman" w:hAnsi="Times New Roman" w:cs="Times New Roman"/>
          <w:sz w:val="24"/>
          <w:szCs w:val="24"/>
        </w:rPr>
      </w:pPr>
      <w:r w:rsidRPr="006844C2">
        <w:rPr>
          <w:rFonts w:ascii="Times New Roman" w:hAnsi="Times New Roman" w:cs="Times New Roman"/>
          <w:sz w:val="24"/>
          <w:szCs w:val="24"/>
        </w:rPr>
        <w:t>(</w:t>
      </w:r>
      <w:r w:rsidR="006844C2" w:rsidRPr="006844C2">
        <w:rPr>
          <w:rFonts w:ascii="Times New Roman" w:hAnsi="Times New Roman" w:cs="Times New Roman"/>
          <w:sz w:val="24"/>
          <w:szCs w:val="24"/>
        </w:rPr>
        <w:t>8</w:t>
      </w:r>
      <w:r w:rsidRPr="006844C2">
        <w:rPr>
          <w:rFonts w:ascii="Times New Roman" w:hAnsi="Times New Roman" w:cs="Times New Roman"/>
          <w:sz w:val="24"/>
          <w:szCs w:val="24"/>
        </w:rPr>
        <w:t xml:space="preserve">) </w:t>
      </w:r>
      <w:r w:rsidR="006844C2" w:rsidRPr="006844C2">
        <w:rPr>
          <w:rFonts w:ascii="Times New Roman" w:hAnsi="Times New Roman" w:cs="Times New Roman"/>
          <w:sz w:val="24"/>
          <w:szCs w:val="24"/>
        </w:rPr>
        <w:tab/>
        <w:t xml:space="preserve">addition of variables </w:t>
      </w:r>
      <w:r w:rsidR="006844C2">
        <w:rPr>
          <w:rFonts w:ascii="Times New Roman" w:hAnsi="Times New Roman" w:cs="Times New Roman"/>
          <w:sz w:val="24"/>
          <w:szCs w:val="24"/>
        </w:rPr>
        <w:t>to allow the simulation of cost-neutral changes in preferences in an</w:t>
      </w:r>
      <w:bookmarkEnd w:id="0"/>
      <w:r w:rsidR="006844C2">
        <w:rPr>
          <w:rFonts w:ascii="Times New Roman" w:hAnsi="Times New Roman" w:cs="Times New Roman"/>
          <w:sz w:val="24"/>
          <w:szCs w:val="24"/>
        </w:rPr>
        <w:t>y region between imported and domestic products.</w:t>
      </w:r>
      <w:r w:rsidR="00CD6058" w:rsidRPr="006844C2">
        <w:rPr>
          <w:rFonts w:ascii="Times New Roman" w:hAnsi="Times New Roman" w:cs="Times New Roman"/>
          <w:sz w:val="24"/>
          <w:szCs w:val="24"/>
        </w:rPr>
        <w:t>;</w:t>
      </w:r>
      <w:r w:rsidRPr="006844C2">
        <w:rPr>
          <w:rFonts w:ascii="Times New Roman" w:hAnsi="Times New Roman" w:cs="Times New Roman"/>
          <w:sz w:val="24"/>
          <w:szCs w:val="24"/>
        </w:rPr>
        <w:t>.</w:t>
      </w:r>
      <w:r>
        <w:rPr>
          <w:rFonts w:ascii="Times New Roman" w:hAnsi="Times New Roman" w:cs="Times New Roman"/>
          <w:sz w:val="24"/>
          <w:szCs w:val="24"/>
        </w:rPr>
        <w:t xml:space="preserve">   </w:t>
      </w:r>
      <w:r w:rsidR="00FF4295">
        <w:rPr>
          <w:rFonts w:ascii="Times New Roman" w:hAnsi="Times New Roman" w:cs="Times New Roman"/>
          <w:sz w:val="24"/>
          <w:szCs w:val="24"/>
        </w:rPr>
        <w:t xml:space="preserve"> </w:t>
      </w:r>
    </w:p>
    <w:p w:rsidR="002E4C30" w:rsidRDefault="002E4C30" w:rsidP="002E4C30">
      <w:pPr>
        <w:spacing w:before="120" w:after="0" w:line="240" w:lineRule="auto"/>
        <w:rPr>
          <w:rFonts w:ascii="Times New Roman" w:hAnsi="Times New Roman" w:cs="Times New Roman"/>
          <w:b/>
          <w:i/>
          <w:sz w:val="24"/>
          <w:szCs w:val="24"/>
        </w:rPr>
      </w:pPr>
      <w:r w:rsidRPr="0034602C">
        <w:rPr>
          <w:rFonts w:ascii="Times New Roman" w:hAnsi="Times New Roman" w:cs="Times New Roman"/>
          <w:b/>
          <w:i/>
          <w:sz w:val="24"/>
          <w:szCs w:val="24"/>
        </w:rPr>
        <w:t xml:space="preserve">2.1.  </w:t>
      </w:r>
      <w:r w:rsidR="00D731CA">
        <w:rPr>
          <w:rFonts w:ascii="Times New Roman" w:hAnsi="Times New Roman" w:cs="Times New Roman"/>
          <w:b/>
          <w:i/>
          <w:sz w:val="24"/>
          <w:szCs w:val="24"/>
        </w:rPr>
        <w:t>Regions and i</w:t>
      </w:r>
      <w:r w:rsidR="00E95DF8">
        <w:rPr>
          <w:rFonts w:ascii="Times New Roman" w:hAnsi="Times New Roman" w:cs="Times New Roman"/>
          <w:b/>
          <w:i/>
          <w:sz w:val="24"/>
          <w:szCs w:val="24"/>
        </w:rPr>
        <w:t>ndustries in GTAP-</w:t>
      </w:r>
      <w:r w:rsidR="00722E6A">
        <w:rPr>
          <w:rFonts w:ascii="Times New Roman" w:hAnsi="Times New Roman" w:cs="Times New Roman"/>
          <w:b/>
          <w:i/>
          <w:sz w:val="24"/>
          <w:szCs w:val="24"/>
        </w:rPr>
        <w:t>MV</w:t>
      </w:r>
      <w:r w:rsidR="00D731CA">
        <w:rPr>
          <w:rFonts w:ascii="Times New Roman" w:hAnsi="Times New Roman" w:cs="Times New Roman"/>
          <w:b/>
          <w:i/>
          <w:sz w:val="24"/>
          <w:szCs w:val="24"/>
        </w:rPr>
        <w:t>H</w:t>
      </w:r>
    </w:p>
    <w:p w:rsidR="00D731CA" w:rsidRDefault="00D731CA" w:rsidP="00D731CA">
      <w:pPr>
        <w:spacing w:before="120" w:after="0" w:line="240" w:lineRule="auto"/>
        <w:rPr>
          <w:rFonts w:ascii="Times New Roman" w:hAnsi="Times New Roman" w:cs="Times New Roman"/>
          <w:sz w:val="24"/>
          <w:szCs w:val="24"/>
        </w:rPr>
      </w:pPr>
      <w:r w:rsidRPr="00B41CC3">
        <w:rPr>
          <w:rFonts w:ascii="Times New Roman" w:hAnsi="Times New Roman" w:cs="Times New Roman"/>
          <w:sz w:val="24"/>
          <w:szCs w:val="24"/>
        </w:rPr>
        <w:t xml:space="preserve">The starting point </w:t>
      </w:r>
      <w:r>
        <w:rPr>
          <w:rFonts w:ascii="Times New Roman" w:hAnsi="Times New Roman" w:cs="Times New Roman"/>
          <w:sz w:val="24"/>
          <w:szCs w:val="24"/>
        </w:rPr>
        <w:t xml:space="preserve">for the GTAP-MVH database </w:t>
      </w:r>
      <w:r w:rsidRPr="00B41CC3">
        <w:rPr>
          <w:rFonts w:ascii="Times New Roman" w:hAnsi="Times New Roman" w:cs="Times New Roman"/>
          <w:sz w:val="24"/>
          <w:szCs w:val="24"/>
        </w:rPr>
        <w:t xml:space="preserve">is the GTAP database version 9 for 2011. </w:t>
      </w:r>
      <w:r>
        <w:rPr>
          <w:rFonts w:ascii="Times New Roman" w:hAnsi="Times New Roman" w:cs="Times New Roman"/>
          <w:sz w:val="24"/>
          <w:szCs w:val="24"/>
        </w:rPr>
        <w:t xml:space="preserve"> As explained in </w:t>
      </w:r>
      <w:r w:rsidRPr="00C75576">
        <w:rPr>
          <w:rFonts w:ascii="Times New Roman" w:hAnsi="Times New Roman" w:cs="Times New Roman"/>
          <w:sz w:val="24"/>
          <w:szCs w:val="24"/>
        </w:rPr>
        <w:t xml:space="preserve">Appendix </w:t>
      </w:r>
      <w:r w:rsidR="00D0756E" w:rsidRPr="00C75576">
        <w:rPr>
          <w:rFonts w:ascii="Times New Roman" w:hAnsi="Times New Roman" w:cs="Times New Roman"/>
          <w:sz w:val="24"/>
          <w:szCs w:val="24"/>
        </w:rPr>
        <w:t>1</w:t>
      </w:r>
      <w:r w:rsidRPr="00C75576">
        <w:rPr>
          <w:rFonts w:ascii="Times New Roman" w:hAnsi="Times New Roman" w:cs="Times New Roman"/>
          <w:sz w:val="24"/>
          <w:szCs w:val="24"/>
        </w:rPr>
        <w:t>,</w:t>
      </w:r>
      <w:r>
        <w:rPr>
          <w:rFonts w:ascii="Times New Roman" w:hAnsi="Times New Roman" w:cs="Times New Roman"/>
          <w:sz w:val="24"/>
          <w:szCs w:val="24"/>
        </w:rPr>
        <w:t xml:space="preserve"> after we created the GTAP-MV</w:t>
      </w:r>
      <w:r w:rsidR="00C64706">
        <w:rPr>
          <w:rFonts w:ascii="Times New Roman" w:hAnsi="Times New Roman" w:cs="Times New Roman"/>
          <w:sz w:val="24"/>
          <w:szCs w:val="24"/>
        </w:rPr>
        <w:t>H</w:t>
      </w:r>
      <w:r>
        <w:rPr>
          <w:rFonts w:ascii="Times New Roman" w:hAnsi="Times New Roman" w:cs="Times New Roman"/>
          <w:sz w:val="24"/>
          <w:szCs w:val="24"/>
        </w:rPr>
        <w:t xml:space="preserve"> database for 2011 we updated to 2015.  </w:t>
      </w:r>
    </w:p>
    <w:p w:rsidR="00D731CA" w:rsidRPr="007B6A6A" w:rsidRDefault="00D731CA" w:rsidP="00D731CA">
      <w:pPr>
        <w:pStyle w:val="Heading1"/>
        <w:keepLines/>
        <w:numPr>
          <w:ilvl w:val="0"/>
          <w:numId w:val="0"/>
        </w:numPr>
        <w:spacing w:before="120" w:after="0" w:line="240" w:lineRule="auto"/>
        <w:ind w:left="431" w:hanging="431"/>
        <w:jc w:val="left"/>
        <w:rPr>
          <w:rFonts w:ascii="Times New Roman" w:hAnsi="Times New Roman"/>
          <w:b w:val="0"/>
          <w:i/>
          <w:szCs w:val="24"/>
        </w:rPr>
      </w:pPr>
      <w:r w:rsidRPr="007B6A6A">
        <w:rPr>
          <w:rFonts w:ascii="Times New Roman" w:hAnsi="Times New Roman"/>
          <w:b w:val="0"/>
          <w:i/>
          <w:szCs w:val="24"/>
        </w:rPr>
        <w:t xml:space="preserve">Regions </w:t>
      </w:r>
    </w:p>
    <w:p w:rsidR="00D731CA" w:rsidRDefault="00D731CA" w:rsidP="00D731CA">
      <w:pPr>
        <w:spacing w:after="0" w:line="240" w:lineRule="auto"/>
        <w:rPr>
          <w:rFonts w:ascii="Times New Roman" w:hAnsi="Times New Roman" w:cs="Times New Roman"/>
          <w:sz w:val="24"/>
          <w:szCs w:val="24"/>
        </w:rPr>
      </w:pPr>
      <w:r w:rsidRPr="00B41CC3">
        <w:rPr>
          <w:rFonts w:ascii="Times New Roman" w:hAnsi="Times New Roman" w:cs="Times New Roman"/>
          <w:sz w:val="24"/>
          <w:szCs w:val="24"/>
        </w:rPr>
        <w:t>There are 140 regions in the GTAP v9 database. For this project, they are aggregated to 1</w:t>
      </w:r>
      <w:r w:rsidR="00A91ACE">
        <w:rPr>
          <w:rFonts w:ascii="Times New Roman" w:hAnsi="Times New Roman" w:cs="Times New Roman"/>
          <w:sz w:val="24"/>
          <w:szCs w:val="24"/>
        </w:rPr>
        <w:t>0</w:t>
      </w:r>
      <w:r>
        <w:rPr>
          <w:rFonts w:ascii="Times New Roman" w:hAnsi="Times New Roman" w:cs="Times New Roman"/>
          <w:sz w:val="24"/>
          <w:szCs w:val="24"/>
        </w:rPr>
        <w:t xml:space="preserve"> regions of interest listed in </w:t>
      </w:r>
      <w:r w:rsidR="00A91ACE">
        <w:rPr>
          <w:rFonts w:ascii="Times New Roman" w:hAnsi="Times New Roman" w:cs="Times New Roman"/>
          <w:sz w:val="24"/>
          <w:szCs w:val="24"/>
        </w:rPr>
        <w:t>2.1</w:t>
      </w:r>
      <w:r>
        <w:rPr>
          <w:rFonts w:ascii="Times New Roman" w:hAnsi="Times New Roman" w:cs="Times New Roman"/>
          <w:sz w:val="24"/>
          <w:szCs w:val="24"/>
        </w:rPr>
        <w:t xml:space="preserve">.  This regional classification separately identifies all of the major producing and consuming counties for motor vehicles.  </w:t>
      </w:r>
    </w:p>
    <w:p w:rsidR="00E95DF8" w:rsidRPr="007B6A6A" w:rsidRDefault="00E95DF8" w:rsidP="00B41CC3">
      <w:pPr>
        <w:spacing w:before="120" w:after="0" w:line="240" w:lineRule="auto"/>
        <w:rPr>
          <w:rFonts w:ascii="Times New Roman" w:hAnsi="Times New Roman" w:cs="Times New Roman"/>
          <w:i/>
          <w:sz w:val="24"/>
          <w:szCs w:val="24"/>
        </w:rPr>
      </w:pPr>
      <w:r w:rsidRPr="007B6A6A">
        <w:rPr>
          <w:rFonts w:ascii="Times New Roman" w:hAnsi="Times New Roman" w:cs="Times New Roman"/>
          <w:i/>
          <w:sz w:val="24"/>
          <w:szCs w:val="24"/>
        </w:rPr>
        <w:t>Industries</w:t>
      </w:r>
    </w:p>
    <w:p w:rsidR="00A50E31" w:rsidRDefault="00971620" w:rsidP="00B41CC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original GTAP version 9 </w:t>
      </w:r>
      <w:r w:rsidR="00B41CC3" w:rsidRPr="00B41CC3">
        <w:rPr>
          <w:rFonts w:ascii="Times New Roman" w:hAnsi="Times New Roman" w:cs="Times New Roman"/>
          <w:sz w:val="24"/>
          <w:szCs w:val="24"/>
        </w:rPr>
        <w:t xml:space="preserve">database distinguishes </w:t>
      </w:r>
      <w:r w:rsidR="00CC158C">
        <w:rPr>
          <w:rFonts w:ascii="Times New Roman" w:hAnsi="Times New Roman" w:cs="Times New Roman"/>
          <w:sz w:val="24"/>
          <w:szCs w:val="24"/>
        </w:rPr>
        <w:t xml:space="preserve">57 industries.  </w:t>
      </w:r>
      <w:r w:rsidR="005418BB">
        <w:rPr>
          <w:rFonts w:ascii="Times New Roman" w:hAnsi="Times New Roman" w:cs="Times New Roman"/>
          <w:sz w:val="24"/>
          <w:szCs w:val="24"/>
        </w:rPr>
        <w:t xml:space="preserve">All motor manufacturing activities are included in just one of the GTAP’s 57 industries, namely “mvh”.  </w:t>
      </w:r>
      <w:r w:rsidR="00B41CC3" w:rsidRPr="00B41CC3">
        <w:rPr>
          <w:rFonts w:ascii="Times New Roman" w:hAnsi="Times New Roman" w:cs="Times New Roman"/>
          <w:sz w:val="24"/>
          <w:szCs w:val="24"/>
        </w:rPr>
        <w:t xml:space="preserve">For better analysis of </w:t>
      </w:r>
      <w:r w:rsidR="005418BB">
        <w:rPr>
          <w:rFonts w:ascii="Times New Roman" w:hAnsi="Times New Roman" w:cs="Times New Roman"/>
          <w:sz w:val="24"/>
          <w:szCs w:val="24"/>
        </w:rPr>
        <w:t xml:space="preserve">trade policies in the motor vehicle sector, we disaggregate </w:t>
      </w:r>
      <w:r>
        <w:rPr>
          <w:rFonts w:ascii="Times New Roman" w:hAnsi="Times New Roman" w:cs="Times New Roman"/>
          <w:sz w:val="24"/>
          <w:szCs w:val="24"/>
        </w:rPr>
        <w:t>GTAP</w:t>
      </w:r>
      <w:r w:rsidR="005418BB">
        <w:rPr>
          <w:rFonts w:ascii="Times New Roman" w:hAnsi="Times New Roman" w:cs="Times New Roman"/>
          <w:sz w:val="24"/>
          <w:szCs w:val="24"/>
        </w:rPr>
        <w:t>’s</w:t>
      </w:r>
      <w:r>
        <w:rPr>
          <w:rFonts w:ascii="Times New Roman" w:hAnsi="Times New Roman" w:cs="Times New Roman"/>
          <w:sz w:val="24"/>
          <w:szCs w:val="24"/>
        </w:rPr>
        <w:t xml:space="preserve"> </w:t>
      </w:r>
      <w:r w:rsidR="005418BB">
        <w:rPr>
          <w:rFonts w:ascii="Times New Roman" w:hAnsi="Times New Roman" w:cs="Times New Roman"/>
          <w:sz w:val="24"/>
          <w:szCs w:val="24"/>
        </w:rPr>
        <w:t xml:space="preserve">mvh </w:t>
      </w:r>
      <w:r w:rsidR="00CC158C">
        <w:rPr>
          <w:rFonts w:ascii="Times New Roman" w:hAnsi="Times New Roman" w:cs="Times New Roman"/>
          <w:sz w:val="24"/>
          <w:szCs w:val="24"/>
        </w:rPr>
        <w:t>industr</w:t>
      </w:r>
      <w:r w:rsidR="005418BB">
        <w:rPr>
          <w:rFonts w:ascii="Times New Roman" w:hAnsi="Times New Roman" w:cs="Times New Roman"/>
          <w:sz w:val="24"/>
          <w:szCs w:val="24"/>
        </w:rPr>
        <w:t xml:space="preserve">y </w:t>
      </w:r>
      <w:r w:rsidR="00B41CC3" w:rsidRPr="00B41CC3">
        <w:rPr>
          <w:rFonts w:ascii="Times New Roman" w:hAnsi="Times New Roman" w:cs="Times New Roman"/>
          <w:sz w:val="24"/>
          <w:szCs w:val="24"/>
        </w:rPr>
        <w:t xml:space="preserve">into </w:t>
      </w:r>
      <w:r w:rsidR="005418BB">
        <w:rPr>
          <w:rFonts w:ascii="Times New Roman" w:hAnsi="Times New Roman" w:cs="Times New Roman"/>
          <w:sz w:val="24"/>
          <w:szCs w:val="24"/>
        </w:rPr>
        <w:t>9</w:t>
      </w:r>
      <w:r>
        <w:rPr>
          <w:rFonts w:ascii="Times New Roman" w:hAnsi="Times New Roman" w:cs="Times New Roman"/>
          <w:sz w:val="24"/>
          <w:szCs w:val="24"/>
        </w:rPr>
        <w:t xml:space="preserve"> more </w:t>
      </w:r>
      <w:r w:rsidR="00B41CC3" w:rsidRPr="00B41CC3">
        <w:rPr>
          <w:rFonts w:ascii="Times New Roman" w:hAnsi="Times New Roman" w:cs="Times New Roman"/>
          <w:sz w:val="24"/>
          <w:szCs w:val="24"/>
        </w:rPr>
        <w:t xml:space="preserve">detailed industries. </w:t>
      </w:r>
      <w:r w:rsidR="00CC158C">
        <w:rPr>
          <w:rFonts w:ascii="Times New Roman" w:hAnsi="Times New Roman" w:cs="Times New Roman"/>
          <w:sz w:val="24"/>
          <w:szCs w:val="24"/>
        </w:rPr>
        <w:t xml:space="preserve"> </w:t>
      </w:r>
      <w:r w:rsidR="00B41CC3" w:rsidRPr="00B41CC3">
        <w:rPr>
          <w:rFonts w:ascii="Times New Roman" w:hAnsi="Times New Roman" w:cs="Times New Roman"/>
          <w:sz w:val="24"/>
          <w:szCs w:val="24"/>
        </w:rPr>
        <w:t>We aggregate</w:t>
      </w:r>
      <w:r w:rsidR="00CC158C">
        <w:rPr>
          <w:rFonts w:ascii="Times New Roman" w:hAnsi="Times New Roman" w:cs="Times New Roman"/>
          <w:sz w:val="24"/>
          <w:szCs w:val="24"/>
        </w:rPr>
        <w:t xml:space="preserve"> other </w:t>
      </w:r>
      <w:r w:rsidR="00B41CC3" w:rsidRPr="00B41CC3">
        <w:rPr>
          <w:rFonts w:ascii="Times New Roman" w:hAnsi="Times New Roman" w:cs="Times New Roman"/>
          <w:sz w:val="24"/>
          <w:szCs w:val="24"/>
        </w:rPr>
        <w:t xml:space="preserve">GTAP </w:t>
      </w:r>
      <w:r w:rsidR="00CC158C">
        <w:rPr>
          <w:rFonts w:ascii="Times New Roman" w:hAnsi="Times New Roman" w:cs="Times New Roman"/>
          <w:sz w:val="24"/>
          <w:szCs w:val="24"/>
        </w:rPr>
        <w:t>industries</w:t>
      </w:r>
      <w:r w:rsidR="00B41CC3" w:rsidRPr="00B41CC3">
        <w:rPr>
          <w:rFonts w:ascii="Times New Roman" w:hAnsi="Times New Roman" w:cs="Times New Roman"/>
          <w:sz w:val="24"/>
          <w:szCs w:val="24"/>
        </w:rPr>
        <w:t xml:space="preserve"> that are </w:t>
      </w:r>
      <w:r w:rsidR="000033A7">
        <w:rPr>
          <w:rFonts w:ascii="Times New Roman" w:hAnsi="Times New Roman" w:cs="Times New Roman"/>
          <w:sz w:val="24"/>
          <w:szCs w:val="24"/>
        </w:rPr>
        <w:t xml:space="preserve">of only marginal relevance to trade policy in the motor vehicle sector.  For example, in GTAP-MVH the 12 GTAP agricultural industries are aggregated into one.  The full list of industries in GTAP-MVH is in Table </w:t>
      </w:r>
      <w:r w:rsidR="00DB088F">
        <w:rPr>
          <w:rFonts w:ascii="Times New Roman" w:hAnsi="Times New Roman" w:cs="Times New Roman"/>
          <w:sz w:val="24"/>
          <w:szCs w:val="24"/>
        </w:rPr>
        <w:t>2.2</w:t>
      </w:r>
      <w:r w:rsidR="00D731CA">
        <w:rPr>
          <w:rFonts w:ascii="Times New Roman" w:hAnsi="Times New Roman" w:cs="Times New Roman"/>
          <w:sz w:val="24"/>
          <w:szCs w:val="24"/>
        </w:rPr>
        <w:t xml:space="preserve">, with the disaggregated mvh industries shown </w:t>
      </w:r>
      <w:r w:rsidR="00DB088F">
        <w:rPr>
          <w:rFonts w:ascii="Times New Roman" w:hAnsi="Times New Roman" w:cs="Times New Roman"/>
          <w:sz w:val="24"/>
          <w:szCs w:val="24"/>
        </w:rPr>
        <w:t xml:space="preserve">shaded and in </w:t>
      </w:r>
      <w:r w:rsidR="00D731CA">
        <w:rPr>
          <w:rFonts w:ascii="Times New Roman" w:hAnsi="Times New Roman" w:cs="Times New Roman"/>
          <w:sz w:val="24"/>
          <w:szCs w:val="24"/>
        </w:rPr>
        <w:t>bold type</w:t>
      </w:r>
      <w:r w:rsidR="000033A7">
        <w:rPr>
          <w:rFonts w:ascii="Times New Roman" w:hAnsi="Times New Roman" w:cs="Times New Roman"/>
          <w:sz w:val="24"/>
          <w:szCs w:val="24"/>
        </w:rPr>
        <w:t xml:space="preserve">.  </w:t>
      </w:r>
    </w:p>
    <w:p w:rsidR="00B41CC3" w:rsidRDefault="00B41CC3" w:rsidP="00B41CC3">
      <w:pPr>
        <w:spacing w:before="120" w:after="0" w:line="240" w:lineRule="auto"/>
        <w:rPr>
          <w:rFonts w:ascii="Times New Roman" w:hAnsi="Times New Roman" w:cs="Times New Roman"/>
          <w:sz w:val="24"/>
          <w:szCs w:val="24"/>
        </w:rPr>
      </w:pPr>
      <w:r w:rsidRPr="00971620">
        <w:rPr>
          <w:rFonts w:ascii="Times New Roman" w:hAnsi="Times New Roman" w:cs="Times New Roman"/>
          <w:sz w:val="24"/>
          <w:szCs w:val="24"/>
        </w:rPr>
        <w:t xml:space="preserve">The </w:t>
      </w:r>
      <w:r w:rsidR="00971620" w:rsidRPr="00971620">
        <w:rPr>
          <w:rFonts w:ascii="Times New Roman" w:hAnsi="Times New Roman" w:cs="Times New Roman"/>
          <w:sz w:val="24"/>
          <w:szCs w:val="24"/>
        </w:rPr>
        <w:t xml:space="preserve">data and methods used to split the </w:t>
      </w:r>
      <w:r w:rsidR="000033A7">
        <w:rPr>
          <w:rFonts w:ascii="Times New Roman" w:hAnsi="Times New Roman" w:cs="Times New Roman"/>
          <w:sz w:val="24"/>
          <w:szCs w:val="24"/>
        </w:rPr>
        <w:t xml:space="preserve">GTAP’s mvh industry into 9 industries </w:t>
      </w:r>
      <w:r w:rsidR="00971620" w:rsidRPr="00971620">
        <w:rPr>
          <w:rFonts w:ascii="Times New Roman" w:hAnsi="Times New Roman" w:cs="Times New Roman"/>
          <w:sz w:val="24"/>
          <w:szCs w:val="24"/>
        </w:rPr>
        <w:t xml:space="preserve">are described in </w:t>
      </w:r>
      <w:r w:rsidR="00D0756E" w:rsidRPr="00C75576">
        <w:rPr>
          <w:rFonts w:ascii="Times New Roman" w:hAnsi="Times New Roman" w:cs="Times New Roman"/>
          <w:sz w:val="24"/>
          <w:szCs w:val="24"/>
        </w:rPr>
        <w:t>section 3</w:t>
      </w:r>
      <w:r w:rsidR="00971620" w:rsidRPr="00971620">
        <w:rPr>
          <w:rFonts w:ascii="Times New Roman" w:hAnsi="Times New Roman" w:cs="Times New Roman"/>
          <w:sz w:val="24"/>
          <w:szCs w:val="24"/>
        </w:rPr>
        <w:t xml:space="preserve">.  </w:t>
      </w:r>
      <w:r w:rsidR="00DB088F">
        <w:rPr>
          <w:rFonts w:ascii="Times New Roman" w:hAnsi="Times New Roman" w:cs="Times New Roman"/>
          <w:sz w:val="24"/>
          <w:szCs w:val="24"/>
        </w:rPr>
        <w:t xml:space="preserve">We also show the main outcomes from this work.  These consist of 10 by 10 matrices for each of the 9 mvh products showing sales between countries.   </w:t>
      </w:r>
    </w:p>
    <w:p w:rsidR="00D731CA" w:rsidRPr="00A91ACE" w:rsidRDefault="00D731CA" w:rsidP="00A91ACE">
      <w:pPr>
        <w:pStyle w:val="Caption"/>
        <w:spacing w:before="120" w:after="0" w:line="240" w:lineRule="auto"/>
        <w:ind w:left="357"/>
        <w:jc w:val="center"/>
        <w:rPr>
          <w:rFonts w:ascii="Times New Roman" w:hAnsi="Times New Roman"/>
          <w:i/>
          <w:sz w:val="24"/>
          <w:szCs w:val="24"/>
        </w:rPr>
      </w:pPr>
      <w:r w:rsidRPr="00A91ACE">
        <w:rPr>
          <w:rFonts w:ascii="Times New Roman" w:hAnsi="Times New Roman"/>
          <w:i/>
          <w:sz w:val="24"/>
          <w:szCs w:val="24"/>
        </w:rPr>
        <w:t xml:space="preserve">Table </w:t>
      </w:r>
      <w:r w:rsidR="00A91ACE" w:rsidRPr="00A91ACE">
        <w:rPr>
          <w:rFonts w:ascii="Times New Roman" w:hAnsi="Times New Roman"/>
          <w:i/>
          <w:noProof/>
          <w:sz w:val="24"/>
          <w:szCs w:val="24"/>
        </w:rPr>
        <w:t>2.1</w:t>
      </w:r>
      <w:r w:rsidRPr="00A91ACE">
        <w:rPr>
          <w:rFonts w:ascii="Times New Roman" w:hAnsi="Times New Roman"/>
          <w:i/>
          <w:sz w:val="24"/>
          <w:szCs w:val="24"/>
        </w:rPr>
        <w:t xml:space="preserve">. </w:t>
      </w:r>
      <w:r w:rsidR="00A50E31">
        <w:rPr>
          <w:rFonts w:ascii="Times New Roman" w:hAnsi="Times New Roman"/>
          <w:i/>
          <w:sz w:val="24"/>
          <w:szCs w:val="24"/>
        </w:rPr>
        <w:t xml:space="preserve"> </w:t>
      </w:r>
      <w:r w:rsidRPr="00A91ACE">
        <w:rPr>
          <w:rFonts w:ascii="Times New Roman" w:hAnsi="Times New Roman"/>
          <w:i/>
          <w:sz w:val="24"/>
          <w:szCs w:val="24"/>
        </w:rPr>
        <w:t>Regions in GTAP-MVH model</w:t>
      </w:r>
    </w:p>
    <w:tbl>
      <w:tblPr>
        <w:tblW w:w="4819" w:type="dxa"/>
        <w:tblInd w:w="2258" w:type="dxa"/>
        <w:tblLayout w:type="fixed"/>
        <w:tblLook w:val="04A0" w:firstRow="1" w:lastRow="0" w:firstColumn="1" w:lastColumn="0" w:noHBand="0" w:noVBand="1"/>
      </w:tblPr>
      <w:tblGrid>
        <w:gridCol w:w="1134"/>
        <w:gridCol w:w="3685"/>
      </w:tblGrid>
      <w:tr w:rsidR="00D731CA" w:rsidRPr="00AF63C7" w:rsidTr="000F09E1">
        <w:trPr>
          <w:trHeight w:val="300"/>
        </w:trPr>
        <w:tc>
          <w:tcPr>
            <w:tcW w:w="1134" w:type="dxa"/>
            <w:tcBorders>
              <w:top w:val="single" w:sz="18" w:space="0" w:color="7F7F7F" w:themeColor="text1" w:themeTint="80"/>
              <w:bottom w:val="single" w:sz="18" w:space="0" w:color="7F7F7F" w:themeColor="text1" w:themeTint="80"/>
              <w:right w:val="single" w:sz="8" w:space="0" w:color="auto"/>
            </w:tcBorders>
            <w:shd w:val="clear" w:color="auto" w:fill="auto"/>
            <w:hideMark/>
          </w:tcPr>
          <w:p w:rsidR="00D731CA" w:rsidRPr="00A91ACE" w:rsidRDefault="00D731CA" w:rsidP="00F81F7F">
            <w:pPr>
              <w:spacing w:before="60" w:after="60" w:line="240" w:lineRule="auto"/>
              <w:jc w:val="center"/>
              <w:rPr>
                <w:rFonts w:ascii="Times New Roman" w:eastAsia="Times New Roman" w:hAnsi="Times New Roman" w:cs="Times New Roman"/>
                <w:b/>
                <w:bCs/>
                <w:sz w:val="18"/>
                <w:szCs w:val="18"/>
              </w:rPr>
            </w:pPr>
            <w:r w:rsidRPr="00A91ACE">
              <w:rPr>
                <w:rFonts w:ascii="Times New Roman" w:eastAsia="Times New Roman" w:hAnsi="Times New Roman" w:cs="Times New Roman"/>
                <w:b/>
                <w:bCs/>
                <w:sz w:val="18"/>
                <w:szCs w:val="18"/>
              </w:rPr>
              <w:t>No.</w:t>
            </w:r>
          </w:p>
        </w:tc>
        <w:tc>
          <w:tcPr>
            <w:tcW w:w="3685" w:type="dxa"/>
            <w:tcBorders>
              <w:top w:val="single" w:sz="18" w:space="0" w:color="7F7F7F" w:themeColor="text1" w:themeTint="80"/>
              <w:left w:val="single" w:sz="8" w:space="0" w:color="auto"/>
              <w:bottom w:val="single" w:sz="18" w:space="0" w:color="7F7F7F" w:themeColor="text1" w:themeTint="80"/>
            </w:tcBorders>
            <w:shd w:val="clear" w:color="auto" w:fill="auto"/>
            <w:noWrap/>
            <w:hideMark/>
          </w:tcPr>
          <w:p w:rsidR="00D731CA" w:rsidRPr="00A91ACE" w:rsidRDefault="00D731CA" w:rsidP="00F81F7F">
            <w:pPr>
              <w:spacing w:before="60" w:after="60" w:line="240" w:lineRule="auto"/>
              <w:rPr>
                <w:rFonts w:ascii="Times New Roman" w:eastAsia="Times New Roman" w:hAnsi="Times New Roman" w:cs="Times New Roman"/>
                <w:b/>
                <w:bCs/>
                <w:sz w:val="18"/>
                <w:szCs w:val="18"/>
              </w:rPr>
            </w:pPr>
            <w:r w:rsidRPr="00A91ACE">
              <w:rPr>
                <w:rFonts w:ascii="Times New Roman" w:eastAsia="Times New Roman" w:hAnsi="Times New Roman" w:cs="Times New Roman"/>
                <w:b/>
                <w:bCs/>
                <w:sz w:val="18"/>
                <w:szCs w:val="18"/>
              </w:rPr>
              <w:t>Regions</w:t>
            </w:r>
          </w:p>
        </w:tc>
      </w:tr>
      <w:tr w:rsidR="00D731CA" w:rsidRPr="00AF63C7" w:rsidTr="000F09E1">
        <w:trPr>
          <w:trHeight w:val="300"/>
        </w:trPr>
        <w:tc>
          <w:tcPr>
            <w:tcW w:w="1134" w:type="dxa"/>
            <w:tcBorders>
              <w:top w:val="single" w:sz="18" w:space="0" w:color="7F7F7F" w:themeColor="text1" w:themeTint="80"/>
              <w:bottom w:val="nil"/>
              <w:right w:val="single" w:sz="8" w:space="0" w:color="auto"/>
            </w:tcBorders>
            <w:shd w:val="clear" w:color="auto" w:fill="auto"/>
            <w:hideMark/>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1</w:t>
            </w:r>
          </w:p>
        </w:tc>
        <w:tc>
          <w:tcPr>
            <w:tcW w:w="3685" w:type="dxa"/>
            <w:tcBorders>
              <w:top w:val="single" w:sz="18" w:space="0" w:color="7F7F7F" w:themeColor="text1" w:themeTint="80"/>
              <w:left w:val="single" w:sz="8" w:space="0" w:color="auto"/>
              <w:bottom w:val="nil"/>
            </w:tcBorders>
            <w:shd w:val="clear" w:color="auto" w:fill="auto"/>
            <w:noWrap/>
            <w:hideMark/>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USA</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2</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Canada</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3</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Mexico</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4</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Japan</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5</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South Korea</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6</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China</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7</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Germany</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8</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EU26 (= EU-28 less Germany and the UK)</w:t>
            </w:r>
          </w:p>
        </w:tc>
      </w:tr>
      <w:tr w:rsidR="00D731CA" w:rsidRPr="00AF63C7" w:rsidTr="000F09E1">
        <w:trPr>
          <w:trHeight w:val="300"/>
        </w:trPr>
        <w:tc>
          <w:tcPr>
            <w:tcW w:w="1134" w:type="dxa"/>
            <w:tcBorders>
              <w:top w:val="nil"/>
              <w:bottom w:val="nil"/>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9</w:t>
            </w:r>
          </w:p>
        </w:tc>
        <w:tc>
          <w:tcPr>
            <w:tcW w:w="3685" w:type="dxa"/>
            <w:tcBorders>
              <w:top w:val="nil"/>
              <w:left w:val="single" w:sz="8" w:space="0" w:color="auto"/>
              <w:bottom w:val="nil"/>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United Kingdom</w:t>
            </w:r>
          </w:p>
        </w:tc>
      </w:tr>
      <w:tr w:rsidR="00D731CA" w:rsidRPr="00AF63C7" w:rsidTr="000F09E1">
        <w:trPr>
          <w:trHeight w:val="300"/>
        </w:trPr>
        <w:tc>
          <w:tcPr>
            <w:tcW w:w="1134" w:type="dxa"/>
            <w:tcBorders>
              <w:top w:val="nil"/>
              <w:bottom w:val="single" w:sz="18" w:space="0" w:color="7F7F7F" w:themeColor="text1" w:themeTint="80"/>
              <w:right w:val="single" w:sz="8" w:space="0" w:color="auto"/>
            </w:tcBorders>
            <w:shd w:val="clear" w:color="auto" w:fill="auto"/>
          </w:tcPr>
          <w:p w:rsidR="00D731CA" w:rsidRPr="00A91ACE" w:rsidRDefault="00D731CA" w:rsidP="00A91ACE">
            <w:pPr>
              <w:spacing w:before="20" w:after="20" w:line="240" w:lineRule="auto"/>
              <w:jc w:val="center"/>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10</w:t>
            </w:r>
          </w:p>
        </w:tc>
        <w:tc>
          <w:tcPr>
            <w:tcW w:w="3685" w:type="dxa"/>
            <w:tcBorders>
              <w:top w:val="nil"/>
              <w:left w:val="single" w:sz="8" w:space="0" w:color="auto"/>
              <w:bottom w:val="single" w:sz="18" w:space="0" w:color="7F7F7F" w:themeColor="text1" w:themeTint="80"/>
            </w:tcBorders>
            <w:shd w:val="clear" w:color="auto" w:fill="auto"/>
            <w:noWrap/>
          </w:tcPr>
          <w:p w:rsidR="00D731CA" w:rsidRPr="00A91ACE" w:rsidRDefault="00D731CA" w:rsidP="00A91ACE">
            <w:pPr>
              <w:spacing w:before="20" w:after="20" w:line="240" w:lineRule="auto"/>
              <w:rPr>
                <w:rFonts w:ascii="Times New Roman" w:eastAsia="Times New Roman" w:hAnsi="Times New Roman" w:cs="Times New Roman"/>
                <w:sz w:val="18"/>
                <w:szCs w:val="18"/>
              </w:rPr>
            </w:pPr>
            <w:r w:rsidRPr="00A91ACE">
              <w:rPr>
                <w:rFonts w:ascii="Times New Roman" w:eastAsia="Times New Roman" w:hAnsi="Times New Roman" w:cs="Times New Roman"/>
                <w:sz w:val="18"/>
                <w:szCs w:val="18"/>
              </w:rPr>
              <w:t>Rest of the World</w:t>
            </w:r>
          </w:p>
        </w:tc>
      </w:tr>
    </w:tbl>
    <w:p w:rsidR="00D731CA" w:rsidRPr="00BC011C" w:rsidRDefault="00D731CA" w:rsidP="00C73F74">
      <w:pPr>
        <w:spacing w:after="0" w:line="240" w:lineRule="auto"/>
        <w:rPr>
          <w:rFonts w:ascii="Times New Roman" w:hAnsi="Times New Roman" w:cs="Times New Roman"/>
          <w:sz w:val="18"/>
          <w:szCs w:val="18"/>
        </w:rPr>
      </w:pPr>
    </w:p>
    <w:p w:rsidR="001D2FBC" w:rsidRDefault="001D2FBC" w:rsidP="00A91ACE">
      <w:pPr>
        <w:pStyle w:val="Caption"/>
        <w:spacing w:beforeLines="20" w:before="48" w:afterLines="20" w:after="48" w:line="240" w:lineRule="auto"/>
        <w:ind w:left="357"/>
        <w:sectPr w:rsidR="001D2FBC" w:rsidSect="007573B1">
          <w:footerReference w:type="default" r:id="rId8"/>
          <w:pgSz w:w="11906" w:h="16838"/>
          <w:pgMar w:top="1440" w:right="1440" w:bottom="1440" w:left="1440" w:header="708" w:footer="708" w:gutter="0"/>
          <w:cols w:space="708"/>
          <w:docGrid w:linePitch="360"/>
        </w:sectPr>
      </w:pPr>
    </w:p>
    <w:p w:rsidR="001D2FBC" w:rsidRPr="00A91ACE" w:rsidRDefault="001D2FBC" w:rsidP="001D2FBC">
      <w:pPr>
        <w:pStyle w:val="Caption"/>
        <w:keepNext/>
        <w:spacing w:before="120" w:after="0" w:line="240" w:lineRule="auto"/>
        <w:jc w:val="center"/>
        <w:rPr>
          <w:rFonts w:ascii="Times New Roman" w:hAnsi="Times New Roman"/>
          <w:i/>
          <w:sz w:val="24"/>
          <w:szCs w:val="24"/>
        </w:rPr>
      </w:pPr>
      <w:r w:rsidRPr="00A91ACE">
        <w:rPr>
          <w:rFonts w:ascii="Times New Roman" w:hAnsi="Times New Roman"/>
          <w:i/>
          <w:sz w:val="24"/>
          <w:szCs w:val="24"/>
        </w:rPr>
        <w:lastRenderedPageBreak/>
        <w:t>Table 2.</w:t>
      </w:r>
      <w:r w:rsidR="00A50E31">
        <w:rPr>
          <w:rFonts w:ascii="Times New Roman" w:hAnsi="Times New Roman"/>
          <w:i/>
          <w:sz w:val="24"/>
          <w:szCs w:val="24"/>
        </w:rPr>
        <w:t>2</w:t>
      </w:r>
      <w:r w:rsidRPr="00A91ACE">
        <w:rPr>
          <w:rFonts w:ascii="Times New Roman" w:hAnsi="Times New Roman"/>
          <w:i/>
          <w:sz w:val="24"/>
          <w:szCs w:val="24"/>
        </w:rPr>
        <w:t xml:space="preserve">. </w:t>
      </w:r>
      <w:r w:rsidR="00A50E31">
        <w:rPr>
          <w:rFonts w:ascii="Times New Roman" w:hAnsi="Times New Roman"/>
          <w:i/>
          <w:sz w:val="24"/>
          <w:szCs w:val="24"/>
        </w:rPr>
        <w:t xml:space="preserve"> </w:t>
      </w:r>
      <w:r w:rsidRPr="00A91ACE">
        <w:rPr>
          <w:rFonts w:ascii="Times New Roman" w:hAnsi="Times New Roman"/>
          <w:i/>
          <w:sz w:val="24"/>
          <w:szCs w:val="24"/>
        </w:rPr>
        <w:t>Sectors in GTAP-MVH model</w:t>
      </w:r>
    </w:p>
    <w:tbl>
      <w:tblPr>
        <w:tblW w:w="13750" w:type="dxa"/>
        <w:tblBorders>
          <w:top w:val="single" w:sz="4" w:space="0" w:color="auto"/>
          <w:bottom w:val="single" w:sz="4" w:space="0" w:color="auto"/>
          <w:insideH w:val="dotted" w:sz="4" w:space="0" w:color="auto"/>
        </w:tblBorders>
        <w:tblLook w:val="04A0" w:firstRow="1" w:lastRow="0" w:firstColumn="1" w:lastColumn="0" w:noHBand="0" w:noVBand="1"/>
      </w:tblPr>
      <w:tblGrid>
        <w:gridCol w:w="851"/>
        <w:gridCol w:w="1843"/>
        <w:gridCol w:w="2792"/>
        <w:gridCol w:w="2792"/>
        <w:gridCol w:w="5472"/>
      </w:tblGrid>
      <w:tr w:rsidR="001D2FBC" w:rsidRPr="00AF63C7" w:rsidTr="00613C45">
        <w:trPr>
          <w:trHeight w:val="227"/>
        </w:trPr>
        <w:tc>
          <w:tcPr>
            <w:tcW w:w="851" w:type="dxa"/>
            <w:tcBorders>
              <w:top w:val="single" w:sz="18" w:space="0" w:color="7F7F7F" w:themeColor="text1" w:themeTint="80"/>
              <w:bottom w:val="single" w:sz="18" w:space="0" w:color="7F7F7F" w:themeColor="text1" w:themeTint="80"/>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No.</w:t>
            </w:r>
          </w:p>
        </w:tc>
        <w:tc>
          <w:tcPr>
            <w:tcW w:w="1843" w:type="dxa"/>
            <w:tcBorders>
              <w:top w:val="single" w:sz="18" w:space="0" w:color="7F7F7F" w:themeColor="text1" w:themeTint="80"/>
              <w:bottom w:val="single" w:sz="18" w:space="0" w:color="7F7F7F" w:themeColor="text1" w:themeTint="80"/>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Sectors</w:t>
            </w:r>
          </w:p>
        </w:tc>
        <w:tc>
          <w:tcPr>
            <w:tcW w:w="2792" w:type="dxa"/>
            <w:tcBorders>
              <w:top w:val="single" w:sz="18" w:space="0" w:color="7F7F7F" w:themeColor="text1" w:themeTint="80"/>
              <w:bottom w:val="single" w:sz="18" w:space="0" w:color="7F7F7F" w:themeColor="text1" w:themeTint="80"/>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Description</w:t>
            </w:r>
          </w:p>
        </w:tc>
        <w:tc>
          <w:tcPr>
            <w:tcW w:w="2792" w:type="dxa"/>
            <w:tcBorders>
              <w:top w:val="single" w:sz="18" w:space="0" w:color="7F7F7F" w:themeColor="text1" w:themeTint="80"/>
              <w:bottom w:val="single" w:sz="18" w:space="0" w:color="7F7F7F" w:themeColor="text1" w:themeTint="80"/>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NAICS codes</w:t>
            </w:r>
          </w:p>
        </w:tc>
        <w:tc>
          <w:tcPr>
            <w:tcW w:w="5472" w:type="dxa"/>
            <w:tcBorders>
              <w:top w:val="single" w:sz="18" w:space="0" w:color="7F7F7F" w:themeColor="text1" w:themeTint="80"/>
              <w:bottom w:val="single" w:sz="18" w:space="0" w:color="7F7F7F" w:themeColor="text1" w:themeTint="80"/>
            </w:tcBorders>
          </w:tcPr>
          <w:p w:rsidR="001D2FBC" w:rsidRPr="001D2FBC" w:rsidRDefault="00B77AE2" w:rsidP="001D2FBC">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Original GTAP sectors</w:t>
            </w:r>
          </w:p>
        </w:tc>
      </w:tr>
      <w:tr w:rsidR="001D2FBC" w:rsidRPr="00AF63C7" w:rsidTr="00613C45">
        <w:trPr>
          <w:trHeight w:val="227"/>
        </w:trPr>
        <w:tc>
          <w:tcPr>
            <w:tcW w:w="851" w:type="dxa"/>
            <w:tcBorders>
              <w:top w:val="single" w:sz="18" w:space="0" w:color="7F7F7F" w:themeColor="text1" w:themeTint="80"/>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w:t>
            </w:r>
          </w:p>
        </w:tc>
        <w:tc>
          <w:tcPr>
            <w:tcW w:w="1843" w:type="dxa"/>
            <w:tcBorders>
              <w:top w:val="single" w:sz="18" w:space="0" w:color="7F7F7F" w:themeColor="text1" w:themeTint="80"/>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hAnsi="Times New Roman" w:cs="Times New Roman"/>
                <w:color w:val="000000"/>
                <w:sz w:val="20"/>
                <w:szCs w:val="20"/>
              </w:rPr>
              <w:t>Agriculture</w:t>
            </w:r>
          </w:p>
        </w:tc>
        <w:tc>
          <w:tcPr>
            <w:tcW w:w="2792" w:type="dxa"/>
            <w:tcBorders>
              <w:top w:val="single" w:sz="18" w:space="0" w:color="7F7F7F" w:themeColor="text1" w:themeTint="80"/>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Agriculture</w:t>
            </w:r>
          </w:p>
        </w:tc>
        <w:tc>
          <w:tcPr>
            <w:tcW w:w="2792" w:type="dxa"/>
            <w:tcBorders>
              <w:top w:val="single" w:sz="18" w:space="0" w:color="7F7F7F" w:themeColor="text1" w:themeTint="80"/>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1111 - 1123</w:t>
            </w:r>
          </w:p>
        </w:tc>
        <w:tc>
          <w:tcPr>
            <w:tcW w:w="5472" w:type="dxa"/>
            <w:tcBorders>
              <w:top w:val="single" w:sz="18" w:space="0" w:color="7F7F7F" w:themeColor="text1" w:themeTint="80"/>
              <w:bottom w:val="nil"/>
            </w:tcBorders>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Paddy rice; Wheat; Cereal grains nec; Vegetables, fruits, nuts; Oil seeds; Sugar cane, sugar beet; Plant-based fibres; Crops nec; Bovine cattle, sheep and goats, horses; Animal products nec; Raw milk; Wool, silk-worm cocoons.</w:t>
            </w:r>
          </w:p>
        </w:tc>
      </w:tr>
      <w:tr w:rsidR="001D2FBC" w:rsidRPr="00AF63C7" w:rsidTr="001D2FBC">
        <w:trPr>
          <w:trHeight w:val="227"/>
        </w:trPr>
        <w:tc>
          <w:tcPr>
            <w:tcW w:w="851" w:type="dxa"/>
            <w:tcBorders>
              <w:top w:val="nil"/>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w:t>
            </w:r>
          </w:p>
        </w:tc>
        <w:tc>
          <w:tcPr>
            <w:tcW w:w="1843" w:type="dxa"/>
            <w:tcBorders>
              <w:top w:val="nil"/>
              <w:bottom w:val="nil"/>
            </w:tcBorders>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ForFishMinng</w:t>
            </w:r>
          </w:p>
        </w:tc>
        <w:tc>
          <w:tcPr>
            <w:tcW w:w="2792" w:type="dxa"/>
            <w:tcBorders>
              <w:top w:val="nil"/>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Forestry, fishery and mining</w:t>
            </w:r>
          </w:p>
        </w:tc>
        <w:tc>
          <w:tcPr>
            <w:tcW w:w="2792" w:type="dxa"/>
            <w:tcBorders>
              <w:top w:val="nil"/>
              <w:bottom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1130-2131</w:t>
            </w:r>
          </w:p>
        </w:tc>
        <w:tc>
          <w:tcPr>
            <w:tcW w:w="5472" w:type="dxa"/>
            <w:tcBorders>
              <w:top w:val="nil"/>
              <w:bottom w:val="nil"/>
            </w:tcBorders>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Forestry; Fishing; Coal, oil, gas; Minerals nec.</w:t>
            </w:r>
          </w:p>
        </w:tc>
      </w:tr>
      <w:tr w:rsidR="001D2FBC" w:rsidRPr="00AF63C7" w:rsidTr="001D2FBC">
        <w:trPr>
          <w:trHeight w:val="227"/>
        </w:trPr>
        <w:tc>
          <w:tcPr>
            <w:tcW w:w="851" w:type="dxa"/>
            <w:tcBorders>
              <w:top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w:t>
            </w:r>
          </w:p>
        </w:tc>
        <w:tc>
          <w:tcPr>
            <w:tcW w:w="1843" w:type="dxa"/>
            <w:tcBorders>
              <w:top w:val="nil"/>
            </w:tcBorders>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FoodBevTob</w:t>
            </w:r>
          </w:p>
        </w:tc>
        <w:tc>
          <w:tcPr>
            <w:tcW w:w="2792" w:type="dxa"/>
            <w:tcBorders>
              <w:top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Food, beverages and tobacco products</w:t>
            </w:r>
          </w:p>
        </w:tc>
        <w:tc>
          <w:tcPr>
            <w:tcW w:w="2792" w:type="dxa"/>
            <w:tcBorders>
              <w:top w:val="nil"/>
            </w:tcBorders>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3111 - 3122</w:t>
            </w:r>
          </w:p>
        </w:tc>
        <w:tc>
          <w:tcPr>
            <w:tcW w:w="5472" w:type="dxa"/>
            <w:tcBorders>
              <w:top w:val="nil"/>
            </w:tcBorders>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Bovine meat products; Meat products nec; Vegetable oils and fats; Dairy products; Processed rice; Sugar; Food products nec; Beverages and tobacco products.</w:t>
            </w:r>
          </w:p>
        </w:tc>
      </w:tr>
      <w:tr w:rsidR="001D2FBC" w:rsidRPr="00AF63C7" w:rsidTr="001D2FBC">
        <w:trPr>
          <w:trHeight w:val="227"/>
        </w:trPr>
        <w:tc>
          <w:tcPr>
            <w:tcW w:w="851" w:type="dxa"/>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4</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TCF</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Textile, clothing and footwear</w:t>
            </w:r>
          </w:p>
        </w:tc>
        <w:tc>
          <w:tcPr>
            <w:tcW w:w="2792" w:type="dxa"/>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3131 - 3160</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Textiles; Wearing apparel; Leather products.</w:t>
            </w:r>
          </w:p>
        </w:tc>
      </w:tr>
      <w:tr w:rsidR="001D2FBC" w:rsidRPr="00AF63C7" w:rsidTr="001D2FBC">
        <w:trPr>
          <w:trHeight w:val="227"/>
        </w:trPr>
        <w:tc>
          <w:tcPr>
            <w:tcW w:w="851" w:type="dxa"/>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5</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WoodProd</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Wood products</w:t>
            </w:r>
          </w:p>
        </w:tc>
        <w:tc>
          <w:tcPr>
            <w:tcW w:w="2792" w:type="dxa"/>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3211-3219</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Wood products.</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7</w:t>
            </w:r>
          </w:p>
        </w:tc>
        <w:tc>
          <w:tcPr>
            <w:tcW w:w="1843" w:type="dxa"/>
            <w:shd w:val="clear" w:color="auto" w:fill="auto"/>
            <w:noWrap/>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PaperPublish</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Paper, printing and publishing</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3221 - 3231, 48A000-5111A0</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Paper products, publishing.</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8</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PetrolCoal</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Petroleum and coal products</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3241</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Petroleum, coal products.</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9</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ChemRubPlast</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Chemicals, rubber and plastic products</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3251-3262</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eastAsia="Times New Roman" w:hAnsi="Times New Roman" w:cs="Times New Roman"/>
                <w:color w:val="000000"/>
                <w:sz w:val="18"/>
                <w:szCs w:val="18"/>
              </w:rPr>
              <w:t>Chemicals, rubber and plastic products.</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6</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NMetMinrlPrd</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Non-metal mineral materials</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3271 - 3279</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Mineral products nec.</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10</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FeMetal</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 xml:space="preserve">Ferrous metal </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3311,3312,331510</w:t>
            </w:r>
          </w:p>
        </w:tc>
        <w:tc>
          <w:tcPr>
            <w:tcW w:w="5472" w:type="dxa"/>
          </w:tcPr>
          <w:p w:rsidR="001D2FBC" w:rsidRPr="005E293F" w:rsidRDefault="001D2FBC" w:rsidP="001D2FBC">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Ferrous metals.</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11</w:t>
            </w:r>
          </w:p>
        </w:tc>
        <w:tc>
          <w:tcPr>
            <w:tcW w:w="1843" w:type="dxa"/>
            <w:shd w:val="clear" w:color="auto" w:fill="auto"/>
            <w:noWrap/>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OthMetals</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Non-ferrous metals</w:t>
            </w:r>
          </w:p>
        </w:tc>
        <w:tc>
          <w:tcPr>
            <w:tcW w:w="2792"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3313-3314,331520</w:t>
            </w:r>
          </w:p>
        </w:tc>
        <w:tc>
          <w:tcPr>
            <w:tcW w:w="5472" w:type="dxa"/>
          </w:tcPr>
          <w:p w:rsidR="001D2FBC" w:rsidRPr="005E293F" w:rsidRDefault="001D2FBC" w:rsidP="001D2FBC">
            <w:pPr>
              <w:spacing w:before="120" w:after="0" w:line="240" w:lineRule="auto"/>
              <w:rPr>
                <w:rFonts w:ascii="Times New Roman" w:hAnsi="Times New Roman" w:cs="Times New Roman"/>
                <w:bCs/>
                <w:color w:val="000000"/>
                <w:sz w:val="18"/>
                <w:szCs w:val="18"/>
              </w:rPr>
            </w:pPr>
            <w:r w:rsidRPr="005E293F">
              <w:rPr>
                <w:rFonts w:ascii="Times New Roman" w:hAnsi="Times New Roman" w:cs="Times New Roman"/>
                <w:color w:val="000000"/>
                <w:sz w:val="18"/>
                <w:szCs w:val="18"/>
              </w:rPr>
              <w:t>Metals nec.</w:t>
            </w:r>
          </w:p>
        </w:tc>
      </w:tr>
      <w:tr w:rsidR="001D2FBC" w:rsidRPr="00AF63C7" w:rsidTr="001D2FBC">
        <w:trPr>
          <w:trHeight w:val="227"/>
        </w:trPr>
        <w:tc>
          <w:tcPr>
            <w:tcW w:w="851" w:type="dxa"/>
            <w:shd w:val="clear" w:color="auto" w:fill="auto"/>
            <w:noWrap/>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12</w:t>
            </w:r>
          </w:p>
        </w:tc>
        <w:tc>
          <w:tcPr>
            <w:tcW w:w="1843" w:type="dxa"/>
            <w:shd w:val="clear" w:color="auto" w:fill="auto"/>
            <w:noWrap/>
            <w:hideMark/>
          </w:tcPr>
          <w:p w:rsidR="001D2FBC" w:rsidRPr="001D2FBC" w:rsidRDefault="001D2FBC" w:rsidP="001D2FBC">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MetalProd</w:t>
            </w:r>
          </w:p>
        </w:tc>
        <w:tc>
          <w:tcPr>
            <w:tcW w:w="2792" w:type="dxa"/>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Fabricated metal products</w:t>
            </w:r>
          </w:p>
        </w:tc>
        <w:tc>
          <w:tcPr>
            <w:tcW w:w="2792" w:type="dxa"/>
            <w:shd w:val="clear" w:color="auto" w:fill="auto"/>
            <w:noWrap/>
            <w:hideMark/>
          </w:tcPr>
          <w:p w:rsidR="001D2FBC" w:rsidRPr="001D2FBC" w:rsidRDefault="001D2FBC" w:rsidP="001D2FBC">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3321-3329</w:t>
            </w:r>
          </w:p>
        </w:tc>
        <w:tc>
          <w:tcPr>
            <w:tcW w:w="5472" w:type="dxa"/>
          </w:tcPr>
          <w:p w:rsidR="001D2FBC" w:rsidRPr="005E293F" w:rsidRDefault="001D2FBC" w:rsidP="001D2FBC">
            <w:pPr>
              <w:spacing w:before="120" w:after="0" w:line="240" w:lineRule="auto"/>
              <w:rPr>
                <w:rFonts w:ascii="Times New Roman" w:hAnsi="Times New Roman" w:cs="Times New Roman"/>
                <w:bCs/>
                <w:color w:val="000000"/>
                <w:sz w:val="18"/>
                <w:szCs w:val="18"/>
              </w:rPr>
            </w:pPr>
            <w:r w:rsidRPr="005E293F">
              <w:rPr>
                <w:rFonts w:ascii="Times New Roman" w:hAnsi="Times New Roman" w:cs="Times New Roman"/>
                <w:color w:val="000000"/>
                <w:sz w:val="18"/>
                <w:szCs w:val="18"/>
              </w:rPr>
              <w:t>Metal products.</w:t>
            </w:r>
          </w:p>
        </w:tc>
      </w:tr>
    </w:tbl>
    <w:p w:rsidR="00613C45" w:rsidRPr="00613C45" w:rsidRDefault="00613C45" w:rsidP="00613C45">
      <w:pPr>
        <w:jc w:val="right"/>
        <w:rPr>
          <w:rFonts w:ascii="Times New Roman" w:hAnsi="Times New Roman" w:cs="Times New Roman"/>
          <w:b/>
          <w:i/>
          <w:sz w:val="24"/>
          <w:szCs w:val="24"/>
        </w:rPr>
      </w:pPr>
      <w:r w:rsidRPr="00613C45">
        <w:rPr>
          <w:rFonts w:ascii="Times New Roman" w:hAnsi="Times New Roman" w:cs="Times New Roman"/>
          <w:b/>
          <w:i/>
          <w:sz w:val="24"/>
          <w:szCs w:val="24"/>
        </w:rPr>
        <w:t>Table 2.</w:t>
      </w:r>
      <w:r w:rsidR="0002598B">
        <w:rPr>
          <w:rFonts w:ascii="Times New Roman" w:hAnsi="Times New Roman" w:cs="Times New Roman"/>
          <w:b/>
          <w:i/>
          <w:sz w:val="24"/>
          <w:szCs w:val="24"/>
        </w:rPr>
        <w:t>2</w:t>
      </w:r>
      <w:r w:rsidRPr="00613C45">
        <w:rPr>
          <w:rFonts w:ascii="Times New Roman" w:hAnsi="Times New Roman" w:cs="Times New Roman"/>
          <w:b/>
          <w:i/>
          <w:sz w:val="24"/>
          <w:szCs w:val="24"/>
        </w:rPr>
        <w:t xml:space="preserve"> continues …</w:t>
      </w:r>
    </w:p>
    <w:p w:rsidR="00613C45" w:rsidRDefault="00613C45">
      <w:pPr>
        <w:rPr>
          <w:rFonts w:ascii="Times New Roman" w:hAnsi="Times New Roman" w:cs="Times New Roman"/>
          <w:b/>
          <w:i/>
          <w:sz w:val="24"/>
          <w:szCs w:val="24"/>
        </w:rPr>
      </w:pPr>
      <w:r>
        <w:rPr>
          <w:rFonts w:ascii="Times New Roman" w:hAnsi="Times New Roman" w:cs="Times New Roman"/>
          <w:b/>
          <w:i/>
          <w:sz w:val="24"/>
          <w:szCs w:val="24"/>
        </w:rPr>
        <w:br w:type="page"/>
      </w:r>
    </w:p>
    <w:p w:rsidR="00613C45" w:rsidRDefault="00613C45" w:rsidP="00613C45">
      <w:pPr>
        <w:spacing w:after="0"/>
        <w:rPr>
          <w:rFonts w:ascii="Times New Roman" w:hAnsi="Times New Roman" w:cs="Times New Roman"/>
          <w:b/>
          <w:i/>
          <w:sz w:val="24"/>
          <w:szCs w:val="24"/>
        </w:rPr>
      </w:pPr>
      <w:r w:rsidRPr="00613C45">
        <w:rPr>
          <w:rFonts w:ascii="Times New Roman" w:hAnsi="Times New Roman" w:cs="Times New Roman"/>
          <w:b/>
          <w:i/>
          <w:sz w:val="24"/>
          <w:szCs w:val="24"/>
        </w:rPr>
        <w:lastRenderedPageBreak/>
        <w:t>Table 2.</w:t>
      </w:r>
      <w:r w:rsidR="0002598B">
        <w:rPr>
          <w:rFonts w:ascii="Times New Roman" w:hAnsi="Times New Roman" w:cs="Times New Roman"/>
          <w:b/>
          <w:i/>
          <w:sz w:val="24"/>
          <w:szCs w:val="24"/>
        </w:rPr>
        <w:t>2</w:t>
      </w:r>
      <w:r w:rsidRPr="00613C45">
        <w:rPr>
          <w:rFonts w:ascii="Times New Roman" w:hAnsi="Times New Roman" w:cs="Times New Roman"/>
          <w:b/>
          <w:i/>
          <w:sz w:val="24"/>
          <w:szCs w:val="24"/>
        </w:rPr>
        <w:t xml:space="preserve"> continued… </w:t>
      </w:r>
    </w:p>
    <w:tbl>
      <w:tblPr>
        <w:tblW w:w="13750" w:type="dxa"/>
        <w:tblBorders>
          <w:top w:val="single" w:sz="4" w:space="0" w:color="auto"/>
          <w:bottom w:val="single" w:sz="4" w:space="0" w:color="auto"/>
          <w:insideH w:val="dotted" w:sz="4" w:space="0" w:color="auto"/>
        </w:tblBorders>
        <w:tblLook w:val="04A0" w:firstRow="1" w:lastRow="0" w:firstColumn="1" w:lastColumn="0" w:noHBand="0" w:noVBand="1"/>
      </w:tblPr>
      <w:tblGrid>
        <w:gridCol w:w="851"/>
        <w:gridCol w:w="1843"/>
        <w:gridCol w:w="2792"/>
        <w:gridCol w:w="2792"/>
        <w:gridCol w:w="5472"/>
      </w:tblGrid>
      <w:tr w:rsidR="00B77AE2" w:rsidRPr="001D2FBC" w:rsidTr="00613C45">
        <w:trPr>
          <w:trHeight w:val="227"/>
        </w:trPr>
        <w:tc>
          <w:tcPr>
            <w:tcW w:w="851" w:type="dxa"/>
            <w:tcBorders>
              <w:top w:val="single" w:sz="18" w:space="0" w:color="7F7F7F" w:themeColor="text1" w:themeTint="80"/>
              <w:bottom w:val="single" w:sz="18" w:space="0" w:color="7F7F7F" w:themeColor="text1" w:themeTint="80"/>
              <w:right w:val="dotted" w:sz="4" w:space="0" w:color="auto"/>
            </w:tcBorders>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No.</w:t>
            </w:r>
          </w:p>
        </w:tc>
        <w:tc>
          <w:tcPr>
            <w:tcW w:w="1843" w:type="dxa"/>
            <w:tcBorders>
              <w:top w:val="single" w:sz="18" w:space="0" w:color="7F7F7F" w:themeColor="text1" w:themeTint="80"/>
              <w:bottom w:val="single" w:sz="18" w:space="0" w:color="7F7F7F" w:themeColor="text1" w:themeTint="80"/>
              <w:right w:val="dotted" w:sz="4" w:space="0" w:color="auto"/>
            </w:tcBorders>
            <w:shd w:val="clear" w:color="auto" w:fill="FFFF00"/>
            <w:noWrap/>
            <w:hideMark/>
          </w:tcPr>
          <w:p w:rsidR="00B77AE2" w:rsidRPr="00613C45" w:rsidRDefault="00B77AE2" w:rsidP="00B77AE2">
            <w:pPr>
              <w:spacing w:after="0" w:line="240" w:lineRule="auto"/>
              <w:rPr>
                <w:rFonts w:ascii="Times New Roman" w:hAnsi="Times New Roman" w:cs="Times New Roman"/>
                <w:b/>
                <w:color w:val="000000"/>
                <w:sz w:val="20"/>
                <w:szCs w:val="20"/>
              </w:rPr>
            </w:pPr>
            <w:r w:rsidRPr="00613C45">
              <w:rPr>
                <w:rFonts w:ascii="Times New Roman" w:hAnsi="Times New Roman" w:cs="Times New Roman"/>
                <w:b/>
                <w:color w:val="000000"/>
                <w:sz w:val="20"/>
                <w:szCs w:val="20"/>
              </w:rPr>
              <w:t>Sectors</w:t>
            </w:r>
          </w:p>
        </w:tc>
        <w:tc>
          <w:tcPr>
            <w:tcW w:w="2792" w:type="dxa"/>
            <w:tcBorders>
              <w:top w:val="single" w:sz="18" w:space="0" w:color="7F7F7F" w:themeColor="text1" w:themeTint="80"/>
              <w:bottom w:val="single" w:sz="18" w:space="0" w:color="7F7F7F" w:themeColor="text1" w:themeTint="80"/>
              <w:right w:val="dotted" w:sz="4" w:space="0" w:color="auto"/>
            </w:tcBorders>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Description</w:t>
            </w:r>
          </w:p>
        </w:tc>
        <w:tc>
          <w:tcPr>
            <w:tcW w:w="2792" w:type="dxa"/>
            <w:tcBorders>
              <w:top w:val="single" w:sz="18" w:space="0" w:color="7F7F7F" w:themeColor="text1" w:themeTint="80"/>
              <w:bottom w:val="single" w:sz="18" w:space="0" w:color="7F7F7F" w:themeColor="text1" w:themeTint="80"/>
              <w:right w:val="dotted" w:sz="4" w:space="0" w:color="auto"/>
            </w:tcBorders>
            <w:shd w:val="clear" w:color="auto" w:fill="FFFF00"/>
            <w:noWrap/>
          </w:tcPr>
          <w:p w:rsidR="00B77AE2" w:rsidRPr="00613C45" w:rsidRDefault="00B77AE2" w:rsidP="00B77AE2">
            <w:pPr>
              <w:spacing w:after="0" w:line="240" w:lineRule="auto"/>
              <w:rPr>
                <w:rFonts w:ascii="Times New Roman" w:hAnsi="Times New Roman" w:cs="Times New Roman"/>
                <w:b/>
                <w:color w:val="000000"/>
                <w:sz w:val="20"/>
                <w:szCs w:val="20"/>
              </w:rPr>
            </w:pPr>
            <w:r w:rsidRPr="00613C45">
              <w:rPr>
                <w:rFonts w:ascii="Times New Roman" w:hAnsi="Times New Roman" w:cs="Times New Roman"/>
                <w:b/>
                <w:color w:val="000000"/>
                <w:sz w:val="20"/>
                <w:szCs w:val="20"/>
              </w:rPr>
              <w:t>NAICS codes</w:t>
            </w:r>
          </w:p>
        </w:tc>
        <w:tc>
          <w:tcPr>
            <w:tcW w:w="5472" w:type="dxa"/>
            <w:tcBorders>
              <w:top w:val="single" w:sz="18" w:space="0" w:color="7F7F7F" w:themeColor="text1" w:themeTint="80"/>
              <w:bottom w:val="single" w:sz="18" w:space="0" w:color="7F7F7F" w:themeColor="text1" w:themeTint="80"/>
            </w:tcBorders>
            <w:shd w:val="clear" w:color="auto" w:fill="FFFF00"/>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Original GTAP sectors</w:t>
            </w:r>
          </w:p>
        </w:tc>
      </w:tr>
      <w:tr w:rsidR="00B77AE2" w:rsidRPr="00AF63C7" w:rsidTr="00613C45">
        <w:trPr>
          <w:trHeight w:val="227"/>
        </w:trPr>
        <w:tc>
          <w:tcPr>
            <w:tcW w:w="851" w:type="dxa"/>
            <w:tcBorders>
              <w:top w:val="single" w:sz="18" w:space="0" w:color="7F7F7F" w:themeColor="text1" w:themeTint="80"/>
            </w:tcBorders>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13</w:t>
            </w:r>
          </w:p>
        </w:tc>
        <w:tc>
          <w:tcPr>
            <w:tcW w:w="1843" w:type="dxa"/>
            <w:tcBorders>
              <w:top w:val="single" w:sz="18" w:space="0" w:color="7F7F7F" w:themeColor="text1" w:themeTint="80"/>
            </w:tcBorders>
            <w:shd w:val="clear" w:color="auto" w:fill="FFFF00"/>
            <w:noWrap/>
            <w:hideMark/>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Autombile</w:t>
            </w:r>
          </w:p>
        </w:tc>
        <w:tc>
          <w:tcPr>
            <w:tcW w:w="2792" w:type="dxa"/>
            <w:tcBorders>
              <w:top w:val="single" w:sz="18" w:space="0" w:color="7F7F7F" w:themeColor="text1" w:themeTint="80"/>
            </w:tcBorders>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Automobile manufacturing</w:t>
            </w:r>
          </w:p>
        </w:tc>
        <w:tc>
          <w:tcPr>
            <w:tcW w:w="2792" w:type="dxa"/>
            <w:tcBorders>
              <w:top w:val="single" w:sz="18" w:space="0" w:color="7F7F7F" w:themeColor="text1" w:themeTint="80"/>
            </w:tcBorders>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hAnsi="Times New Roman" w:cs="Times New Roman"/>
                <w:b/>
                <w:color w:val="000000"/>
                <w:sz w:val="20"/>
                <w:szCs w:val="20"/>
              </w:rPr>
              <w:t>336111</w:t>
            </w:r>
          </w:p>
        </w:tc>
        <w:tc>
          <w:tcPr>
            <w:tcW w:w="5472" w:type="dxa"/>
            <w:vMerge w:val="restart"/>
            <w:tcBorders>
              <w:top w:val="single" w:sz="18" w:space="0" w:color="7F7F7F" w:themeColor="text1" w:themeTint="80"/>
            </w:tcBorders>
            <w:shd w:val="clear" w:color="auto" w:fill="FFFF00"/>
            <w:vAlign w:val="center"/>
          </w:tcPr>
          <w:p w:rsidR="00B77AE2" w:rsidRPr="001D2FBC" w:rsidRDefault="00B77AE2" w:rsidP="00B77AE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Motor vehicle and parts</w:t>
            </w: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14</w:t>
            </w:r>
          </w:p>
        </w:tc>
        <w:tc>
          <w:tcPr>
            <w:tcW w:w="1843" w:type="dxa"/>
            <w:shd w:val="clear" w:color="auto" w:fill="FFFF00"/>
            <w:noWrap/>
            <w:hideMark/>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MVGasEngPrts</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gasoline engine and engine parts manufacturing</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336312</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bCs/>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15</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MVSteerSuspn</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steering, suspension component (except spring) manufacturing</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336330</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16</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MVBrakes</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brakes and brake systems</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336340</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17</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MVPwrTrTrain</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transmission and power train parts</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336350</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18</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MVSeatInter</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interior trim, seats and seat parts</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336360</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19</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MVMtlStamp</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metal stamping</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336370</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bCs/>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20</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OthMVParts</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Other motor vehicle parts manufacturing</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336390</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color w:val="000000"/>
                <w:sz w:val="18"/>
                <w:szCs w:val="18"/>
              </w:rPr>
            </w:pPr>
          </w:p>
        </w:tc>
      </w:tr>
      <w:tr w:rsidR="00B77AE2" w:rsidRPr="00AF63C7" w:rsidTr="001D2FBC">
        <w:trPr>
          <w:trHeight w:val="227"/>
        </w:trPr>
        <w:tc>
          <w:tcPr>
            <w:tcW w:w="851"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21</w:t>
            </w:r>
          </w:p>
        </w:tc>
        <w:tc>
          <w:tcPr>
            <w:tcW w:w="1843" w:type="dxa"/>
            <w:shd w:val="clear" w:color="auto" w:fill="FFFF00"/>
            <w:noWrap/>
          </w:tcPr>
          <w:p w:rsidR="00B77AE2" w:rsidRPr="001D2FBC" w:rsidRDefault="00B77AE2" w:rsidP="00B77AE2">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TruckUteTrlr</w:t>
            </w:r>
          </w:p>
        </w:tc>
        <w:tc>
          <w:tcPr>
            <w:tcW w:w="2792" w:type="dxa"/>
            <w:shd w:val="clear" w:color="auto" w:fill="FFFF00"/>
            <w:noWrap/>
          </w:tcPr>
          <w:p w:rsidR="00B77AE2" w:rsidRPr="001D2FBC" w:rsidRDefault="00B77AE2" w:rsidP="00B77AE2">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Manufacturing of trucks, utility vehicles, trailers, motor homes and campers.</w:t>
            </w:r>
          </w:p>
        </w:tc>
        <w:tc>
          <w:tcPr>
            <w:tcW w:w="2792" w:type="dxa"/>
            <w:shd w:val="clear" w:color="auto" w:fill="FFFF00"/>
            <w:noWrap/>
          </w:tcPr>
          <w:p w:rsidR="00B77AE2" w:rsidRPr="001D2FBC" w:rsidRDefault="00B77AE2" w:rsidP="00B77AE2">
            <w:pPr>
              <w:spacing w:after="0" w:line="240" w:lineRule="auto"/>
              <w:rPr>
                <w:rFonts w:ascii="Times New Roman" w:hAnsi="Times New Roman" w:cs="Times New Roman"/>
                <w:b/>
                <w:sz w:val="20"/>
                <w:szCs w:val="20"/>
              </w:rPr>
            </w:pPr>
            <w:r w:rsidRPr="001D2FBC">
              <w:rPr>
                <w:rFonts w:ascii="Times New Roman" w:hAnsi="Times New Roman" w:cs="Times New Roman"/>
                <w:b/>
                <w:sz w:val="20"/>
                <w:szCs w:val="20"/>
              </w:rPr>
              <w:t>336112, 336120, 336212, 336213, 336214</w:t>
            </w:r>
          </w:p>
        </w:tc>
        <w:tc>
          <w:tcPr>
            <w:tcW w:w="5472" w:type="dxa"/>
            <w:vMerge/>
            <w:shd w:val="clear" w:color="auto" w:fill="FFFF00"/>
          </w:tcPr>
          <w:p w:rsidR="00B77AE2" w:rsidRPr="005E293F" w:rsidRDefault="00B77AE2" w:rsidP="00B77AE2">
            <w:pPr>
              <w:spacing w:before="120" w:after="0" w:line="240" w:lineRule="auto"/>
              <w:rPr>
                <w:rFonts w:ascii="Times New Roman" w:hAnsi="Times New Roman" w:cs="Times New Roman"/>
                <w:color w:val="000000"/>
                <w:sz w:val="18"/>
                <w:szCs w:val="18"/>
              </w:rPr>
            </w:pPr>
          </w:p>
        </w:tc>
      </w:tr>
      <w:tr w:rsidR="00B77AE2" w:rsidRPr="00AF63C7" w:rsidTr="001D2FBC">
        <w:trPr>
          <w:trHeight w:val="227"/>
        </w:trPr>
        <w:tc>
          <w:tcPr>
            <w:tcW w:w="851"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22</w:t>
            </w:r>
          </w:p>
        </w:tc>
        <w:tc>
          <w:tcPr>
            <w:tcW w:w="1843" w:type="dxa"/>
            <w:shd w:val="clear" w:color="auto" w:fill="auto"/>
            <w:noWrap/>
          </w:tcPr>
          <w:p w:rsidR="00B77AE2" w:rsidRPr="001D2FBC" w:rsidRDefault="00B77AE2" w:rsidP="00B77AE2">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OthTransEq</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All other transportation equipment manufacturing</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3364-3369</w:t>
            </w:r>
          </w:p>
        </w:tc>
        <w:tc>
          <w:tcPr>
            <w:tcW w:w="5472" w:type="dxa"/>
          </w:tcPr>
          <w:p w:rsidR="00B77AE2" w:rsidRPr="005E293F" w:rsidRDefault="00B77AE2" w:rsidP="00B77AE2">
            <w:pPr>
              <w:spacing w:before="120" w:after="0" w:line="240" w:lineRule="auto"/>
              <w:rPr>
                <w:rFonts w:ascii="Times New Roman" w:hAnsi="Times New Roman" w:cs="Times New Roman"/>
                <w:bCs/>
                <w:color w:val="000000"/>
                <w:sz w:val="18"/>
                <w:szCs w:val="18"/>
              </w:rPr>
            </w:pPr>
            <w:r w:rsidRPr="005E293F">
              <w:rPr>
                <w:rFonts w:ascii="Times New Roman" w:hAnsi="Times New Roman" w:cs="Times New Roman"/>
                <w:bCs/>
                <w:color w:val="000000"/>
                <w:sz w:val="18"/>
                <w:szCs w:val="18"/>
              </w:rPr>
              <w:t>Transport equipment nec.</w:t>
            </w:r>
          </w:p>
        </w:tc>
      </w:tr>
      <w:tr w:rsidR="00B77AE2" w:rsidRPr="00AF63C7" w:rsidTr="001D2FBC">
        <w:trPr>
          <w:trHeight w:val="227"/>
        </w:trPr>
        <w:tc>
          <w:tcPr>
            <w:tcW w:w="851"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23</w:t>
            </w:r>
          </w:p>
        </w:tc>
        <w:tc>
          <w:tcPr>
            <w:tcW w:w="1843" w:type="dxa"/>
            <w:shd w:val="clear" w:color="auto" w:fill="auto"/>
            <w:noWrap/>
          </w:tcPr>
          <w:p w:rsidR="00B77AE2" w:rsidRPr="001D2FBC" w:rsidRDefault="00B77AE2" w:rsidP="00B77AE2">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ElectrnicsEq</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Electronic equipment</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3341-3345</w:t>
            </w:r>
          </w:p>
        </w:tc>
        <w:tc>
          <w:tcPr>
            <w:tcW w:w="5472" w:type="dxa"/>
          </w:tcPr>
          <w:p w:rsidR="00B77AE2" w:rsidRPr="005E293F" w:rsidRDefault="00B77AE2" w:rsidP="00B77AE2">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Electronic equipment.</w:t>
            </w:r>
          </w:p>
        </w:tc>
      </w:tr>
      <w:tr w:rsidR="00B77AE2" w:rsidRPr="00AF63C7" w:rsidTr="001D2FBC">
        <w:trPr>
          <w:trHeight w:val="227"/>
        </w:trPr>
        <w:tc>
          <w:tcPr>
            <w:tcW w:w="851"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24</w:t>
            </w:r>
          </w:p>
        </w:tc>
        <w:tc>
          <w:tcPr>
            <w:tcW w:w="1843" w:type="dxa"/>
            <w:shd w:val="clear" w:color="auto" w:fill="auto"/>
            <w:noWrap/>
          </w:tcPr>
          <w:p w:rsidR="00B77AE2" w:rsidRPr="001D2FBC" w:rsidRDefault="00B77AE2" w:rsidP="00B77AE2">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OthMachEq</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Other machinery and equipment</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3331-3339, 3346-3359,3391,</w:t>
            </w:r>
          </w:p>
        </w:tc>
        <w:tc>
          <w:tcPr>
            <w:tcW w:w="5472" w:type="dxa"/>
          </w:tcPr>
          <w:p w:rsidR="00B77AE2" w:rsidRPr="005E293F" w:rsidRDefault="00B77AE2" w:rsidP="00B77AE2">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Machinery and equipment nec.</w:t>
            </w:r>
          </w:p>
        </w:tc>
      </w:tr>
      <w:tr w:rsidR="00B77AE2" w:rsidRPr="00AF63C7" w:rsidTr="001D2FBC">
        <w:trPr>
          <w:trHeight w:val="227"/>
        </w:trPr>
        <w:tc>
          <w:tcPr>
            <w:tcW w:w="851"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25</w:t>
            </w:r>
          </w:p>
        </w:tc>
        <w:tc>
          <w:tcPr>
            <w:tcW w:w="1843" w:type="dxa"/>
            <w:shd w:val="clear" w:color="auto" w:fill="auto"/>
            <w:noWrap/>
          </w:tcPr>
          <w:p w:rsidR="00B77AE2" w:rsidRPr="001D2FBC" w:rsidRDefault="00B77AE2" w:rsidP="00B77AE2">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OthManuf</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 xml:space="preserve">Other manufacturing products, </w:t>
            </w:r>
            <w:r w:rsidRPr="001D2FBC">
              <w:rPr>
                <w:rFonts w:ascii="Times New Roman" w:eastAsia="Times New Roman" w:hAnsi="Times New Roman" w:cs="Times New Roman"/>
                <w:i/>
                <w:color w:val="000000"/>
                <w:sz w:val="20"/>
                <w:szCs w:val="20"/>
              </w:rPr>
              <w:t>n</w:t>
            </w:r>
            <w:r w:rsidRPr="001D2FBC">
              <w:rPr>
                <w:rFonts w:ascii="Times New Roman" w:eastAsia="Times New Roman" w:hAnsi="Times New Roman" w:cs="Times New Roman"/>
                <w:color w:val="000000"/>
                <w:sz w:val="20"/>
                <w:szCs w:val="20"/>
              </w:rPr>
              <w:t>.e.c.</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3371-3379</w:t>
            </w:r>
          </w:p>
        </w:tc>
        <w:tc>
          <w:tcPr>
            <w:tcW w:w="5472" w:type="dxa"/>
          </w:tcPr>
          <w:p w:rsidR="00B77AE2" w:rsidRPr="005E293F" w:rsidRDefault="00B77AE2" w:rsidP="00B77AE2">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Manufactures nec.</w:t>
            </w:r>
          </w:p>
        </w:tc>
      </w:tr>
      <w:tr w:rsidR="00B77AE2" w:rsidRPr="00AF63C7" w:rsidTr="001D2FBC">
        <w:trPr>
          <w:trHeight w:val="56"/>
        </w:trPr>
        <w:tc>
          <w:tcPr>
            <w:tcW w:w="851"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26</w:t>
            </w:r>
          </w:p>
        </w:tc>
        <w:tc>
          <w:tcPr>
            <w:tcW w:w="1843" w:type="dxa"/>
            <w:shd w:val="clear" w:color="auto" w:fill="auto"/>
            <w:noWrap/>
          </w:tcPr>
          <w:p w:rsidR="00B77AE2" w:rsidRPr="001D2FBC" w:rsidRDefault="00B77AE2" w:rsidP="00B77AE2">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Services</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Services</w:t>
            </w:r>
          </w:p>
        </w:tc>
        <w:tc>
          <w:tcPr>
            <w:tcW w:w="2792" w:type="dxa"/>
            <w:shd w:val="clear" w:color="auto" w:fill="auto"/>
            <w:noWrap/>
          </w:tcPr>
          <w:p w:rsidR="00B77AE2" w:rsidRPr="001D2FBC" w:rsidRDefault="00B77AE2" w:rsidP="00B77AE2">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2211-2334,</w:t>
            </w:r>
            <w:r w:rsidRPr="001D2FBC" w:rsidDel="000B166A">
              <w:rPr>
                <w:rFonts w:ascii="Times New Roman" w:eastAsia="Times New Roman" w:hAnsi="Times New Roman" w:cs="Times New Roman"/>
                <w:color w:val="000000"/>
                <w:sz w:val="20"/>
                <w:szCs w:val="20"/>
              </w:rPr>
              <w:t xml:space="preserve"> </w:t>
            </w:r>
            <w:r w:rsidRPr="001D2FBC">
              <w:rPr>
                <w:rFonts w:ascii="Times New Roman" w:eastAsia="Times New Roman" w:hAnsi="Times New Roman" w:cs="Times New Roman"/>
                <w:color w:val="000000"/>
                <w:sz w:val="20"/>
                <w:szCs w:val="20"/>
              </w:rPr>
              <w:t xml:space="preserve">4200-8140 </w:t>
            </w:r>
          </w:p>
        </w:tc>
        <w:tc>
          <w:tcPr>
            <w:tcW w:w="5472" w:type="dxa"/>
          </w:tcPr>
          <w:p w:rsidR="00B77AE2" w:rsidRPr="005E293F" w:rsidRDefault="00B77AE2" w:rsidP="00B77AE2">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Electricity; Gas manufacture, distribution; Water; Construction; Trade; Transport nec; Water transport; Air transport; Communication; Financial services nec; Insurance; Business services nec; Recreational and other services; Public administration, defense, education, health; Dwellings..</w:t>
            </w:r>
          </w:p>
        </w:tc>
      </w:tr>
    </w:tbl>
    <w:p w:rsidR="00D731CA" w:rsidRDefault="00D731CA" w:rsidP="00A91ACE">
      <w:pPr>
        <w:pStyle w:val="Caption"/>
        <w:spacing w:beforeLines="20" w:before="48" w:afterLines="20" w:after="48" w:line="240" w:lineRule="auto"/>
        <w:ind w:left="357"/>
      </w:pPr>
    </w:p>
    <w:p w:rsidR="001D2FBC" w:rsidRDefault="001D2FBC" w:rsidP="001D2FBC">
      <w:pPr>
        <w:rPr>
          <w:lang w:val="en-US"/>
        </w:rPr>
      </w:pPr>
    </w:p>
    <w:p w:rsidR="001D2FBC" w:rsidRDefault="001D2FBC" w:rsidP="001D2FBC">
      <w:pPr>
        <w:rPr>
          <w:lang w:val="en-US"/>
        </w:rPr>
        <w:sectPr w:rsidR="001D2FBC" w:rsidSect="001D2FBC">
          <w:pgSz w:w="16838" w:h="11906" w:orient="landscape"/>
          <w:pgMar w:top="1440" w:right="1440" w:bottom="1440" w:left="1440" w:header="708" w:footer="708" w:gutter="0"/>
          <w:cols w:space="708"/>
          <w:docGrid w:linePitch="360"/>
        </w:sectPr>
      </w:pPr>
    </w:p>
    <w:p w:rsidR="00D731CA" w:rsidRPr="0034602C" w:rsidRDefault="00D731CA" w:rsidP="00D731CA">
      <w:pPr>
        <w:spacing w:before="120" w:after="0" w:line="240" w:lineRule="auto"/>
        <w:rPr>
          <w:rFonts w:ascii="Times New Roman" w:hAnsi="Times New Roman" w:cs="Times New Roman"/>
          <w:b/>
          <w:i/>
          <w:sz w:val="24"/>
          <w:szCs w:val="24"/>
        </w:rPr>
      </w:pPr>
      <w:r w:rsidRPr="0034602C">
        <w:rPr>
          <w:rFonts w:ascii="Times New Roman" w:hAnsi="Times New Roman" w:cs="Times New Roman"/>
          <w:b/>
          <w:i/>
          <w:sz w:val="24"/>
          <w:szCs w:val="24"/>
        </w:rPr>
        <w:lastRenderedPageBreak/>
        <w:t>2.</w:t>
      </w:r>
      <w:r>
        <w:rPr>
          <w:rFonts w:ascii="Times New Roman" w:hAnsi="Times New Roman" w:cs="Times New Roman"/>
          <w:b/>
          <w:i/>
          <w:sz w:val="24"/>
          <w:szCs w:val="24"/>
        </w:rPr>
        <w:t>2</w:t>
      </w:r>
      <w:r w:rsidRPr="0034602C">
        <w:rPr>
          <w:rFonts w:ascii="Times New Roman" w:hAnsi="Times New Roman" w:cs="Times New Roman"/>
          <w:b/>
          <w:i/>
          <w:sz w:val="24"/>
          <w:szCs w:val="24"/>
        </w:rPr>
        <w:t>.  Adding foreign assets and liabilities</w:t>
      </w:r>
      <w:r w:rsidR="00550E87">
        <w:rPr>
          <w:rFonts w:ascii="Times New Roman" w:hAnsi="Times New Roman" w:cs="Times New Roman"/>
          <w:b/>
          <w:i/>
          <w:sz w:val="24"/>
          <w:szCs w:val="24"/>
        </w:rPr>
        <w:t xml:space="preserve"> and associated income flows</w:t>
      </w:r>
      <w:r w:rsidR="00D7270A">
        <w:rPr>
          <w:rFonts w:ascii="Times New Roman" w:hAnsi="Times New Roman" w:cs="Times New Roman"/>
          <w:b/>
          <w:i/>
          <w:sz w:val="24"/>
          <w:szCs w:val="24"/>
        </w:rPr>
        <w:t>: calculating net national income</w:t>
      </w:r>
    </w:p>
    <w:p w:rsidR="00D731CA" w:rsidRPr="0034602C" w:rsidRDefault="00D731CA" w:rsidP="00D731CA">
      <w:pPr>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 xml:space="preserve">Standard GTAP includes a device known as the Global Bank.  Countries whose investment in a given year exceeds their savings borrow from the Global Bank while countries with a surplus of savings over investment lend to the Global Bank.  The GTAP code is set up so that aggregate borrowing from the global bank is equal to aggregate lending to the global bank.  In this way, the equality between world saving and investment is enforced in each year.  </w:t>
      </w:r>
    </w:p>
    <w:p w:rsidR="00D731CA" w:rsidRDefault="00D731CA" w:rsidP="00D731CA">
      <w:pPr>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 xml:space="preserve">A weakness of standard GTAP is that it does not account for accumulation of foreign assets and liabilities.  In effect, the Global Bank throws away its accounts at the end of each period and starts the next period with each country having zero net assets with the Bank.  By failing to account for accumulation of foreign assets and liabilities, standard GTAP exaggerates the benefits to countries that stimulate their investment and underestimates the benefits to countries of saving.  Extra investment is never paid for and extra saving generates no future income.  </w:t>
      </w:r>
    </w:p>
    <w:p w:rsidR="00D731CA" w:rsidRDefault="00D731CA" w:rsidP="00D731CA">
      <w:pPr>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 xml:space="preserve">Ianchovichina and McDougall (I&amp;M, 2012) overcome this weakness of standard GTAP by </w:t>
      </w:r>
      <w:r>
        <w:rPr>
          <w:rFonts w:ascii="Times New Roman" w:hAnsi="Times New Roman" w:cs="Times New Roman"/>
          <w:sz w:val="24"/>
          <w:szCs w:val="24"/>
        </w:rPr>
        <w:t>creat</w:t>
      </w:r>
      <w:r w:rsidRPr="0034602C">
        <w:rPr>
          <w:rFonts w:ascii="Times New Roman" w:hAnsi="Times New Roman" w:cs="Times New Roman"/>
          <w:sz w:val="24"/>
          <w:szCs w:val="24"/>
        </w:rPr>
        <w:t xml:space="preserve">ing </w:t>
      </w:r>
      <w:r>
        <w:rPr>
          <w:rFonts w:ascii="Times New Roman" w:hAnsi="Times New Roman" w:cs="Times New Roman"/>
          <w:sz w:val="24"/>
          <w:szCs w:val="24"/>
        </w:rPr>
        <w:t xml:space="preserve">what they call </w:t>
      </w:r>
      <w:r w:rsidRPr="0034602C">
        <w:rPr>
          <w:rFonts w:ascii="Times New Roman" w:hAnsi="Times New Roman" w:cs="Times New Roman"/>
          <w:sz w:val="24"/>
          <w:szCs w:val="24"/>
        </w:rPr>
        <w:t xml:space="preserve">the Global Trust.  </w:t>
      </w:r>
      <w:r>
        <w:rPr>
          <w:rFonts w:ascii="Times New Roman" w:hAnsi="Times New Roman" w:cs="Times New Roman"/>
          <w:sz w:val="24"/>
          <w:szCs w:val="24"/>
        </w:rPr>
        <w:t xml:space="preserve">The Global Trust introduces the distinction between assets located in a country and the country’s wealth.  It recognizes that assets in a country depend on investment opportunities while wealth depends on accumulated savings.  Through the Global Trust, I&amp;M link the value of assets in a country and the country’s wealth by specifying for each country foreign assets and foreign liabilities.   </w:t>
      </w:r>
    </w:p>
    <w:p w:rsidR="00D731CA" w:rsidRDefault="00D731CA" w:rsidP="00D731CA">
      <w:pPr>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 xml:space="preserve">We have adapted </w:t>
      </w:r>
      <w:r>
        <w:rPr>
          <w:rFonts w:ascii="Times New Roman" w:hAnsi="Times New Roman" w:cs="Times New Roman"/>
          <w:sz w:val="24"/>
          <w:szCs w:val="24"/>
        </w:rPr>
        <w:t>I&amp;M’s</w:t>
      </w:r>
      <w:r w:rsidRPr="0034602C">
        <w:rPr>
          <w:rFonts w:ascii="Times New Roman" w:hAnsi="Times New Roman" w:cs="Times New Roman"/>
          <w:sz w:val="24"/>
          <w:szCs w:val="24"/>
        </w:rPr>
        <w:t xml:space="preserve"> code </w:t>
      </w:r>
      <w:r>
        <w:rPr>
          <w:rFonts w:ascii="Times New Roman" w:hAnsi="Times New Roman" w:cs="Times New Roman"/>
          <w:sz w:val="24"/>
          <w:szCs w:val="24"/>
        </w:rPr>
        <w:t xml:space="preserve">for the Global Trust </w:t>
      </w:r>
      <w:r w:rsidRPr="0034602C">
        <w:rPr>
          <w:rFonts w:ascii="Times New Roman" w:hAnsi="Times New Roman" w:cs="Times New Roman"/>
          <w:sz w:val="24"/>
          <w:szCs w:val="24"/>
        </w:rPr>
        <w:t>and included it in GTAP-</w:t>
      </w:r>
      <w:r w:rsidR="0090101C">
        <w:rPr>
          <w:rFonts w:ascii="Times New Roman" w:hAnsi="Times New Roman" w:cs="Times New Roman"/>
          <w:sz w:val="24"/>
          <w:szCs w:val="24"/>
        </w:rPr>
        <w:t>MVH</w:t>
      </w:r>
      <w:r w:rsidRPr="0034602C">
        <w:rPr>
          <w:rFonts w:ascii="Times New Roman" w:hAnsi="Times New Roman" w:cs="Times New Roman"/>
          <w:sz w:val="24"/>
          <w:szCs w:val="24"/>
        </w:rPr>
        <w:t xml:space="preserve">.  </w:t>
      </w:r>
      <w:r>
        <w:rPr>
          <w:rFonts w:ascii="Times New Roman" w:hAnsi="Times New Roman" w:cs="Times New Roman"/>
          <w:sz w:val="24"/>
          <w:szCs w:val="24"/>
        </w:rPr>
        <w:t xml:space="preserve">The data for 2015 used in our implementation of the Global Trust is set out in Tables </w:t>
      </w:r>
      <w:r w:rsidR="00342D2E" w:rsidRPr="00C75576">
        <w:rPr>
          <w:rFonts w:ascii="Times New Roman" w:hAnsi="Times New Roman" w:cs="Times New Roman"/>
          <w:sz w:val="24"/>
          <w:szCs w:val="24"/>
        </w:rPr>
        <w:t>2.</w:t>
      </w:r>
      <w:r w:rsidRPr="00C75576">
        <w:rPr>
          <w:rFonts w:ascii="Times New Roman" w:hAnsi="Times New Roman" w:cs="Times New Roman"/>
          <w:sz w:val="24"/>
          <w:szCs w:val="24"/>
        </w:rPr>
        <w:t xml:space="preserve">3 and </w:t>
      </w:r>
      <w:r w:rsidR="00342D2E" w:rsidRPr="00C75576">
        <w:rPr>
          <w:rFonts w:ascii="Times New Roman" w:hAnsi="Times New Roman" w:cs="Times New Roman"/>
          <w:sz w:val="24"/>
          <w:szCs w:val="24"/>
        </w:rPr>
        <w:t>2.</w:t>
      </w:r>
      <w:r w:rsidRPr="00C75576">
        <w:rPr>
          <w:rFonts w:ascii="Times New Roman" w:hAnsi="Times New Roman" w:cs="Times New Roman"/>
          <w:sz w:val="24"/>
          <w:szCs w:val="24"/>
        </w:rPr>
        <w:t>4.</w:t>
      </w:r>
      <w:r>
        <w:rPr>
          <w:rFonts w:ascii="Times New Roman" w:hAnsi="Times New Roman" w:cs="Times New Roman"/>
          <w:sz w:val="24"/>
          <w:szCs w:val="24"/>
        </w:rPr>
        <w:t xml:space="preserve">  Looking at these tables and the identities that they display will be useful in working through the specification of the Global Trust.  </w:t>
      </w:r>
    </w:p>
    <w:p w:rsidR="0090101C" w:rsidRPr="0090101C" w:rsidRDefault="0090101C" w:rsidP="00D731CA">
      <w:pPr>
        <w:spacing w:before="120" w:after="0" w:line="240" w:lineRule="auto"/>
        <w:rPr>
          <w:rFonts w:ascii="Times New Roman" w:hAnsi="Times New Roman" w:cs="Times New Roman"/>
          <w:i/>
          <w:sz w:val="24"/>
          <w:szCs w:val="24"/>
        </w:rPr>
      </w:pPr>
      <w:r>
        <w:rPr>
          <w:rFonts w:ascii="Times New Roman" w:hAnsi="Times New Roman" w:cs="Times New Roman"/>
          <w:i/>
          <w:sz w:val="24"/>
          <w:szCs w:val="24"/>
        </w:rPr>
        <w:t>Long-run simulations</w:t>
      </w:r>
      <w:r w:rsidR="009E6B7B">
        <w:rPr>
          <w:rFonts w:ascii="Times New Roman" w:hAnsi="Times New Roman" w:cs="Times New Roman"/>
          <w:i/>
          <w:sz w:val="24"/>
          <w:szCs w:val="24"/>
        </w:rPr>
        <w:t xml:space="preserve"> (T &gt; 1)</w:t>
      </w:r>
    </w:p>
    <w:p w:rsidR="00D731CA" w:rsidRDefault="0090101C" w:rsidP="00A22FCE">
      <w:pPr>
        <w:spacing w:before="120" w:after="0" w:line="240" w:lineRule="auto"/>
        <w:rPr>
          <w:rFonts w:ascii="Times New Roman" w:hAnsi="Times New Roman" w:cs="Times New Roman"/>
          <w:sz w:val="24"/>
          <w:szCs w:val="24"/>
        </w:rPr>
        <w:sectPr w:rsidR="00D731CA" w:rsidSect="007573B1">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We start by considering a situation in which the Global Trust is being used in a </w:t>
      </w:r>
      <w:r w:rsidR="00D731CA">
        <w:rPr>
          <w:rFonts w:ascii="Times New Roman" w:hAnsi="Times New Roman" w:cs="Times New Roman"/>
          <w:sz w:val="24"/>
          <w:szCs w:val="24"/>
        </w:rPr>
        <w:t>simulation in which we are moving from a data year, year 0, to a projection year</w:t>
      </w:r>
      <w:r w:rsidR="00A22FCE">
        <w:rPr>
          <w:rFonts w:ascii="Times New Roman" w:hAnsi="Times New Roman" w:cs="Times New Roman"/>
          <w:sz w:val="24"/>
          <w:szCs w:val="24"/>
        </w:rPr>
        <w:t xml:space="preserve"> several years into the future</w:t>
      </w:r>
      <w:r w:rsidR="00D731CA">
        <w:rPr>
          <w:rFonts w:ascii="Times New Roman" w:hAnsi="Times New Roman" w:cs="Times New Roman"/>
          <w:sz w:val="24"/>
          <w:szCs w:val="24"/>
        </w:rPr>
        <w:t>, year T, in a single jump.  For example, year 0 might be 2015 and year T might be 2020.  All coefficient values are known for year 0 from data or perhaps from a simulation for an earlier period in which the projection year was year 0.  The only unknowns in the specification of the Global Trust refer to year T.  The values of these unknowns are discovered in the simulation from</w:t>
      </w:r>
      <w:r w:rsidR="00A22FCE">
        <w:rPr>
          <w:rFonts w:ascii="Times New Roman" w:hAnsi="Times New Roman" w:cs="Times New Roman"/>
          <w:sz w:val="24"/>
          <w:szCs w:val="24"/>
        </w:rPr>
        <w:t xml:space="preserve"> year 0 to year T.  We will see that in long-run simulations values for savings and capital for years between 0 and T are avoided by assuming smooth growth between the two years.</w:t>
      </w:r>
    </w:p>
    <w:p w:rsidR="00D731CA" w:rsidRDefault="00D731CA" w:rsidP="00D731CA">
      <w:pPr>
        <w:spacing w:before="120" w:after="0" w:line="240" w:lineRule="auto"/>
        <w:jc w:val="center"/>
        <w:rPr>
          <w:rFonts w:ascii="Minion-Regular" w:hAnsi="Minion-Regular" w:cs="Minion-Regular"/>
          <w:b/>
          <w:i/>
        </w:rPr>
      </w:pPr>
    </w:p>
    <w:p w:rsidR="00D731CA" w:rsidRPr="00444D87" w:rsidRDefault="00D731CA" w:rsidP="00D731CA">
      <w:pPr>
        <w:spacing w:before="120" w:after="0" w:line="240" w:lineRule="auto"/>
        <w:jc w:val="center"/>
        <w:rPr>
          <w:rFonts w:ascii="Minion-Regular" w:hAnsi="Minion-Regular" w:cs="Minion-Regular"/>
          <w:vertAlign w:val="superscript"/>
        </w:rPr>
      </w:pPr>
      <w:r>
        <w:rPr>
          <w:rFonts w:ascii="Minion-Regular" w:hAnsi="Minion-Regular" w:cs="Minion-Regular"/>
          <w:b/>
          <w:i/>
        </w:rPr>
        <w:t xml:space="preserve">Table </w:t>
      </w:r>
      <w:r w:rsidR="00342D2E">
        <w:rPr>
          <w:rFonts w:ascii="Minion-Regular" w:hAnsi="Minion-Regular" w:cs="Minion-Regular"/>
          <w:b/>
          <w:i/>
        </w:rPr>
        <w:t>2.</w:t>
      </w:r>
      <w:r>
        <w:rPr>
          <w:rFonts w:ascii="Minion-Regular" w:hAnsi="Minion-Regular" w:cs="Minion-Regular"/>
          <w:b/>
          <w:i/>
        </w:rPr>
        <w:t>3.  Assets, liabilities and wealth at the start of 2015, $US billion and fractions of GDP</w:t>
      </w:r>
      <w:r>
        <w:rPr>
          <w:rFonts w:ascii="Minion-Regular" w:hAnsi="Minion-Regular" w:cs="Minion-Regular"/>
          <w:b/>
          <w:i/>
          <w:vertAlign w:val="superscript"/>
        </w:rPr>
        <w:t>*</w:t>
      </w:r>
    </w:p>
    <w:tbl>
      <w:tblPr>
        <w:tblW w:w="0" w:type="auto"/>
        <w:tblBorders>
          <w:top w:val="single" w:sz="18" w:space="0" w:color="7F7F7F" w:themeColor="text1" w:themeTint="80"/>
          <w:bottom w:val="single" w:sz="18" w:space="0" w:color="7F7F7F" w:themeColor="text1" w:themeTint="80"/>
        </w:tblBorders>
        <w:tblLook w:val="04A0" w:firstRow="1" w:lastRow="0" w:firstColumn="1" w:lastColumn="0" w:noHBand="0" w:noVBand="1"/>
      </w:tblPr>
      <w:tblGrid>
        <w:gridCol w:w="562"/>
        <w:gridCol w:w="1631"/>
        <w:gridCol w:w="1220"/>
        <w:gridCol w:w="1265"/>
        <w:gridCol w:w="1160"/>
        <w:gridCol w:w="1036"/>
        <w:gridCol w:w="1087"/>
        <w:gridCol w:w="1036"/>
        <w:gridCol w:w="1036"/>
        <w:gridCol w:w="1036"/>
        <w:gridCol w:w="1036"/>
      </w:tblGrid>
      <w:tr w:rsidR="00D731CA" w:rsidTr="00F81F7F">
        <w:tc>
          <w:tcPr>
            <w:tcW w:w="562" w:type="dxa"/>
            <w:tcBorders>
              <w:top w:val="single" w:sz="18" w:space="0" w:color="7F7F7F" w:themeColor="text1" w:themeTint="80"/>
              <w:bottom w:val="single" w:sz="4" w:space="0" w:color="auto"/>
              <w:right w:val="single" w:sz="4" w:space="0" w:color="auto"/>
            </w:tcBorders>
            <w:vAlign w:val="bottom"/>
          </w:tcPr>
          <w:p w:rsidR="00D731CA" w:rsidRPr="006D34BE" w:rsidRDefault="00D731CA" w:rsidP="00A46049">
            <w:pPr>
              <w:spacing w:after="0" w:line="240" w:lineRule="auto"/>
              <w:rPr>
                <w:rFonts w:ascii="Times New Roman" w:hAnsi="Times New Roman" w:cs="Times New Roman"/>
                <w:sz w:val="20"/>
                <w:szCs w:val="20"/>
              </w:rPr>
            </w:pPr>
          </w:p>
        </w:tc>
        <w:tc>
          <w:tcPr>
            <w:tcW w:w="1631" w:type="dxa"/>
            <w:tcBorders>
              <w:top w:val="single" w:sz="18" w:space="0" w:color="7F7F7F" w:themeColor="text1" w:themeTint="80"/>
              <w:left w:val="single" w:sz="4" w:space="0" w:color="auto"/>
              <w:bottom w:val="single" w:sz="4" w:space="0" w:color="auto"/>
              <w:right w:val="single" w:sz="4" w:space="0" w:color="auto"/>
            </w:tcBorders>
            <w:vAlign w:val="bottom"/>
          </w:tcPr>
          <w:p w:rsidR="00D731CA" w:rsidRPr="006D34BE" w:rsidRDefault="00D731CA" w:rsidP="00A46049">
            <w:pPr>
              <w:spacing w:after="0" w:line="240" w:lineRule="auto"/>
              <w:rPr>
                <w:rFonts w:ascii="Times New Roman" w:hAnsi="Times New Roman" w:cs="Times New Roman"/>
                <w:color w:val="000000"/>
                <w:sz w:val="20"/>
                <w:szCs w:val="20"/>
              </w:rPr>
            </w:pPr>
            <w:r w:rsidRPr="006D34BE">
              <w:rPr>
                <w:rFonts w:ascii="Times New Roman" w:hAnsi="Times New Roman" w:cs="Times New Roman"/>
                <w:color w:val="000000"/>
                <w:sz w:val="20"/>
                <w:szCs w:val="20"/>
              </w:rPr>
              <w:t> </w:t>
            </w:r>
          </w:p>
        </w:tc>
        <w:tc>
          <w:tcPr>
            <w:tcW w:w="1220" w:type="dxa"/>
            <w:tcBorders>
              <w:top w:val="single" w:sz="18" w:space="0" w:color="7F7F7F" w:themeColor="text1" w:themeTint="80"/>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center"/>
              <w:rPr>
                <w:rFonts w:ascii="Times New Roman" w:hAnsi="Times New Roman" w:cs="Times New Roman"/>
                <w:color w:val="000000"/>
                <w:sz w:val="20"/>
                <w:szCs w:val="20"/>
              </w:rPr>
            </w:pPr>
            <w:r w:rsidRPr="006D34BE">
              <w:rPr>
                <w:rFonts w:ascii="Times New Roman" w:hAnsi="Times New Roman" w:cs="Times New Roman"/>
                <w:color w:val="000000"/>
                <w:sz w:val="20"/>
                <w:szCs w:val="20"/>
              </w:rPr>
              <w:t>Fgn assets</w:t>
            </w:r>
          </w:p>
        </w:tc>
        <w:tc>
          <w:tcPr>
            <w:tcW w:w="1265" w:type="dxa"/>
            <w:tcBorders>
              <w:top w:val="single" w:sz="18" w:space="0" w:color="7F7F7F" w:themeColor="text1" w:themeTint="80"/>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center"/>
              <w:rPr>
                <w:rFonts w:ascii="Times New Roman" w:hAnsi="Times New Roman" w:cs="Times New Roman"/>
                <w:color w:val="000000"/>
                <w:sz w:val="20"/>
                <w:szCs w:val="20"/>
              </w:rPr>
            </w:pPr>
            <w:r w:rsidRPr="006D34BE">
              <w:rPr>
                <w:rFonts w:ascii="Times New Roman" w:hAnsi="Times New Roman" w:cs="Times New Roman"/>
                <w:color w:val="000000"/>
                <w:sz w:val="20"/>
                <w:szCs w:val="20"/>
              </w:rPr>
              <w:t>Fgn liabilities</w:t>
            </w:r>
          </w:p>
        </w:tc>
        <w:tc>
          <w:tcPr>
            <w:tcW w:w="1160" w:type="dxa"/>
            <w:tcBorders>
              <w:top w:val="single" w:sz="18" w:space="0" w:color="7F7F7F" w:themeColor="text1" w:themeTint="80"/>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Net fgn assets</w:t>
            </w:r>
          </w:p>
        </w:tc>
        <w:tc>
          <w:tcPr>
            <w:tcW w:w="1036" w:type="dxa"/>
            <w:tcBorders>
              <w:top w:val="single" w:sz="18" w:space="0" w:color="7F7F7F" w:themeColor="text1" w:themeTint="80"/>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Capital</w:t>
            </w:r>
          </w:p>
        </w:tc>
        <w:tc>
          <w:tcPr>
            <w:tcW w:w="1087" w:type="dxa"/>
            <w:tcBorders>
              <w:top w:val="single" w:sz="18" w:space="0" w:color="7F7F7F" w:themeColor="text1" w:themeTint="80"/>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Locally-owned capital</w:t>
            </w:r>
          </w:p>
        </w:tc>
        <w:tc>
          <w:tcPr>
            <w:tcW w:w="1036" w:type="dxa"/>
            <w:tcBorders>
              <w:top w:val="single" w:sz="18" w:space="0" w:color="7F7F7F" w:themeColor="text1" w:themeTint="80"/>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Wealth</w:t>
            </w:r>
          </w:p>
        </w:tc>
        <w:tc>
          <w:tcPr>
            <w:tcW w:w="1036" w:type="dxa"/>
            <w:tcBorders>
              <w:top w:val="single" w:sz="18" w:space="0" w:color="7F7F7F" w:themeColor="text1" w:themeTint="80"/>
              <w:left w:val="single" w:sz="4" w:space="0" w:color="auto"/>
              <w:bottom w:val="single" w:sz="4" w:space="0" w:color="auto"/>
              <w:right w:val="single" w:sz="4" w:space="0" w:color="auto"/>
            </w:tcBorders>
          </w:tcPr>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Net fgn assets /GDP</w:t>
            </w:r>
          </w:p>
        </w:tc>
        <w:tc>
          <w:tcPr>
            <w:tcW w:w="1036" w:type="dxa"/>
            <w:tcBorders>
              <w:top w:val="single" w:sz="18" w:space="0" w:color="7F7F7F" w:themeColor="text1" w:themeTint="80"/>
              <w:left w:val="single" w:sz="4" w:space="0" w:color="auto"/>
              <w:bottom w:val="single" w:sz="4" w:space="0" w:color="auto"/>
              <w:right w:val="single" w:sz="4" w:space="0" w:color="auto"/>
            </w:tcBorders>
          </w:tcPr>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Capital</w:t>
            </w:r>
          </w:p>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/GDP</w:t>
            </w:r>
          </w:p>
        </w:tc>
        <w:tc>
          <w:tcPr>
            <w:tcW w:w="1036" w:type="dxa"/>
            <w:tcBorders>
              <w:top w:val="single" w:sz="18" w:space="0" w:color="7F7F7F" w:themeColor="text1" w:themeTint="80"/>
              <w:left w:val="single" w:sz="4" w:space="0" w:color="auto"/>
              <w:bottom w:val="single" w:sz="4" w:space="0" w:color="auto"/>
            </w:tcBorders>
          </w:tcPr>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Wealth</w:t>
            </w:r>
          </w:p>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/GDP</w:t>
            </w:r>
          </w:p>
        </w:tc>
      </w:tr>
      <w:tr w:rsidR="00D731CA" w:rsidTr="00F81F7F">
        <w:tc>
          <w:tcPr>
            <w:tcW w:w="562" w:type="dxa"/>
            <w:tcBorders>
              <w:top w:val="single" w:sz="4" w:space="0" w:color="auto"/>
              <w:bottom w:val="single" w:sz="4" w:space="0" w:color="auto"/>
              <w:right w:val="single" w:sz="4" w:space="0" w:color="auto"/>
            </w:tcBorders>
            <w:vAlign w:val="bottom"/>
          </w:tcPr>
          <w:p w:rsidR="00D731CA" w:rsidRPr="006D34BE" w:rsidRDefault="00D731CA" w:rsidP="00A46049">
            <w:pPr>
              <w:spacing w:after="0" w:line="240" w:lineRule="auto"/>
              <w:rPr>
                <w:rFonts w:ascii="Times New Roman" w:hAnsi="Times New Roman" w:cs="Times New Roman"/>
                <w:sz w:val="20"/>
                <w:szCs w:val="20"/>
              </w:rPr>
            </w:pPr>
          </w:p>
        </w:tc>
        <w:tc>
          <w:tcPr>
            <w:tcW w:w="1631" w:type="dxa"/>
            <w:tcBorders>
              <w:top w:val="single" w:sz="4" w:space="0" w:color="auto"/>
              <w:left w:val="single" w:sz="4" w:space="0" w:color="auto"/>
              <w:bottom w:val="single" w:sz="4" w:space="0" w:color="auto"/>
              <w:right w:val="single" w:sz="4" w:space="0" w:color="auto"/>
            </w:tcBorders>
            <w:vAlign w:val="center"/>
          </w:tcPr>
          <w:p w:rsidR="00D731CA" w:rsidRPr="006D34BE" w:rsidRDefault="00D731CA" w:rsidP="00A46049">
            <w:pPr>
              <w:spacing w:after="0" w:line="240" w:lineRule="auto"/>
              <w:jc w:val="right"/>
              <w:rPr>
                <w:rFonts w:ascii="Times New Roman" w:hAnsi="Times New Roman" w:cs="Times New Roman"/>
                <w:color w:val="000000"/>
                <w:sz w:val="20"/>
                <w:szCs w:val="20"/>
              </w:rPr>
            </w:pPr>
          </w:p>
        </w:tc>
        <w:tc>
          <w:tcPr>
            <w:tcW w:w="1220" w:type="dxa"/>
            <w:tcBorders>
              <w:top w:val="single" w:sz="4" w:space="0" w:color="auto"/>
              <w:left w:val="single" w:sz="4" w:space="0" w:color="auto"/>
              <w:bottom w:val="single" w:sz="4" w:space="0" w:color="auto"/>
              <w:right w:val="single" w:sz="4" w:space="0" w:color="auto"/>
            </w:tcBorders>
          </w:tcPr>
          <w:p w:rsidR="00D731CA" w:rsidRPr="006D34BE" w:rsidRDefault="00D731CA" w:rsidP="00A4604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65" w:type="dxa"/>
            <w:tcBorders>
              <w:top w:val="single" w:sz="4" w:space="0" w:color="auto"/>
              <w:left w:val="single" w:sz="4" w:space="0" w:color="auto"/>
              <w:bottom w:val="single" w:sz="4" w:space="0" w:color="auto"/>
              <w:right w:val="single" w:sz="4" w:space="0" w:color="auto"/>
            </w:tcBorders>
          </w:tcPr>
          <w:p w:rsidR="00D731CA" w:rsidRPr="006D34BE" w:rsidRDefault="00D731CA" w:rsidP="00A4604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160" w:type="dxa"/>
            <w:tcBorders>
              <w:top w:val="single" w:sz="4" w:space="0" w:color="auto"/>
              <w:left w:val="single" w:sz="4" w:space="0" w:color="auto"/>
              <w:bottom w:val="single" w:sz="4" w:space="0" w:color="auto"/>
              <w:right w:val="single" w:sz="4" w:space="0" w:color="auto"/>
            </w:tcBorders>
            <w:vAlign w:val="center"/>
          </w:tcPr>
          <w:p w:rsidR="00D731CA" w:rsidRDefault="00D731CA" w:rsidP="00A4604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p>
          <w:p w:rsidR="00D731CA" w:rsidRPr="006D34BE" w:rsidRDefault="00D731CA" w:rsidP="00A4604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(1) – (2)</w:t>
            </w:r>
          </w:p>
        </w:tc>
        <w:tc>
          <w:tcPr>
            <w:tcW w:w="1036" w:type="dxa"/>
            <w:tcBorders>
              <w:top w:val="single" w:sz="4" w:space="0" w:color="auto"/>
              <w:left w:val="single" w:sz="4" w:space="0" w:color="auto"/>
              <w:bottom w:val="single" w:sz="4" w:space="0" w:color="auto"/>
              <w:right w:val="single" w:sz="4" w:space="0" w:color="auto"/>
            </w:tcBorders>
          </w:tcPr>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D731CA" w:rsidRPr="006D34BE" w:rsidRDefault="00D731CA" w:rsidP="00A46049">
            <w:pPr>
              <w:spacing w:after="0" w:line="240" w:lineRule="auto"/>
              <w:jc w:val="center"/>
              <w:rPr>
                <w:rFonts w:ascii="Times New Roman" w:hAnsi="Times New Roman" w:cs="Times New Roman"/>
                <w:sz w:val="20"/>
                <w:szCs w:val="20"/>
              </w:rPr>
            </w:pPr>
          </w:p>
        </w:tc>
        <w:tc>
          <w:tcPr>
            <w:tcW w:w="1087" w:type="dxa"/>
            <w:tcBorders>
              <w:top w:val="single" w:sz="4" w:space="0" w:color="auto"/>
              <w:left w:val="single" w:sz="4" w:space="0" w:color="auto"/>
              <w:bottom w:val="single" w:sz="4" w:space="0" w:color="auto"/>
              <w:right w:val="single" w:sz="4" w:space="0" w:color="auto"/>
            </w:tcBorders>
          </w:tcPr>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 (2)</w:t>
            </w:r>
          </w:p>
        </w:tc>
        <w:tc>
          <w:tcPr>
            <w:tcW w:w="1036" w:type="dxa"/>
            <w:tcBorders>
              <w:top w:val="single" w:sz="4" w:space="0" w:color="auto"/>
              <w:left w:val="single" w:sz="4" w:space="0" w:color="auto"/>
              <w:bottom w:val="single" w:sz="4" w:space="0" w:color="auto"/>
              <w:right w:val="single" w:sz="4" w:space="0" w:color="auto"/>
            </w:tcBorders>
          </w:tcPr>
          <w:p w:rsidR="00D731CA"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(5) +(1)</w:t>
            </w:r>
          </w:p>
        </w:tc>
        <w:tc>
          <w:tcPr>
            <w:tcW w:w="1036" w:type="dxa"/>
            <w:tcBorders>
              <w:top w:val="single" w:sz="4" w:space="0" w:color="auto"/>
              <w:left w:val="single" w:sz="4" w:space="0" w:color="auto"/>
              <w:bottom w:val="single" w:sz="4" w:space="0" w:color="auto"/>
              <w:right w:val="single" w:sz="4" w:space="0" w:color="auto"/>
            </w:tcBorders>
          </w:tcPr>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36" w:type="dxa"/>
            <w:tcBorders>
              <w:top w:val="single" w:sz="4" w:space="0" w:color="auto"/>
              <w:left w:val="single" w:sz="4" w:space="0" w:color="auto"/>
              <w:bottom w:val="single" w:sz="4" w:space="0" w:color="auto"/>
              <w:right w:val="single" w:sz="4" w:space="0" w:color="auto"/>
            </w:tcBorders>
          </w:tcPr>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036" w:type="dxa"/>
            <w:tcBorders>
              <w:top w:val="single" w:sz="4" w:space="0" w:color="auto"/>
              <w:left w:val="single" w:sz="4" w:space="0" w:color="auto"/>
              <w:bottom w:val="single" w:sz="4" w:space="0" w:color="auto"/>
            </w:tcBorders>
          </w:tcPr>
          <w:p w:rsidR="00D731CA" w:rsidRPr="006D34BE" w:rsidRDefault="00D731CA" w:rsidP="00A460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D731CA" w:rsidTr="00F81F7F">
        <w:tc>
          <w:tcPr>
            <w:tcW w:w="562" w:type="dxa"/>
            <w:tcBorders>
              <w:top w:val="single" w:sz="4" w:space="0" w:color="auto"/>
              <w:bottom w:val="single" w:sz="18" w:space="0" w:color="7F7F7F" w:themeColor="text1" w:themeTint="80"/>
              <w:right w:val="single" w:sz="4" w:space="0" w:color="auto"/>
            </w:tcBorders>
            <w:vAlign w:val="bottom"/>
          </w:tcPr>
          <w:p w:rsidR="00D731CA" w:rsidRPr="006D34BE" w:rsidRDefault="00D731CA" w:rsidP="00A46049">
            <w:pPr>
              <w:spacing w:after="0" w:line="240" w:lineRule="auto"/>
              <w:rPr>
                <w:rFonts w:ascii="Times New Roman" w:hAnsi="Times New Roman" w:cs="Times New Roman"/>
                <w:sz w:val="20"/>
                <w:szCs w:val="20"/>
              </w:rPr>
            </w:pPr>
          </w:p>
        </w:tc>
        <w:tc>
          <w:tcPr>
            <w:tcW w:w="1631" w:type="dxa"/>
            <w:tcBorders>
              <w:top w:val="single" w:sz="4" w:space="0" w:color="auto"/>
              <w:left w:val="single" w:sz="4" w:space="0" w:color="auto"/>
              <w:bottom w:val="single" w:sz="18" w:space="0" w:color="7F7F7F" w:themeColor="text1" w:themeTint="80"/>
              <w:right w:val="single" w:sz="4" w:space="0" w:color="auto"/>
            </w:tcBorders>
            <w:vAlign w:val="center"/>
          </w:tcPr>
          <w:p w:rsidR="00D731CA" w:rsidRPr="006D34BE" w:rsidRDefault="00D731CA" w:rsidP="00A46049">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GEMPACK notation</w:t>
            </w:r>
          </w:p>
        </w:tc>
        <w:tc>
          <w:tcPr>
            <w:tcW w:w="1220"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color w:val="000000"/>
                <w:sz w:val="18"/>
                <w:szCs w:val="18"/>
              </w:rPr>
            </w:pPr>
            <w:r w:rsidRPr="00A0156E">
              <w:rPr>
                <w:rFonts w:ascii="Times New Roman" w:hAnsi="Times New Roman" w:cs="Times New Roman"/>
                <w:color w:val="000000"/>
                <w:sz w:val="18"/>
                <w:szCs w:val="18"/>
              </w:rPr>
              <w:t>WQHTRUST</w:t>
            </w:r>
          </w:p>
        </w:tc>
        <w:tc>
          <w:tcPr>
            <w:tcW w:w="1265"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WQTFIRM</w:t>
            </w:r>
          </w:p>
        </w:tc>
        <w:tc>
          <w:tcPr>
            <w:tcW w:w="1160"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color w:val="000000"/>
                <w:sz w:val="18"/>
                <w:szCs w:val="18"/>
              </w:rPr>
            </w:pPr>
          </w:p>
        </w:tc>
        <w:tc>
          <w:tcPr>
            <w:tcW w:w="1036"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VKB</w:t>
            </w:r>
          </w:p>
        </w:tc>
        <w:tc>
          <w:tcPr>
            <w:tcW w:w="1087"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WQHFIRM</w:t>
            </w:r>
          </w:p>
        </w:tc>
        <w:tc>
          <w:tcPr>
            <w:tcW w:w="1036"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sz w:val="18"/>
                <w:szCs w:val="18"/>
              </w:rPr>
            </w:pPr>
            <w:r w:rsidRPr="00A0156E">
              <w:rPr>
                <w:rFonts w:ascii="Times New Roman" w:hAnsi="Times New Roman" w:cs="Times New Roman"/>
                <w:sz w:val="18"/>
                <w:szCs w:val="18"/>
              </w:rPr>
              <w:t>WQHHLD</w:t>
            </w:r>
          </w:p>
        </w:tc>
        <w:tc>
          <w:tcPr>
            <w:tcW w:w="1036"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sz w:val="18"/>
                <w:szCs w:val="18"/>
              </w:rPr>
            </w:pPr>
          </w:p>
        </w:tc>
        <w:tc>
          <w:tcPr>
            <w:tcW w:w="1036" w:type="dxa"/>
            <w:tcBorders>
              <w:top w:val="single" w:sz="4" w:space="0" w:color="auto"/>
              <w:left w:val="single" w:sz="4" w:space="0" w:color="auto"/>
              <w:bottom w:val="single" w:sz="18" w:space="0" w:color="7F7F7F" w:themeColor="text1" w:themeTint="80"/>
              <w:right w:val="single" w:sz="4" w:space="0" w:color="auto"/>
            </w:tcBorders>
          </w:tcPr>
          <w:p w:rsidR="00D731CA" w:rsidRPr="00A0156E" w:rsidRDefault="00D731CA" w:rsidP="00A46049">
            <w:pPr>
              <w:spacing w:after="0" w:line="240" w:lineRule="auto"/>
              <w:jc w:val="center"/>
              <w:rPr>
                <w:rFonts w:ascii="Times New Roman" w:hAnsi="Times New Roman" w:cs="Times New Roman"/>
                <w:sz w:val="18"/>
                <w:szCs w:val="18"/>
              </w:rPr>
            </w:pPr>
          </w:p>
        </w:tc>
        <w:tc>
          <w:tcPr>
            <w:tcW w:w="1036" w:type="dxa"/>
            <w:tcBorders>
              <w:top w:val="single" w:sz="4" w:space="0" w:color="auto"/>
              <w:left w:val="single" w:sz="4" w:space="0" w:color="auto"/>
              <w:bottom w:val="single" w:sz="18" w:space="0" w:color="7F7F7F" w:themeColor="text1" w:themeTint="80"/>
            </w:tcBorders>
          </w:tcPr>
          <w:p w:rsidR="00D731CA" w:rsidRPr="00A0156E" w:rsidRDefault="00D731CA" w:rsidP="00A46049">
            <w:pPr>
              <w:spacing w:after="0" w:line="240" w:lineRule="auto"/>
              <w:jc w:val="center"/>
              <w:rPr>
                <w:rFonts w:ascii="Times New Roman" w:hAnsi="Times New Roman" w:cs="Times New Roman"/>
                <w:sz w:val="18"/>
                <w:szCs w:val="18"/>
              </w:rPr>
            </w:pPr>
          </w:p>
        </w:tc>
      </w:tr>
      <w:tr w:rsidR="00F25B10" w:rsidTr="00F81F7F">
        <w:tc>
          <w:tcPr>
            <w:tcW w:w="562" w:type="dxa"/>
            <w:tcBorders>
              <w:top w:val="single" w:sz="18" w:space="0" w:color="7F7F7F" w:themeColor="text1" w:themeTint="80"/>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1</w:t>
            </w:r>
          </w:p>
        </w:tc>
        <w:tc>
          <w:tcPr>
            <w:tcW w:w="1631"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USA</w:t>
            </w:r>
          </w:p>
        </w:tc>
        <w:tc>
          <w:tcPr>
            <w:tcW w:w="1220"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25374</w:t>
            </w:r>
          </w:p>
        </w:tc>
        <w:tc>
          <w:tcPr>
            <w:tcW w:w="1265"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31148</w:t>
            </w:r>
          </w:p>
        </w:tc>
        <w:tc>
          <w:tcPr>
            <w:tcW w:w="1160"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-5773</w:t>
            </w:r>
          </w:p>
        </w:tc>
        <w:tc>
          <w:tcPr>
            <w:tcW w:w="1036"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50732</w:t>
            </w:r>
          </w:p>
        </w:tc>
        <w:tc>
          <w:tcPr>
            <w:tcW w:w="1087"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19584</w:t>
            </w:r>
          </w:p>
        </w:tc>
        <w:tc>
          <w:tcPr>
            <w:tcW w:w="1036"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44958</w:t>
            </w:r>
          </w:p>
        </w:tc>
        <w:tc>
          <w:tcPr>
            <w:tcW w:w="1036"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-0.35</w:t>
            </w:r>
          </w:p>
        </w:tc>
        <w:tc>
          <w:tcPr>
            <w:tcW w:w="1036" w:type="dxa"/>
            <w:tcBorders>
              <w:top w:val="single" w:sz="18" w:space="0" w:color="7F7F7F" w:themeColor="text1" w:themeTint="80"/>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3.11</w:t>
            </w:r>
          </w:p>
        </w:tc>
        <w:tc>
          <w:tcPr>
            <w:tcW w:w="1036" w:type="dxa"/>
            <w:tcBorders>
              <w:top w:val="single" w:sz="18" w:space="0" w:color="7F7F7F" w:themeColor="text1" w:themeTint="80"/>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2.76</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2</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Canada</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2976</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2847</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129</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5512</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2665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5640</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0.07</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2.93</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3.00</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3</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Mexico</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567</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1130</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-563</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3316</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2186</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2753</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-0.45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2.64</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2.20</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4</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Japan</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7982</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4699</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3283</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25901</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21202</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29185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0.55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4.37</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4.92</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5</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SKorea</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1102</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974</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129</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4631</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3657</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4760</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0.10</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3.67</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3.78</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6</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China</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6579</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4734</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1844</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31774</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27040</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33619</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0.21</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3.57</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3.77</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7</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Germany</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9506</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7690</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1817</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11264</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3575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13081</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0.50</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3.08</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3.58</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8</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EU26</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32003</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33619</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-1616</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41303</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7684</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39688</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-0.14</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3.60</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3.46</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9</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UK</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968</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1553</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-585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6350</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4797</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5766</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-0.23</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2.48</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2.25</w:t>
            </w:r>
          </w:p>
        </w:tc>
      </w:tr>
      <w:tr w:rsidR="00F25B10" w:rsidTr="00F81F7F">
        <w:tc>
          <w:tcPr>
            <w:tcW w:w="562" w:type="dxa"/>
            <w:tcBorders>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r w:rsidRPr="00E94D6B">
              <w:rPr>
                <w:rFonts w:ascii="Times New Roman" w:hAnsi="Times New Roman" w:cs="Times New Roman"/>
                <w:color w:val="000000"/>
                <w:sz w:val="20"/>
                <w:szCs w:val="20"/>
              </w:rPr>
              <w:t>10</w:t>
            </w:r>
          </w:p>
        </w:tc>
        <w:tc>
          <w:tcPr>
            <w:tcW w:w="1631" w:type="dxa"/>
            <w:tcBorders>
              <w:left w:val="single" w:sz="4" w:space="0" w:color="auto"/>
              <w:right w:val="single" w:sz="4" w:space="0" w:color="auto"/>
            </w:tcBorders>
            <w:vAlign w:val="bottom"/>
          </w:tcPr>
          <w:p w:rsidR="00F25B10" w:rsidRPr="00F25B10" w:rsidRDefault="00F25B10" w:rsidP="00F25B10">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RoW</w:t>
            </w:r>
          </w:p>
        </w:tc>
        <w:tc>
          <w:tcPr>
            <w:tcW w:w="122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24321</w:t>
            </w:r>
          </w:p>
        </w:tc>
        <w:tc>
          <w:tcPr>
            <w:tcW w:w="1265"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22987</w:t>
            </w:r>
          </w:p>
        </w:tc>
        <w:tc>
          <w:tcPr>
            <w:tcW w:w="1160"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1335</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68791</w:t>
            </w:r>
          </w:p>
        </w:tc>
        <w:tc>
          <w:tcPr>
            <w:tcW w:w="1087"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45804</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70126</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0.06</w:t>
            </w:r>
          </w:p>
        </w:tc>
        <w:tc>
          <w:tcPr>
            <w:tcW w:w="1036" w:type="dxa"/>
            <w:tcBorders>
              <w:left w:val="single" w:sz="4" w:space="0" w:color="auto"/>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3.00</w:t>
            </w:r>
          </w:p>
        </w:tc>
        <w:tc>
          <w:tcPr>
            <w:tcW w:w="1036" w:type="dxa"/>
            <w:tcBorders>
              <w:lef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3.06</w:t>
            </w:r>
          </w:p>
        </w:tc>
      </w:tr>
      <w:tr w:rsidR="00F25B10" w:rsidTr="00F81F7F">
        <w:tc>
          <w:tcPr>
            <w:tcW w:w="562" w:type="dxa"/>
            <w:tcBorders>
              <w:bottom w:val="single" w:sz="18" w:space="0" w:color="7F7F7F" w:themeColor="text1" w:themeTint="80"/>
              <w:right w:val="single" w:sz="4" w:space="0" w:color="auto"/>
            </w:tcBorders>
            <w:vAlign w:val="bottom"/>
          </w:tcPr>
          <w:p w:rsidR="00F25B10" w:rsidRPr="00E94D6B" w:rsidRDefault="00F25B10" w:rsidP="00F25B10">
            <w:pPr>
              <w:spacing w:after="0" w:line="240" w:lineRule="auto"/>
              <w:jc w:val="right"/>
              <w:rPr>
                <w:rFonts w:ascii="Times New Roman" w:hAnsi="Times New Roman" w:cs="Times New Roman"/>
                <w:color w:val="000000"/>
                <w:sz w:val="20"/>
                <w:szCs w:val="20"/>
              </w:rPr>
            </w:pPr>
          </w:p>
        </w:tc>
        <w:tc>
          <w:tcPr>
            <w:tcW w:w="1631" w:type="dxa"/>
            <w:tcBorders>
              <w:left w:val="single" w:sz="4" w:space="0" w:color="auto"/>
              <w:bottom w:val="single" w:sz="18" w:space="0" w:color="7F7F7F" w:themeColor="text1" w:themeTint="80"/>
              <w:right w:val="single" w:sz="4" w:space="0" w:color="auto"/>
            </w:tcBorders>
            <w:vAlign w:val="bottom"/>
          </w:tcPr>
          <w:p w:rsidR="00F25B10" w:rsidRPr="00E94D6B" w:rsidRDefault="00F25B10" w:rsidP="00F25B10">
            <w:pPr>
              <w:spacing w:after="0" w:line="240" w:lineRule="auto"/>
              <w:rPr>
                <w:rFonts w:ascii="Times New Roman" w:hAnsi="Times New Roman" w:cs="Times New Roman"/>
                <w:color w:val="000000"/>
                <w:sz w:val="20"/>
                <w:szCs w:val="20"/>
              </w:rPr>
            </w:pPr>
            <w:r w:rsidRPr="00E94D6B">
              <w:rPr>
                <w:rFonts w:ascii="Times New Roman" w:hAnsi="Times New Roman" w:cs="Times New Roman"/>
                <w:color w:val="000000"/>
                <w:sz w:val="20"/>
                <w:szCs w:val="20"/>
              </w:rPr>
              <w:t>Total</w:t>
            </w:r>
          </w:p>
        </w:tc>
        <w:tc>
          <w:tcPr>
            <w:tcW w:w="1220"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111380</w:t>
            </w:r>
          </w:p>
        </w:tc>
        <w:tc>
          <w:tcPr>
            <w:tcW w:w="1265"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111380</w:t>
            </w:r>
          </w:p>
        </w:tc>
        <w:tc>
          <w:tcPr>
            <w:tcW w:w="1160"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w:t>
            </w:r>
          </w:p>
        </w:tc>
        <w:tc>
          <w:tcPr>
            <w:tcW w:w="1036"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249574</w:t>
            </w:r>
          </w:p>
        </w:tc>
        <w:tc>
          <w:tcPr>
            <w:tcW w:w="1087"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138195</w:t>
            </w:r>
          </w:p>
        </w:tc>
        <w:tc>
          <w:tcPr>
            <w:tcW w:w="1036"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249574</w:t>
            </w:r>
          </w:p>
        </w:tc>
        <w:tc>
          <w:tcPr>
            <w:tcW w:w="1036"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0.00</w:t>
            </w:r>
          </w:p>
        </w:tc>
        <w:tc>
          <w:tcPr>
            <w:tcW w:w="1036" w:type="dxa"/>
            <w:tcBorders>
              <w:left w:val="single" w:sz="4" w:space="0" w:color="auto"/>
              <w:bottom w:val="single" w:sz="18" w:space="0" w:color="7F7F7F" w:themeColor="text1" w:themeTint="80"/>
              <w:right w:val="single" w:sz="4" w:space="0" w:color="auto"/>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3.28</w:t>
            </w:r>
          </w:p>
        </w:tc>
        <w:tc>
          <w:tcPr>
            <w:tcW w:w="1036" w:type="dxa"/>
            <w:tcBorders>
              <w:left w:val="single" w:sz="4" w:space="0" w:color="auto"/>
              <w:bottom w:val="single" w:sz="18" w:space="0" w:color="7F7F7F" w:themeColor="text1" w:themeTint="80"/>
            </w:tcBorders>
            <w:vAlign w:val="bottom"/>
          </w:tcPr>
          <w:p w:rsidR="00F25B10" w:rsidRPr="00F25B10" w:rsidRDefault="00F25B10" w:rsidP="00F25B10">
            <w:pPr>
              <w:spacing w:after="0" w:line="240" w:lineRule="auto"/>
              <w:jc w:val="right"/>
              <w:rPr>
                <w:rFonts w:ascii="Times New Roman" w:hAnsi="Times New Roman" w:cs="Times New Roman"/>
                <w:color w:val="000000"/>
                <w:sz w:val="20"/>
                <w:szCs w:val="20"/>
              </w:rPr>
            </w:pPr>
            <w:r w:rsidRPr="00F25B10">
              <w:rPr>
                <w:rFonts w:ascii="Times New Roman" w:hAnsi="Times New Roman" w:cs="Times New Roman"/>
                <w:color w:val="000000"/>
                <w:sz w:val="20"/>
                <w:szCs w:val="20"/>
              </w:rPr>
              <w:t>3.28</w:t>
            </w:r>
          </w:p>
        </w:tc>
      </w:tr>
    </w:tbl>
    <w:p w:rsidR="00D731CA" w:rsidRPr="00E94D6B" w:rsidRDefault="00D731CA" w:rsidP="00D731CA">
      <w:pPr>
        <w:spacing w:before="120" w:after="0" w:line="240" w:lineRule="auto"/>
        <w:ind w:right="1625"/>
        <w:rPr>
          <w:rFonts w:ascii="Times New Roman" w:hAnsi="Times New Roman" w:cs="Times New Roman"/>
          <w:sz w:val="20"/>
          <w:szCs w:val="20"/>
        </w:rPr>
      </w:pPr>
      <w:r w:rsidRPr="00444D87">
        <w:rPr>
          <w:rFonts w:ascii="Times New Roman" w:hAnsi="Times New Roman" w:cs="Times New Roman"/>
          <w:vertAlign w:val="superscript"/>
        </w:rPr>
        <w:t>*</w:t>
      </w:r>
      <w:r w:rsidRPr="00444D87">
        <w:rPr>
          <w:rFonts w:ascii="Times New Roman" w:hAnsi="Times New Roman" w:cs="Times New Roman"/>
        </w:rPr>
        <w:t xml:space="preserve"> </w:t>
      </w:r>
      <w:r>
        <w:rPr>
          <w:rFonts w:ascii="Times New Roman" w:hAnsi="Times New Roman" w:cs="Times New Roman"/>
        </w:rPr>
        <w:t xml:space="preserve"> </w:t>
      </w:r>
      <w:r w:rsidRPr="00E94D6B">
        <w:rPr>
          <w:rFonts w:ascii="Times New Roman" w:hAnsi="Times New Roman" w:cs="Times New Roman"/>
          <w:sz w:val="20"/>
          <w:szCs w:val="20"/>
        </w:rPr>
        <w:t xml:space="preserve">Columns </w:t>
      </w:r>
      <w:r>
        <w:rPr>
          <w:rFonts w:ascii="Times New Roman" w:hAnsi="Times New Roman" w:cs="Times New Roman"/>
          <w:sz w:val="20"/>
          <w:szCs w:val="20"/>
        </w:rPr>
        <w:t>(</w:t>
      </w:r>
      <w:r w:rsidRPr="00E94D6B">
        <w:rPr>
          <w:rFonts w:ascii="Times New Roman" w:hAnsi="Times New Roman" w:cs="Times New Roman"/>
          <w:sz w:val="20"/>
          <w:szCs w:val="20"/>
        </w:rPr>
        <w:t>1</w:t>
      </w:r>
      <w:r>
        <w:rPr>
          <w:rFonts w:ascii="Times New Roman" w:hAnsi="Times New Roman" w:cs="Times New Roman"/>
          <w:sz w:val="20"/>
          <w:szCs w:val="20"/>
        </w:rPr>
        <w:t>)</w:t>
      </w:r>
      <w:r w:rsidRPr="00E94D6B">
        <w:rPr>
          <w:rFonts w:ascii="Times New Roman" w:hAnsi="Times New Roman" w:cs="Times New Roman"/>
          <w:sz w:val="20"/>
          <w:szCs w:val="20"/>
        </w:rPr>
        <w:t xml:space="preserve"> and </w:t>
      </w:r>
      <w:r>
        <w:rPr>
          <w:rFonts w:ascii="Times New Roman" w:hAnsi="Times New Roman" w:cs="Times New Roman"/>
          <w:sz w:val="20"/>
          <w:szCs w:val="20"/>
        </w:rPr>
        <w:t>(</w:t>
      </w:r>
      <w:r w:rsidRPr="00E94D6B">
        <w:rPr>
          <w:rFonts w:ascii="Times New Roman" w:hAnsi="Times New Roman" w:cs="Times New Roman"/>
          <w:sz w:val="20"/>
          <w:szCs w:val="20"/>
        </w:rPr>
        <w:t>2</w:t>
      </w:r>
      <w:r>
        <w:rPr>
          <w:rFonts w:ascii="Times New Roman" w:hAnsi="Times New Roman" w:cs="Times New Roman"/>
          <w:sz w:val="20"/>
          <w:szCs w:val="20"/>
        </w:rPr>
        <w:t>)</w:t>
      </w:r>
      <w:r w:rsidRPr="00E94D6B">
        <w:rPr>
          <w:rFonts w:ascii="Times New Roman" w:hAnsi="Times New Roman" w:cs="Times New Roman"/>
          <w:sz w:val="20"/>
          <w:szCs w:val="20"/>
        </w:rPr>
        <w:t xml:space="preserve"> are data for end of 2014 (start of 2015) on International Investment Positions by country published in the IMF’s Yearbook for 2018.  For </w:t>
      </w:r>
      <w:r w:rsidR="008F082D">
        <w:rPr>
          <w:rFonts w:ascii="Times New Roman" w:hAnsi="Times New Roman" w:cs="Times New Roman"/>
          <w:sz w:val="20"/>
          <w:szCs w:val="20"/>
        </w:rPr>
        <w:t xml:space="preserve">EU26 and UK </w:t>
      </w:r>
      <w:r w:rsidRPr="00E94D6B">
        <w:rPr>
          <w:rFonts w:ascii="Times New Roman" w:hAnsi="Times New Roman" w:cs="Times New Roman"/>
          <w:sz w:val="20"/>
          <w:szCs w:val="20"/>
        </w:rPr>
        <w:t xml:space="preserve">we adjusted </w:t>
      </w:r>
      <w:r>
        <w:rPr>
          <w:rFonts w:ascii="Times New Roman" w:hAnsi="Times New Roman" w:cs="Times New Roman"/>
          <w:sz w:val="20"/>
          <w:szCs w:val="20"/>
        </w:rPr>
        <w:t>down</w:t>
      </w:r>
      <w:r w:rsidRPr="00E94D6B">
        <w:rPr>
          <w:rFonts w:ascii="Times New Roman" w:hAnsi="Times New Roman" w:cs="Times New Roman"/>
          <w:sz w:val="20"/>
          <w:szCs w:val="20"/>
        </w:rPr>
        <w:t xml:space="preserve"> both foreign assets and foreign liabilities by $</w:t>
      </w:r>
      <w:r w:rsidR="008F082D">
        <w:rPr>
          <w:rFonts w:ascii="Times New Roman" w:hAnsi="Times New Roman" w:cs="Times New Roman"/>
          <w:sz w:val="20"/>
          <w:szCs w:val="20"/>
        </w:rPr>
        <w:t>15,000</w:t>
      </w:r>
      <w:r w:rsidRPr="00E94D6B">
        <w:rPr>
          <w:rFonts w:ascii="Times New Roman" w:hAnsi="Times New Roman" w:cs="Times New Roman"/>
          <w:sz w:val="20"/>
          <w:szCs w:val="20"/>
        </w:rPr>
        <w:t xml:space="preserve"> </w:t>
      </w:r>
      <w:r w:rsidR="008F082D">
        <w:rPr>
          <w:rFonts w:ascii="Times New Roman" w:hAnsi="Times New Roman" w:cs="Times New Roman"/>
          <w:sz w:val="20"/>
          <w:szCs w:val="20"/>
        </w:rPr>
        <w:t>b</w:t>
      </w:r>
      <w:r w:rsidRPr="00E94D6B">
        <w:rPr>
          <w:rFonts w:ascii="Times New Roman" w:hAnsi="Times New Roman" w:cs="Times New Roman"/>
          <w:sz w:val="20"/>
          <w:szCs w:val="20"/>
        </w:rPr>
        <w:t>illion to avoid a negative entr</w:t>
      </w:r>
      <w:r w:rsidR="00AC34EA">
        <w:rPr>
          <w:rFonts w:ascii="Times New Roman" w:hAnsi="Times New Roman" w:cs="Times New Roman"/>
          <w:sz w:val="20"/>
          <w:szCs w:val="20"/>
        </w:rPr>
        <w:t>ies</w:t>
      </w:r>
      <w:r w:rsidRPr="00E94D6B">
        <w:rPr>
          <w:rFonts w:ascii="Times New Roman" w:hAnsi="Times New Roman" w:cs="Times New Roman"/>
          <w:sz w:val="20"/>
          <w:szCs w:val="20"/>
        </w:rPr>
        <w:t xml:space="preserve"> in column </w:t>
      </w:r>
      <w:r>
        <w:rPr>
          <w:rFonts w:ascii="Times New Roman" w:hAnsi="Times New Roman" w:cs="Times New Roman"/>
          <w:sz w:val="20"/>
          <w:szCs w:val="20"/>
        </w:rPr>
        <w:t>(5)</w:t>
      </w:r>
      <w:r w:rsidRPr="00E94D6B">
        <w:rPr>
          <w:rFonts w:ascii="Times New Roman" w:hAnsi="Times New Roman" w:cs="Times New Roman"/>
          <w:sz w:val="20"/>
          <w:szCs w:val="20"/>
        </w:rPr>
        <w:t xml:space="preserve">.  </w:t>
      </w:r>
      <w:r w:rsidR="00AC34EA">
        <w:rPr>
          <w:rFonts w:ascii="Times New Roman" w:hAnsi="Times New Roman" w:cs="Times New Roman"/>
          <w:sz w:val="20"/>
          <w:szCs w:val="20"/>
        </w:rPr>
        <w:t xml:space="preserve">We scaled foreign assets and labilities to eliminate a small mismatch in the totals in the original data.  </w:t>
      </w:r>
      <w:r w:rsidRPr="00E94D6B">
        <w:rPr>
          <w:rFonts w:ascii="Times New Roman" w:hAnsi="Times New Roman" w:cs="Times New Roman"/>
          <w:sz w:val="20"/>
          <w:szCs w:val="20"/>
        </w:rPr>
        <w:t xml:space="preserve">Column </w:t>
      </w:r>
      <w:r>
        <w:rPr>
          <w:rFonts w:ascii="Times New Roman" w:hAnsi="Times New Roman" w:cs="Times New Roman"/>
          <w:sz w:val="20"/>
          <w:szCs w:val="20"/>
        </w:rPr>
        <w:t>(</w:t>
      </w:r>
      <w:r w:rsidRPr="00E94D6B">
        <w:rPr>
          <w:rFonts w:ascii="Times New Roman" w:hAnsi="Times New Roman" w:cs="Times New Roman"/>
          <w:sz w:val="20"/>
          <w:szCs w:val="20"/>
        </w:rPr>
        <w:t>4</w:t>
      </w:r>
      <w:r>
        <w:rPr>
          <w:rFonts w:ascii="Times New Roman" w:hAnsi="Times New Roman" w:cs="Times New Roman"/>
          <w:sz w:val="20"/>
          <w:szCs w:val="20"/>
        </w:rPr>
        <w:t>)</w:t>
      </w:r>
      <w:r w:rsidRPr="00E94D6B">
        <w:rPr>
          <w:rFonts w:ascii="Times New Roman" w:hAnsi="Times New Roman" w:cs="Times New Roman"/>
          <w:sz w:val="20"/>
          <w:szCs w:val="20"/>
        </w:rPr>
        <w:t xml:space="preserve"> </w:t>
      </w:r>
      <w:r>
        <w:rPr>
          <w:rFonts w:ascii="Times New Roman" w:hAnsi="Times New Roman" w:cs="Times New Roman"/>
          <w:sz w:val="20"/>
          <w:szCs w:val="20"/>
        </w:rPr>
        <w:t>contains</w:t>
      </w:r>
      <w:r w:rsidRPr="00E94D6B">
        <w:rPr>
          <w:rFonts w:ascii="Times New Roman" w:hAnsi="Times New Roman" w:cs="Times New Roman"/>
          <w:sz w:val="20"/>
          <w:szCs w:val="20"/>
        </w:rPr>
        <w:t xml:space="preserve"> GTAP data updated from 2011 to 2015 for start-of-year values of capital stocks.  All remaining columns were derived by the arithmetic indicated in the column headings.   </w:t>
      </w:r>
    </w:p>
    <w:p w:rsidR="00D731CA" w:rsidRPr="00E94D6B" w:rsidRDefault="00D731CA" w:rsidP="00D731CA">
      <w:pPr>
        <w:spacing w:before="120" w:after="0" w:line="240" w:lineRule="auto"/>
        <w:rPr>
          <w:rFonts w:ascii="Times New Roman" w:hAnsi="Times New Roman" w:cs="Times New Roman"/>
          <w:b/>
          <w:sz w:val="20"/>
          <w:szCs w:val="20"/>
        </w:rPr>
      </w:pPr>
    </w:p>
    <w:p w:rsidR="00D731CA" w:rsidRDefault="00D731CA" w:rsidP="00D731CA">
      <w:pPr>
        <w:spacing w:before="120" w:after="0" w:line="240" w:lineRule="auto"/>
        <w:rPr>
          <w:rFonts w:ascii="Times New Roman" w:hAnsi="Times New Roman" w:cs="Times New Roman"/>
          <w:b/>
        </w:rPr>
      </w:pPr>
    </w:p>
    <w:p w:rsidR="00D731CA" w:rsidRDefault="00D731CA" w:rsidP="00D731CA">
      <w:pPr>
        <w:spacing w:before="120" w:after="0" w:line="240" w:lineRule="auto"/>
        <w:rPr>
          <w:rFonts w:ascii="Times New Roman" w:hAnsi="Times New Roman" w:cs="Times New Roman"/>
          <w:b/>
        </w:rPr>
      </w:pPr>
    </w:p>
    <w:p w:rsidR="00D731CA" w:rsidRDefault="00D731CA" w:rsidP="00D731CA">
      <w:pPr>
        <w:spacing w:before="120" w:after="0" w:line="240" w:lineRule="auto"/>
        <w:rPr>
          <w:rFonts w:ascii="Times New Roman" w:hAnsi="Times New Roman" w:cs="Times New Roman"/>
          <w:b/>
        </w:rPr>
      </w:pPr>
    </w:p>
    <w:p w:rsidR="00D731CA" w:rsidRPr="004B1F42" w:rsidRDefault="00D731CA" w:rsidP="004B1F42">
      <w:pPr>
        <w:spacing w:after="0" w:line="240" w:lineRule="auto"/>
        <w:rPr>
          <w:rFonts w:ascii="Times New Roman" w:hAnsi="Times New Roman" w:cs="Times New Roman"/>
          <w:b/>
          <w:sz w:val="20"/>
          <w:szCs w:val="20"/>
        </w:rPr>
      </w:pPr>
    </w:p>
    <w:p w:rsidR="00F352F3" w:rsidRDefault="00F352F3">
      <w:pPr>
        <w:rPr>
          <w:rFonts w:ascii="Times New Roman" w:hAnsi="Times New Roman" w:cs="Times New Roman"/>
          <w:b/>
          <w:i/>
          <w:sz w:val="20"/>
          <w:szCs w:val="20"/>
        </w:rPr>
      </w:pPr>
      <w:r>
        <w:rPr>
          <w:rFonts w:ascii="Times New Roman" w:hAnsi="Times New Roman" w:cs="Times New Roman"/>
          <w:b/>
          <w:i/>
          <w:sz w:val="20"/>
          <w:szCs w:val="20"/>
        </w:rPr>
        <w:br w:type="page"/>
      </w:r>
    </w:p>
    <w:p w:rsidR="00D731CA" w:rsidRPr="004B1F42" w:rsidRDefault="00D731CA" w:rsidP="004B1F42">
      <w:pPr>
        <w:spacing w:after="0" w:line="240" w:lineRule="auto"/>
        <w:jc w:val="center"/>
        <w:rPr>
          <w:rFonts w:ascii="Times New Roman" w:hAnsi="Times New Roman" w:cs="Times New Roman"/>
          <w:b/>
          <w:i/>
          <w:sz w:val="20"/>
          <w:szCs w:val="20"/>
          <w:vertAlign w:val="superscript"/>
        </w:rPr>
      </w:pPr>
      <w:r w:rsidRPr="004B1F42">
        <w:rPr>
          <w:rFonts w:ascii="Times New Roman" w:hAnsi="Times New Roman" w:cs="Times New Roman"/>
          <w:b/>
          <w:i/>
          <w:sz w:val="20"/>
          <w:szCs w:val="20"/>
        </w:rPr>
        <w:lastRenderedPageBreak/>
        <w:t xml:space="preserve">Table </w:t>
      </w:r>
      <w:r w:rsidR="00342D2E">
        <w:rPr>
          <w:rFonts w:ascii="Times New Roman" w:hAnsi="Times New Roman" w:cs="Times New Roman"/>
          <w:b/>
          <w:i/>
          <w:sz w:val="20"/>
          <w:szCs w:val="20"/>
        </w:rPr>
        <w:t>2.</w:t>
      </w:r>
      <w:r w:rsidRPr="004B1F42">
        <w:rPr>
          <w:rFonts w:ascii="Times New Roman" w:hAnsi="Times New Roman" w:cs="Times New Roman"/>
          <w:b/>
          <w:i/>
          <w:sz w:val="20"/>
          <w:szCs w:val="20"/>
        </w:rPr>
        <w:t>4</w:t>
      </w:r>
      <w:r w:rsidR="00342D2E">
        <w:rPr>
          <w:rFonts w:ascii="Times New Roman" w:hAnsi="Times New Roman" w:cs="Times New Roman"/>
          <w:b/>
          <w:i/>
          <w:sz w:val="20"/>
          <w:szCs w:val="20"/>
        </w:rPr>
        <w:t>.</w:t>
      </w:r>
      <w:r w:rsidRPr="004B1F42">
        <w:rPr>
          <w:rFonts w:ascii="Times New Roman" w:hAnsi="Times New Roman" w:cs="Times New Roman"/>
          <w:b/>
          <w:i/>
          <w:sz w:val="20"/>
          <w:szCs w:val="20"/>
        </w:rPr>
        <w:t xml:space="preserve">  Calculation of net saving and net investment in 2015, $US billion</w:t>
      </w:r>
      <w:r w:rsidRPr="004B1F42">
        <w:rPr>
          <w:rFonts w:ascii="Times New Roman" w:hAnsi="Times New Roman" w:cs="Times New Roman"/>
          <w:b/>
          <w:i/>
          <w:sz w:val="20"/>
          <w:szCs w:val="20"/>
          <w:vertAlign w:val="superscript"/>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394"/>
        <w:gridCol w:w="1153"/>
        <w:gridCol w:w="1276"/>
        <w:gridCol w:w="1250"/>
        <w:gridCol w:w="1094"/>
        <w:gridCol w:w="1395"/>
        <w:gridCol w:w="1395"/>
        <w:gridCol w:w="1395"/>
        <w:gridCol w:w="1485"/>
        <w:gridCol w:w="1395"/>
      </w:tblGrid>
      <w:tr w:rsidR="00D731CA" w:rsidRPr="004B1F42" w:rsidTr="004B1F42">
        <w:tc>
          <w:tcPr>
            <w:tcW w:w="1394" w:type="dxa"/>
            <w:tcBorders>
              <w:top w:val="single" w:sz="18" w:space="0" w:color="7F7F7F" w:themeColor="text1" w:themeTint="80"/>
              <w:left w:val="nil"/>
              <w:bottom w:val="single" w:sz="4" w:space="0" w:color="auto"/>
            </w:tcBorders>
            <w:vAlign w:val="bottom"/>
          </w:tcPr>
          <w:p w:rsidR="00D731CA" w:rsidRPr="004B1F42" w:rsidRDefault="00D731CA" w:rsidP="004B1F42">
            <w:pPr>
              <w:spacing w:after="0" w:line="240" w:lineRule="auto"/>
              <w:rPr>
                <w:rFonts w:ascii="Times New Roman" w:hAnsi="Times New Roman" w:cs="Times New Roman"/>
                <w:color w:val="000000"/>
                <w:sz w:val="20"/>
                <w:szCs w:val="20"/>
              </w:rPr>
            </w:pPr>
          </w:p>
        </w:tc>
        <w:tc>
          <w:tcPr>
            <w:tcW w:w="1153"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GDP</w:t>
            </w:r>
          </w:p>
        </w:tc>
        <w:tc>
          <w:tcPr>
            <w:tcW w:w="1276"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Private consumption</w:t>
            </w:r>
          </w:p>
        </w:tc>
        <w:tc>
          <w:tcPr>
            <w:tcW w:w="1250"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Public consumption</w:t>
            </w:r>
          </w:p>
        </w:tc>
        <w:tc>
          <w:tcPr>
            <w:tcW w:w="1094"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rPr>
                <w:rFonts w:ascii="Times New Roman" w:hAnsi="Times New Roman" w:cs="Times New Roman"/>
                <w:color w:val="000000"/>
                <w:sz w:val="20"/>
                <w:szCs w:val="20"/>
              </w:rPr>
            </w:pPr>
            <w:r w:rsidRPr="004B1F42">
              <w:rPr>
                <w:rFonts w:ascii="Times New Roman" w:hAnsi="Times New Roman" w:cs="Times New Roman"/>
                <w:color w:val="000000"/>
                <w:sz w:val="20"/>
                <w:szCs w:val="20"/>
              </w:rPr>
              <w:t>Gross investment</w:t>
            </w:r>
          </w:p>
        </w:tc>
        <w:tc>
          <w:tcPr>
            <w:tcW w:w="1395"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Depreciation</w:t>
            </w:r>
          </w:p>
        </w:tc>
        <w:tc>
          <w:tcPr>
            <w:tcW w:w="1395"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 xml:space="preserve">Income from fgn capital </w:t>
            </w:r>
          </w:p>
        </w:tc>
        <w:tc>
          <w:tcPr>
            <w:tcW w:w="1395"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 xml:space="preserve">Payments to fgn capital </w:t>
            </w:r>
          </w:p>
        </w:tc>
        <w:tc>
          <w:tcPr>
            <w:tcW w:w="1485" w:type="dxa"/>
            <w:tcBorders>
              <w:top w:val="single" w:sz="18" w:space="0" w:color="7F7F7F" w:themeColor="text1" w:themeTint="80"/>
              <w:bottom w:val="single" w:sz="4" w:space="0" w:color="auto"/>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Net saving</w:t>
            </w:r>
          </w:p>
          <w:p w:rsidR="00D731CA" w:rsidRPr="004B1F42" w:rsidRDefault="00D731CA" w:rsidP="004B1F42">
            <w:pPr>
              <w:spacing w:after="0" w:line="240" w:lineRule="auto"/>
              <w:jc w:val="center"/>
              <w:rPr>
                <w:rFonts w:ascii="Times New Roman" w:hAnsi="Times New Roman" w:cs="Times New Roman"/>
                <w:color w:val="000000"/>
                <w:sz w:val="20"/>
                <w:szCs w:val="20"/>
              </w:rPr>
            </w:pPr>
          </w:p>
        </w:tc>
        <w:tc>
          <w:tcPr>
            <w:tcW w:w="1395" w:type="dxa"/>
            <w:tcBorders>
              <w:top w:val="single" w:sz="18" w:space="0" w:color="7F7F7F" w:themeColor="text1" w:themeTint="80"/>
              <w:bottom w:val="single" w:sz="4" w:space="0" w:color="auto"/>
              <w:right w:val="nil"/>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Net investment</w:t>
            </w:r>
          </w:p>
        </w:tc>
      </w:tr>
      <w:tr w:rsidR="00D731CA" w:rsidRPr="004B1F42" w:rsidTr="004B1F42">
        <w:tc>
          <w:tcPr>
            <w:tcW w:w="1394" w:type="dxa"/>
            <w:tcBorders>
              <w:top w:val="single" w:sz="4" w:space="0" w:color="auto"/>
              <w:left w:val="nil"/>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p>
        </w:tc>
        <w:tc>
          <w:tcPr>
            <w:tcW w:w="1153"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(1)</w:t>
            </w:r>
          </w:p>
        </w:tc>
        <w:tc>
          <w:tcPr>
            <w:tcW w:w="1276"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(2)</w:t>
            </w:r>
          </w:p>
        </w:tc>
        <w:tc>
          <w:tcPr>
            <w:tcW w:w="1250"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(3)</w:t>
            </w:r>
          </w:p>
        </w:tc>
        <w:tc>
          <w:tcPr>
            <w:tcW w:w="1094"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(4)</w:t>
            </w:r>
          </w:p>
        </w:tc>
        <w:tc>
          <w:tcPr>
            <w:tcW w:w="1395"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(5)</w:t>
            </w:r>
          </w:p>
        </w:tc>
        <w:tc>
          <w:tcPr>
            <w:tcW w:w="1395"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(6)</w:t>
            </w:r>
          </w:p>
        </w:tc>
        <w:tc>
          <w:tcPr>
            <w:tcW w:w="1395"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(7)</w:t>
            </w:r>
          </w:p>
        </w:tc>
        <w:tc>
          <w:tcPr>
            <w:tcW w:w="1485" w:type="dxa"/>
            <w:tcBorders>
              <w:top w:val="single" w:sz="4" w:space="0" w:color="auto"/>
              <w:bottom w:val="single" w:sz="4" w:space="0" w:color="auto"/>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(8)= (1)-(2)</w:t>
            </w:r>
          </w:p>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-(3)-(5)+(6)-(7)</w:t>
            </w:r>
          </w:p>
        </w:tc>
        <w:tc>
          <w:tcPr>
            <w:tcW w:w="1395" w:type="dxa"/>
            <w:tcBorders>
              <w:top w:val="single" w:sz="4" w:space="0" w:color="auto"/>
              <w:bottom w:val="single" w:sz="4" w:space="0" w:color="auto"/>
              <w:right w:val="nil"/>
            </w:tcBorders>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(9)= (4) – (5)</w:t>
            </w:r>
          </w:p>
        </w:tc>
      </w:tr>
      <w:tr w:rsidR="00D731CA" w:rsidRPr="004B1F42" w:rsidTr="004B1F42">
        <w:tc>
          <w:tcPr>
            <w:tcW w:w="1394" w:type="dxa"/>
            <w:tcBorders>
              <w:top w:val="single" w:sz="4" w:space="0" w:color="auto"/>
              <w:left w:val="nil"/>
              <w:bottom w:val="single" w:sz="18" w:space="0" w:color="7F7F7F" w:themeColor="text1" w:themeTint="80"/>
            </w:tcBorders>
            <w:vAlign w:val="center"/>
          </w:tcPr>
          <w:p w:rsidR="00D731CA" w:rsidRPr="004B1F42" w:rsidRDefault="00D731CA" w:rsidP="004B1F42">
            <w:pPr>
              <w:spacing w:after="0" w:line="240" w:lineRule="auto"/>
              <w:jc w:val="right"/>
              <w:rPr>
                <w:rFonts w:ascii="Times New Roman" w:hAnsi="Times New Roman" w:cs="Times New Roman"/>
                <w:color w:val="000000"/>
                <w:sz w:val="20"/>
                <w:szCs w:val="20"/>
              </w:rPr>
            </w:pPr>
            <w:r w:rsidRPr="004B1F42">
              <w:rPr>
                <w:rFonts w:ascii="Times New Roman" w:hAnsi="Times New Roman" w:cs="Times New Roman"/>
                <w:color w:val="000000"/>
                <w:sz w:val="20"/>
                <w:szCs w:val="20"/>
              </w:rPr>
              <w:t>GEMPACK</w:t>
            </w:r>
          </w:p>
          <w:p w:rsidR="00D731CA" w:rsidRPr="004B1F42" w:rsidRDefault="00D731CA" w:rsidP="004B1F42">
            <w:pPr>
              <w:spacing w:after="0" w:line="240" w:lineRule="auto"/>
              <w:jc w:val="right"/>
              <w:rPr>
                <w:rFonts w:ascii="Times New Roman" w:hAnsi="Times New Roman" w:cs="Times New Roman"/>
                <w:color w:val="000000"/>
                <w:sz w:val="20"/>
                <w:szCs w:val="20"/>
              </w:rPr>
            </w:pPr>
            <w:r w:rsidRPr="004B1F42">
              <w:rPr>
                <w:rFonts w:ascii="Times New Roman" w:hAnsi="Times New Roman" w:cs="Times New Roman"/>
                <w:color w:val="000000"/>
                <w:sz w:val="20"/>
                <w:szCs w:val="20"/>
              </w:rPr>
              <w:t>notation</w:t>
            </w:r>
          </w:p>
        </w:tc>
        <w:tc>
          <w:tcPr>
            <w:tcW w:w="1153"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GDP</w:t>
            </w:r>
          </w:p>
        </w:tc>
        <w:tc>
          <w:tcPr>
            <w:tcW w:w="1276"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PRIVEXP</w:t>
            </w:r>
          </w:p>
        </w:tc>
        <w:tc>
          <w:tcPr>
            <w:tcW w:w="1250"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GOVEXP</w:t>
            </w:r>
          </w:p>
        </w:tc>
        <w:tc>
          <w:tcPr>
            <w:tcW w:w="1094"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REGINV</w:t>
            </w:r>
          </w:p>
        </w:tc>
        <w:tc>
          <w:tcPr>
            <w:tcW w:w="1395"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VDEP</w:t>
            </w:r>
          </w:p>
        </w:tc>
        <w:tc>
          <w:tcPr>
            <w:tcW w:w="1395"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YQHTRUST</w:t>
            </w:r>
          </w:p>
        </w:tc>
        <w:tc>
          <w:tcPr>
            <w:tcW w:w="1395"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YQTFIRM</w:t>
            </w:r>
          </w:p>
        </w:tc>
        <w:tc>
          <w:tcPr>
            <w:tcW w:w="1485" w:type="dxa"/>
            <w:tcBorders>
              <w:top w:val="single" w:sz="4" w:space="0" w:color="auto"/>
              <w:bottom w:val="single" w:sz="18" w:space="0" w:color="7F7F7F" w:themeColor="text1" w:themeTint="80"/>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SAVE</w:t>
            </w:r>
          </w:p>
        </w:tc>
        <w:tc>
          <w:tcPr>
            <w:tcW w:w="1395" w:type="dxa"/>
            <w:tcBorders>
              <w:top w:val="single" w:sz="4" w:space="0" w:color="auto"/>
              <w:bottom w:val="single" w:sz="18" w:space="0" w:color="7F7F7F" w:themeColor="text1" w:themeTint="80"/>
              <w:right w:val="nil"/>
            </w:tcBorders>
            <w:vAlign w:val="bottom"/>
          </w:tcPr>
          <w:p w:rsidR="00D731CA" w:rsidRPr="004B1F42" w:rsidRDefault="00D731CA" w:rsidP="004B1F42">
            <w:pPr>
              <w:spacing w:after="0" w:line="240" w:lineRule="auto"/>
              <w:jc w:val="center"/>
              <w:rPr>
                <w:rFonts w:ascii="Times New Roman" w:hAnsi="Times New Roman" w:cs="Times New Roman"/>
                <w:color w:val="000000"/>
                <w:sz w:val="20"/>
                <w:szCs w:val="20"/>
              </w:rPr>
            </w:pPr>
            <w:r w:rsidRPr="004B1F42">
              <w:rPr>
                <w:rFonts w:ascii="Times New Roman" w:hAnsi="Times New Roman" w:cs="Times New Roman"/>
                <w:color w:val="000000"/>
                <w:sz w:val="20"/>
                <w:szCs w:val="20"/>
              </w:rPr>
              <w:t>NETINV</w:t>
            </w:r>
          </w:p>
        </w:tc>
      </w:tr>
      <w:tr w:rsidR="007900DA" w:rsidRPr="004B1F42" w:rsidTr="004B1F42">
        <w:trPr>
          <w:trHeight w:val="20"/>
        </w:trPr>
        <w:tc>
          <w:tcPr>
            <w:tcW w:w="1394" w:type="dxa"/>
            <w:tcBorders>
              <w:top w:val="single" w:sz="18" w:space="0" w:color="7F7F7F" w:themeColor="text1" w:themeTint="80"/>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USA</w:t>
            </w:r>
          </w:p>
        </w:tc>
        <w:tc>
          <w:tcPr>
            <w:tcW w:w="1153"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16299</w:t>
            </w:r>
          </w:p>
        </w:tc>
        <w:tc>
          <w:tcPr>
            <w:tcW w:w="1276"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11424</w:t>
            </w:r>
          </w:p>
        </w:tc>
        <w:tc>
          <w:tcPr>
            <w:tcW w:w="1250"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2689</w:t>
            </w:r>
          </w:p>
        </w:tc>
        <w:tc>
          <w:tcPr>
            <w:tcW w:w="1094"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3034</w:t>
            </w:r>
          </w:p>
        </w:tc>
        <w:tc>
          <w:tcPr>
            <w:tcW w:w="1395"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2029</w:t>
            </w:r>
          </w:p>
        </w:tc>
        <w:tc>
          <w:tcPr>
            <w:tcW w:w="1395"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1467</w:t>
            </w:r>
          </w:p>
        </w:tc>
        <w:tc>
          <w:tcPr>
            <w:tcW w:w="1395"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1074</w:t>
            </w:r>
          </w:p>
        </w:tc>
        <w:tc>
          <w:tcPr>
            <w:tcW w:w="1485" w:type="dxa"/>
            <w:tcBorders>
              <w:top w:val="single" w:sz="18" w:space="0" w:color="7F7F7F" w:themeColor="text1" w:themeTint="80"/>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550</w:t>
            </w:r>
          </w:p>
        </w:tc>
        <w:tc>
          <w:tcPr>
            <w:tcW w:w="1395" w:type="dxa"/>
            <w:tcBorders>
              <w:top w:val="single" w:sz="18" w:space="0" w:color="7F7F7F" w:themeColor="text1" w:themeTint="80"/>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1005</w:t>
            </w:r>
          </w:p>
        </w:tc>
      </w:tr>
      <w:tr w:rsidR="007900DA" w:rsidRPr="004B1F42" w:rsidTr="004B1F42">
        <w:trPr>
          <w:trHeight w:val="20"/>
        </w:trPr>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Canada</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1880</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1036</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411</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433</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220</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172</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160</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225</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212</w:t>
            </w:r>
          </w:p>
        </w:tc>
      </w:tr>
      <w:tr w:rsidR="007900DA" w:rsidRPr="004B1F42" w:rsidTr="004B1F42">
        <w:trPr>
          <w:trHeight w:val="20"/>
        </w:trPr>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Mexico</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1254</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818</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144</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261</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133</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33</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179</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13</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129</w:t>
            </w:r>
          </w:p>
        </w:tc>
      </w:tr>
      <w:tr w:rsidR="007900DA" w:rsidRPr="004B1F42" w:rsidTr="004B1F42">
        <w:trPr>
          <w:trHeight w:val="20"/>
        </w:trPr>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Japan</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5933</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3540</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1199</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1215</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1036</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462</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192</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427</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179</w:t>
            </w:r>
          </w:p>
        </w:tc>
      </w:tr>
      <w:tr w:rsidR="007900DA" w:rsidRPr="004B1F42" w:rsidTr="004B1F42">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SKorea</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1261</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665</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185</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391</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185</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64</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71</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218</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206</w:t>
            </w:r>
          </w:p>
        </w:tc>
      </w:tr>
      <w:tr w:rsidR="007900DA" w:rsidRPr="004B1F42" w:rsidTr="004B1F42">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China</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8911</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3235</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1239</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4122</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1271</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380</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291</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3255</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2851</w:t>
            </w:r>
          </w:p>
        </w:tc>
      </w:tr>
      <w:tr w:rsidR="007900DA" w:rsidRPr="004B1F42" w:rsidTr="004B1F42">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Germany</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3658</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2122</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718</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670</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451</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550</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532</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386</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219</w:t>
            </w:r>
          </w:p>
        </w:tc>
      </w:tr>
      <w:tr w:rsidR="007900DA" w:rsidRPr="004B1F42" w:rsidTr="004B1F42">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EU26</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11459</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6738</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2615</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2287</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1652</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1851</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1815</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490</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635</w:t>
            </w:r>
          </w:p>
        </w:tc>
      </w:tr>
      <w:tr w:rsidR="007900DA" w:rsidRPr="004B1F42" w:rsidTr="004B1F42">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UK</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2566</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1743</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591</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388</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254</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56</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98</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-64</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134</w:t>
            </w:r>
          </w:p>
        </w:tc>
      </w:tr>
      <w:tr w:rsidR="007900DA" w:rsidRPr="004B1F42" w:rsidTr="004B1F42">
        <w:tc>
          <w:tcPr>
            <w:tcW w:w="1394" w:type="dxa"/>
            <w:tcBorders>
              <w:top w:val="nil"/>
              <w:left w:val="nil"/>
              <w:bottom w:val="nil"/>
            </w:tcBorders>
            <w:vAlign w:val="bottom"/>
          </w:tcPr>
          <w:p w:rsidR="007900DA" w:rsidRPr="00F25B10" w:rsidRDefault="007900DA" w:rsidP="007900DA">
            <w:pPr>
              <w:spacing w:after="0" w:line="240" w:lineRule="auto"/>
              <w:rPr>
                <w:rFonts w:ascii="Times New Roman" w:hAnsi="Times New Roman" w:cs="Times New Roman"/>
                <w:color w:val="000000"/>
                <w:sz w:val="20"/>
                <w:szCs w:val="20"/>
              </w:rPr>
            </w:pPr>
            <w:r w:rsidRPr="00F25B10">
              <w:rPr>
                <w:rFonts w:ascii="Times New Roman" w:hAnsi="Times New Roman" w:cs="Times New Roman"/>
                <w:color w:val="000000"/>
                <w:sz w:val="20"/>
                <w:szCs w:val="20"/>
              </w:rPr>
              <w:t>RoW</w:t>
            </w:r>
          </w:p>
        </w:tc>
        <w:tc>
          <w:tcPr>
            <w:tcW w:w="1153"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22893</w:t>
            </w:r>
          </w:p>
        </w:tc>
        <w:tc>
          <w:tcPr>
            <w:tcW w:w="1276"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13247</w:t>
            </w:r>
          </w:p>
        </w:tc>
        <w:tc>
          <w:tcPr>
            <w:tcW w:w="1250"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3652</w:t>
            </w:r>
          </w:p>
        </w:tc>
        <w:tc>
          <w:tcPr>
            <w:tcW w:w="1094"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5301</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2752</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1406</w:t>
            </w:r>
          </w:p>
        </w:tc>
        <w:tc>
          <w:tcPr>
            <w:tcW w:w="139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2028</w:t>
            </w:r>
          </w:p>
        </w:tc>
        <w:tc>
          <w:tcPr>
            <w:tcW w:w="1485" w:type="dxa"/>
            <w:tcBorders>
              <w:top w:val="nil"/>
              <w:bottom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2620</w:t>
            </w:r>
          </w:p>
        </w:tc>
        <w:tc>
          <w:tcPr>
            <w:tcW w:w="1395" w:type="dxa"/>
            <w:tcBorders>
              <w:top w:val="nil"/>
              <w:bottom w:val="nil"/>
              <w:right w:val="nil"/>
            </w:tcBorders>
            <w:vAlign w:val="bottom"/>
          </w:tcPr>
          <w:p w:rsidR="007900DA" w:rsidRPr="00F352F3" w:rsidRDefault="007900DA" w:rsidP="007900DA">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2550</w:t>
            </w:r>
          </w:p>
        </w:tc>
      </w:tr>
      <w:tr w:rsidR="00F352F3" w:rsidRPr="004B1F42" w:rsidTr="004B1F42">
        <w:tc>
          <w:tcPr>
            <w:tcW w:w="1394" w:type="dxa"/>
            <w:tcBorders>
              <w:top w:val="nil"/>
              <w:left w:val="nil"/>
              <w:bottom w:val="single" w:sz="4" w:space="0" w:color="auto"/>
            </w:tcBorders>
            <w:vAlign w:val="bottom"/>
          </w:tcPr>
          <w:p w:rsidR="00F352F3" w:rsidRPr="004B1F42" w:rsidRDefault="00F352F3" w:rsidP="00F352F3">
            <w:pPr>
              <w:spacing w:after="0" w:line="240" w:lineRule="auto"/>
              <w:rPr>
                <w:rFonts w:ascii="Times New Roman" w:hAnsi="Times New Roman" w:cs="Times New Roman"/>
                <w:color w:val="000000"/>
                <w:sz w:val="20"/>
                <w:szCs w:val="20"/>
              </w:rPr>
            </w:pPr>
            <w:r w:rsidRPr="004B1F42">
              <w:rPr>
                <w:rFonts w:ascii="Times New Roman" w:hAnsi="Times New Roman" w:cs="Times New Roman"/>
                <w:color w:val="000000"/>
                <w:sz w:val="20"/>
                <w:szCs w:val="20"/>
              </w:rPr>
              <w:t>Total</w:t>
            </w:r>
          </w:p>
        </w:tc>
        <w:tc>
          <w:tcPr>
            <w:tcW w:w="1153"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76113</w:t>
            </w:r>
          </w:p>
        </w:tc>
        <w:tc>
          <w:tcPr>
            <w:tcW w:w="1276"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44568</w:t>
            </w:r>
          </w:p>
        </w:tc>
        <w:tc>
          <w:tcPr>
            <w:tcW w:w="1250"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13443</w:t>
            </w:r>
          </w:p>
        </w:tc>
        <w:tc>
          <w:tcPr>
            <w:tcW w:w="1094"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18102</w:t>
            </w:r>
          </w:p>
        </w:tc>
        <w:tc>
          <w:tcPr>
            <w:tcW w:w="1395"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9983</w:t>
            </w:r>
          </w:p>
        </w:tc>
        <w:tc>
          <w:tcPr>
            <w:tcW w:w="1395"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6441</w:t>
            </w:r>
          </w:p>
        </w:tc>
        <w:tc>
          <w:tcPr>
            <w:tcW w:w="1395"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6441</w:t>
            </w:r>
          </w:p>
        </w:tc>
        <w:tc>
          <w:tcPr>
            <w:tcW w:w="1485" w:type="dxa"/>
            <w:tcBorders>
              <w:top w:val="nil"/>
              <w:bottom w:val="single" w:sz="4" w:space="0" w:color="auto"/>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8120</w:t>
            </w:r>
          </w:p>
        </w:tc>
        <w:tc>
          <w:tcPr>
            <w:tcW w:w="1395" w:type="dxa"/>
            <w:tcBorders>
              <w:top w:val="nil"/>
              <w:bottom w:val="single" w:sz="4" w:space="0" w:color="auto"/>
              <w:right w:val="nil"/>
            </w:tcBorders>
            <w:vAlign w:val="bottom"/>
          </w:tcPr>
          <w:p w:rsidR="00F352F3" w:rsidRPr="00F352F3" w:rsidRDefault="00F352F3" w:rsidP="00F352F3">
            <w:pPr>
              <w:spacing w:after="0" w:line="240" w:lineRule="auto"/>
              <w:jc w:val="right"/>
              <w:rPr>
                <w:rFonts w:ascii="Times New Roman" w:hAnsi="Times New Roman" w:cs="Times New Roman"/>
                <w:color w:val="000000"/>
                <w:sz w:val="20"/>
                <w:szCs w:val="20"/>
              </w:rPr>
            </w:pPr>
            <w:r w:rsidRPr="00F352F3">
              <w:rPr>
                <w:rFonts w:ascii="Times New Roman" w:hAnsi="Times New Roman" w:cs="Times New Roman"/>
                <w:color w:val="000000"/>
                <w:sz w:val="20"/>
                <w:szCs w:val="20"/>
              </w:rPr>
              <w:t>8120</w:t>
            </w:r>
          </w:p>
        </w:tc>
      </w:tr>
    </w:tbl>
    <w:p w:rsidR="00D731CA" w:rsidRPr="00E94D6B" w:rsidRDefault="00D731CA" w:rsidP="00D731CA">
      <w:pPr>
        <w:spacing w:before="120" w:after="0" w:line="240" w:lineRule="auto"/>
        <w:rPr>
          <w:rFonts w:ascii="Times New Roman" w:hAnsi="Times New Roman" w:cs="Times New Roman"/>
          <w:b/>
        </w:rPr>
      </w:pPr>
      <w:r w:rsidRPr="00E94D6B">
        <w:rPr>
          <w:rFonts w:ascii="Times New Roman" w:hAnsi="Times New Roman" w:cs="Times New Roman"/>
          <w:b/>
          <w:vertAlign w:val="superscript"/>
        </w:rPr>
        <w:t>*</w:t>
      </w:r>
      <w:r>
        <w:rPr>
          <w:rFonts w:ascii="Times New Roman" w:hAnsi="Times New Roman" w:cs="Times New Roman"/>
          <w:b/>
          <w:vertAlign w:val="superscript"/>
        </w:rPr>
        <w:t xml:space="preserve"> </w:t>
      </w:r>
      <w:r w:rsidRPr="00E94D6B">
        <w:rPr>
          <w:rFonts w:ascii="Times New Roman" w:hAnsi="Times New Roman" w:cs="Times New Roman"/>
          <w:sz w:val="20"/>
          <w:szCs w:val="20"/>
        </w:rPr>
        <w:t xml:space="preserve">  Columns </w:t>
      </w:r>
      <w:r>
        <w:rPr>
          <w:rFonts w:ascii="Times New Roman" w:hAnsi="Times New Roman" w:cs="Times New Roman"/>
          <w:sz w:val="20"/>
          <w:szCs w:val="20"/>
        </w:rPr>
        <w:t>(</w:t>
      </w:r>
      <w:r w:rsidRPr="00E94D6B">
        <w:rPr>
          <w:rFonts w:ascii="Times New Roman" w:hAnsi="Times New Roman" w:cs="Times New Roman"/>
          <w:sz w:val="20"/>
          <w:szCs w:val="20"/>
        </w:rPr>
        <w:t>1</w:t>
      </w:r>
      <w:r>
        <w:rPr>
          <w:rFonts w:ascii="Times New Roman" w:hAnsi="Times New Roman" w:cs="Times New Roman"/>
          <w:sz w:val="20"/>
          <w:szCs w:val="20"/>
        </w:rPr>
        <w:t>)</w:t>
      </w:r>
      <w:r w:rsidRPr="00E94D6B">
        <w:rPr>
          <w:rFonts w:ascii="Times New Roman" w:hAnsi="Times New Roman" w:cs="Times New Roman"/>
          <w:sz w:val="20"/>
          <w:szCs w:val="20"/>
        </w:rPr>
        <w:t xml:space="preserve"> </w:t>
      </w:r>
      <w:r>
        <w:rPr>
          <w:rFonts w:ascii="Times New Roman" w:hAnsi="Times New Roman" w:cs="Times New Roman"/>
          <w:sz w:val="20"/>
          <w:szCs w:val="20"/>
        </w:rPr>
        <w:t>to (5)</w:t>
      </w:r>
      <w:r w:rsidRPr="00E94D6B">
        <w:rPr>
          <w:rFonts w:ascii="Times New Roman" w:hAnsi="Times New Roman" w:cs="Times New Roman"/>
          <w:sz w:val="20"/>
          <w:szCs w:val="20"/>
        </w:rPr>
        <w:t xml:space="preserve"> are GTAP data updated from 2011 to 2015</w:t>
      </w:r>
      <w:r>
        <w:rPr>
          <w:rFonts w:ascii="Times New Roman" w:hAnsi="Times New Roman" w:cs="Times New Roman"/>
          <w:sz w:val="20"/>
          <w:szCs w:val="20"/>
        </w:rPr>
        <w:t>.  The calculation of columns (6) and (7) is explained in the text.  Columns (8) and (9) we</w:t>
      </w:r>
      <w:r w:rsidRPr="00E94D6B">
        <w:rPr>
          <w:rFonts w:ascii="Times New Roman" w:hAnsi="Times New Roman" w:cs="Times New Roman"/>
          <w:sz w:val="20"/>
          <w:szCs w:val="20"/>
        </w:rPr>
        <w:t>re derived by the arithmetic indicated in the column headings.</w:t>
      </w:r>
      <w:r>
        <w:rPr>
          <w:rFonts w:ascii="Times New Roman" w:hAnsi="Times New Roman" w:cs="Times New Roman"/>
        </w:rPr>
        <w:t xml:space="preserve">   </w:t>
      </w:r>
    </w:p>
    <w:p w:rsidR="00D731CA" w:rsidRDefault="00D731CA" w:rsidP="00D731CA">
      <w:pPr>
        <w:spacing w:before="120" w:after="0" w:line="240" w:lineRule="auto"/>
        <w:rPr>
          <w:rFonts w:ascii="Times New Roman" w:hAnsi="Times New Roman" w:cs="Times New Roman"/>
          <w:b/>
        </w:rPr>
        <w:sectPr w:rsidR="00D731CA" w:rsidSect="009676D1">
          <w:pgSz w:w="16838" w:h="11906" w:orient="landscape"/>
          <w:pgMar w:top="1440" w:right="1440" w:bottom="1440" w:left="1440" w:header="708" w:footer="708" w:gutter="0"/>
          <w:cols w:space="708"/>
          <w:docGrid w:linePitch="360"/>
        </w:sectPr>
      </w:pPr>
    </w:p>
    <w:p w:rsidR="00D731CA" w:rsidRPr="0034602C" w:rsidRDefault="00D731CA" w:rsidP="00D731CA">
      <w:pPr>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lastRenderedPageBreak/>
        <w:t>In our adapted form</w:t>
      </w:r>
      <w:r>
        <w:rPr>
          <w:rFonts w:ascii="Times New Roman" w:hAnsi="Times New Roman" w:cs="Times New Roman"/>
          <w:sz w:val="24"/>
          <w:szCs w:val="24"/>
        </w:rPr>
        <w:t>,</w:t>
      </w:r>
      <w:r w:rsidRPr="0034602C">
        <w:rPr>
          <w:rFonts w:ascii="Times New Roman" w:hAnsi="Times New Roman" w:cs="Times New Roman"/>
          <w:sz w:val="24"/>
          <w:szCs w:val="24"/>
        </w:rPr>
        <w:t xml:space="preserve"> the first two equations for I&amp;M’s Global Trust are as follows:</w:t>
      </w:r>
    </w:p>
    <w:p w:rsidR="00D731CA" w:rsidRDefault="00D731CA" w:rsidP="00D7270A">
      <w:pPr>
        <w:tabs>
          <w:tab w:val="left" w:pos="709"/>
          <w:tab w:val="right" w:pos="8931"/>
        </w:tabs>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ab/>
      </w:r>
      <w:r w:rsidRPr="0034602C">
        <w:rPr>
          <w:rFonts w:ascii="Times New Roman" w:hAnsi="Times New Roman" w:cs="Times New Roman"/>
          <w:position w:val="-12"/>
          <w:sz w:val="24"/>
          <w:szCs w:val="24"/>
        </w:rPr>
        <w:object w:dxaOrig="69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5pt;height:17.55pt" o:ole="">
            <v:imagedata r:id="rId9" o:title=""/>
          </v:shape>
          <o:OLEObject Type="Embed" ProgID="Equation.DSMT4" ShapeID="_x0000_i1025" DrawAspect="Content" ObjectID="_1616394645" r:id="rId10"/>
        </w:object>
      </w:r>
      <w:r w:rsidRPr="0034602C">
        <w:rPr>
          <w:rFonts w:ascii="Times New Roman" w:hAnsi="Times New Roman" w:cs="Times New Roman"/>
          <w:sz w:val="24"/>
          <w:szCs w:val="24"/>
        </w:rPr>
        <w:t xml:space="preserve"> </w:t>
      </w:r>
      <w:r w:rsidRPr="0034602C">
        <w:rPr>
          <w:rFonts w:ascii="Times New Roman" w:hAnsi="Times New Roman" w:cs="Times New Roman"/>
          <w:sz w:val="24"/>
          <w:szCs w:val="24"/>
        </w:rPr>
        <w:tab/>
        <w:t>(</w:t>
      </w:r>
      <w:r w:rsidR="00D7270A">
        <w:rPr>
          <w:rFonts w:ascii="Times New Roman" w:hAnsi="Times New Roman" w:cs="Times New Roman"/>
          <w:sz w:val="24"/>
          <w:szCs w:val="24"/>
        </w:rPr>
        <w:t>2.2.</w:t>
      </w:r>
      <w:r w:rsidRPr="0034602C">
        <w:rPr>
          <w:rFonts w:ascii="Times New Roman" w:hAnsi="Times New Roman" w:cs="Times New Roman"/>
          <w:sz w:val="24"/>
          <w:szCs w:val="24"/>
        </w:rPr>
        <w:t>1)</w:t>
      </w:r>
    </w:p>
    <w:p w:rsidR="00D731CA" w:rsidRPr="0061498E" w:rsidRDefault="00D731CA" w:rsidP="00D731CA">
      <w:pPr>
        <w:tabs>
          <w:tab w:val="left" w:pos="709"/>
          <w:tab w:val="right" w:pos="8789"/>
        </w:tabs>
        <w:spacing w:before="120"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wealth in r       =   dom. assets, dom. owned   +    ownership of fgn assets </w:t>
      </w:r>
    </w:p>
    <w:p w:rsidR="00D731CA" w:rsidRDefault="00D731CA" w:rsidP="00D7270A">
      <w:pPr>
        <w:tabs>
          <w:tab w:val="left" w:pos="709"/>
          <w:tab w:val="right" w:pos="8931"/>
        </w:tabs>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ab/>
      </w:r>
      <w:r w:rsidRPr="0034602C">
        <w:rPr>
          <w:rFonts w:ascii="Times New Roman" w:hAnsi="Times New Roman" w:cs="Times New Roman"/>
          <w:position w:val="-12"/>
          <w:sz w:val="24"/>
          <w:szCs w:val="24"/>
        </w:rPr>
        <w:object w:dxaOrig="7180" w:dyaOrig="360">
          <v:shape id="_x0000_i1026" type="#_x0000_t75" style="width:359.35pt;height:17.55pt" o:ole="">
            <v:imagedata r:id="rId11" o:title=""/>
          </v:shape>
          <o:OLEObject Type="Embed" ProgID="Equation.DSMT4" ShapeID="_x0000_i1026" DrawAspect="Content" ObjectID="_1616394646" r:id="rId12"/>
        </w:object>
      </w:r>
      <w:r w:rsidRPr="0034602C">
        <w:rPr>
          <w:rFonts w:ascii="Times New Roman" w:hAnsi="Times New Roman" w:cs="Times New Roman"/>
          <w:sz w:val="24"/>
          <w:szCs w:val="24"/>
        </w:rPr>
        <w:t xml:space="preserve"> </w:t>
      </w:r>
      <w:r w:rsidRPr="0034602C">
        <w:rPr>
          <w:rFonts w:ascii="Times New Roman" w:hAnsi="Times New Roman" w:cs="Times New Roman"/>
          <w:sz w:val="24"/>
          <w:szCs w:val="24"/>
        </w:rPr>
        <w:tab/>
        <w:t>(2</w:t>
      </w:r>
      <w:r w:rsidR="00D7270A">
        <w:rPr>
          <w:rFonts w:ascii="Times New Roman" w:hAnsi="Times New Roman" w:cs="Times New Roman"/>
          <w:sz w:val="24"/>
          <w:szCs w:val="24"/>
        </w:rPr>
        <w:t>.2.2</w:t>
      </w:r>
      <w:r w:rsidRPr="0034602C">
        <w:rPr>
          <w:rFonts w:ascii="Times New Roman" w:hAnsi="Times New Roman" w:cs="Times New Roman"/>
          <w:sz w:val="24"/>
          <w:szCs w:val="24"/>
        </w:rPr>
        <w:t>)</w:t>
      </w:r>
    </w:p>
    <w:p w:rsidR="00D731CA" w:rsidRPr="0061498E" w:rsidRDefault="00D731CA" w:rsidP="00D731CA">
      <w:pPr>
        <w:tabs>
          <w:tab w:val="left" w:pos="709"/>
          <w:tab w:val="right" w:pos="8789"/>
        </w:tabs>
        <w:spacing w:before="120"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assets in r        =   dom. assets, dom. owned   +       dom. assets, fgn owned</w:t>
      </w:r>
    </w:p>
    <w:p w:rsidR="00D731CA" w:rsidRPr="0034602C" w:rsidRDefault="00D731CA" w:rsidP="00D731CA">
      <w:pPr>
        <w:spacing w:after="0" w:line="240" w:lineRule="auto"/>
        <w:rPr>
          <w:rFonts w:ascii="Times New Roman" w:hAnsi="Times New Roman" w:cs="Times New Roman"/>
          <w:sz w:val="24"/>
          <w:szCs w:val="24"/>
        </w:rPr>
      </w:pPr>
      <w:r w:rsidRPr="0034602C">
        <w:rPr>
          <w:rFonts w:ascii="Times New Roman" w:hAnsi="Times New Roman" w:cs="Times New Roman"/>
          <w:sz w:val="24"/>
          <w:szCs w:val="24"/>
        </w:rPr>
        <w:t xml:space="preserve">where </w:t>
      </w:r>
    </w:p>
    <w:p w:rsidR="00D731CA" w:rsidRPr="0034602C" w:rsidRDefault="00D731CA" w:rsidP="00D731CA">
      <w:pPr>
        <w:spacing w:after="0" w:line="240" w:lineRule="auto"/>
        <w:ind w:left="284"/>
        <w:rPr>
          <w:rFonts w:ascii="Times New Roman" w:hAnsi="Times New Roman" w:cs="Times New Roman"/>
          <w:sz w:val="24"/>
          <w:szCs w:val="24"/>
        </w:rPr>
      </w:pPr>
      <w:r w:rsidRPr="0034602C">
        <w:rPr>
          <w:rFonts w:ascii="Times New Roman" w:hAnsi="Times New Roman" w:cs="Times New Roman"/>
          <w:sz w:val="24"/>
          <w:szCs w:val="24"/>
        </w:rPr>
        <w:t>WQHHLD</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(r) is total wealth of country r at the start of year T;</w:t>
      </w:r>
    </w:p>
    <w:p w:rsidR="00D731CA" w:rsidRPr="0034602C" w:rsidRDefault="00D731CA" w:rsidP="00D731CA">
      <w:pPr>
        <w:spacing w:after="0" w:line="240" w:lineRule="auto"/>
        <w:ind w:left="284"/>
        <w:rPr>
          <w:rFonts w:ascii="Times New Roman" w:hAnsi="Times New Roman" w:cs="Times New Roman"/>
          <w:sz w:val="24"/>
          <w:szCs w:val="24"/>
        </w:rPr>
      </w:pPr>
      <w:r w:rsidRPr="0034602C">
        <w:rPr>
          <w:rFonts w:ascii="Times New Roman" w:hAnsi="Times New Roman" w:cs="Times New Roman"/>
          <w:sz w:val="24"/>
          <w:szCs w:val="24"/>
        </w:rPr>
        <w:t>WQHFIRM</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(r) is the value of assets in country r at the start of year T that are owned by the residents of country r;</w:t>
      </w:r>
    </w:p>
    <w:p w:rsidR="00D731CA" w:rsidRPr="0034602C" w:rsidRDefault="00D731CA" w:rsidP="00D731CA">
      <w:pPr>
        <w:spacing w:after="0" w:line="240" w:lineRule="auto"/>
        <w:ind w:left="284"/>
        <w:rPr>
          <w:rFonts w:ascii="Times New Roman" w:hAnsi="Times New Roman" w:cs="Times New Roman"/>
          <w:sz w:val="24"/>
          <w:szCs w:val="24"/>
        </w:rPr>
      </w:pPr>
      <w:r w:rsidRPr="0034602C">
        <w:rPr>
          <w:rFonts w:ascii="Times New Roman" w:hAnsi="Times New Roman" w:cs="Times New Roman"/>
          <w:sz w:val="24"/>
          <w:szCs w:val="24"/>
        </w:rPr>
        <w:t>WQHTRUST</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 xml:space="preserve">(r) is the value of foreign assets owned by the residents of country r at the start of year T, that is country r’s assets in the Global Trust; </w:t>
      </w:r>
    </w:p>
    <w:p w:rsidR="00D731CA" w:rsidRDefault="00D731CA" w:rsidP="00D731CA">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VKB</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(r) is the value of assets in country r at the start of year T, that is</w:t>
      </w:r>
      <w:r>
        <w:rPr>
          <w:rFonts w:ascii="Times New Roman" w:hAnsi="Times New Roman" w:cs="Times New Roman"/>
          <w:sz w:val="24"/>
          <w:szCs w:val="24"/>
        </w:rPr>
        <w:t>,</w:t>
      </w:r>
      <w:r w:rsidRPr="0034602C">
        <w:rPr>
          <w:rFonts w:ascii="Times New Roman" w:hAnsi="Times New Roman" w:cs="Times New Roman"/>
          <w:sz w:val="24"/>
          <w:szCs w:val="24"/>
        </w:rPr>
        <w:t xml:space="preserve"> the value o</w:t>
      </w:r>
      <w:r>
        <w:rPr>
          <w:rFonts w:ascii="Times New Roman" w:hAnsi="Times New Roman" w:cs="Times New Roman"/>
          <w:sz w:val="24"/>
          <w:szCs w:val="24"/>
        </w:rPr>
        <w:t xml:space="preserve">f physical capital in country r; and </w:t>
      </w:r>
    </w:p>
    <w:p w:rsidR="00D731CA" w:rsidRPr="0034602C" w:rsidRDefault="00D731CA" w:rsidP="00D731CA">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WQTFIRM</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(r)</w:t>
      </w:r>
      <w:r>
        <w:rPr>
          <w:rFonts w:ascii="Times New Roman" w:hAnsi="Times New Roman" w:cs="Times New Roman"/>
          <w:sz w:val="24"/>
          <w:szCs w:val="24"/>
        </w:rPr>
        <w:t xml:space="preserve"> is </w:t>
      </w:r>
      <w:r w:rsidRPr="0034602C">
        <w:rPr>
          <w:rFonts w:ascii="Times New Roman" w:hAnsi="Times New Roman" w:cs="Times New Roman"/>
          <w:sz w:val="24"/>
          <w:szCs w:val="24"/>
        </w:rPr>
        <w:t>the value of assets in country r at the start of year T</w:t>
      </w:r>
      <w:r>
        <w:rPr>
          <w:rFonts w:ascii="Times New Roman" w:hAnsi="Times New Roman" w:cs="Times New Roman"/>
          <w:sz w:val="24"/>
          <w:szCs w:val="24"/>
        </w:rPr>
        <w:t xml:space="preserve"> that are foreign owned</w:t>
      </w:r>
      <w:r w:rsidRPr="0034602C">
        <w:rPr>
          <w:rFonts w:ascii="Times New Roman" w:hAnsi="Times New Roman" w:cs="Times New Roman"/>
          <w:sz w:val="24"/>
          <w:szCs w:val="24"/>
        </w:rPr>
        <w:t>, that is</w:t>
      </w:r>
      <w:r>
        <w:rPr>
          <w:rFonts w:ascii="Times New Roman" w:hAnsi="Times New Roman" w:cs="Times New Roman"/>
          <w:sz w:val="24"/>
          <w:szCs w:val="24"/>
        </w:rPr>
        <w:t>,</w:t>
      </w:r>
      <w:r w:rsidRPr="0034602C">
        <w:rPr>
          <w:rFonts w:ascii="Times New Roman" w:hAnsi="Times New Roman" w:cs="Times New Roman"/>
          <w:sz w:val="24"/>
          <w:szCs w:val="24"/>
        </w:rPr>
        <w:t xml:space="preserve"> </w:t>
      </w:r>
      <w:r>
        <w:rPr>
          <w:rFonts w:ascii="Times New Roman" w:hAnsi="Times New Roman" w:cs="Times New Roman"/>
          <w:sz w:val="24"/>
          <w:szCs w:val="24"/>
        </w:rPr>
        <w:t>country r’s liabilities held by the Global Trust.</w:t>
      </w:r>
    </w:p>
    <w:p w:rsidR="00D731CA" w:rsidRPr="0034602C" w:rsidRDefault="00D731CA" w:rsidP="00D731CA">
      <w:pPr>
        <w:spacing w:after="0" w:line="240" w:lineRule="auto"/>
        <w:rPr>
          <w:rFonts w:ascii="Times New Roman" w:hAnsi="Times New Roman" w:cs="Times New Roman"/>
          <w:sz w:val="24"/>
          <w:szCs w:val="24"/>
        </w:rPr>
      </w:pPr>
      <w:r w:rsidRPr="0034602C">
        <w:rPr>
          <w:rFonts w:ascii="Times New Roman" w:hAnsi="Times New Roman" w:cs="Times New Roman"/>
          <w:sz w:val="24"/>
          <w:szCs w:val="24"/>
        </w:rPr>
        <w:t>The notation in these equations is consistent with I&amp;M’s original presentation and with our code for GTAP-M</w:t>
      </w:r>
      <w:r w:rsidR="00A22FCE">
        <w:rPr>
          <w:rFonts w:ascii="Times New Roman" w:hAnsi="Times New Roman" w:cs="Times New Roman"/>
          <w:sz w:val="24"/>
          <w:szCs w:val="24"/>
        </w:rPr>
        <w:t>VH</w:t>
      </w:r>
      <w:r w:rsidRPr="0034602C">
        <w:rPr>
          <w:rFonts w:ascii="Times New Roman" w:hAnsi="Times New Roman" w:cs="Times New Roman"/>
          <w:sz w:val="24"/>
          <w:szCs w:val="24"/>
        </w:rPr>
        <w:t>.  Equation (</w:t>
      </w:r>
      <w:r w:rsidR="0002598B">
        <w:rPr>
          <w:rFonts w:ascii="Times New Roman" w:hAnsi="Times New Roman" w:cs="Times New Roman"/>
          <w:sz w:val="24"/>
          <w:szCs w:val="24"/>
        </w:rPr>
        <w:t>2.2.</w:t>
      </w:r>
      <w:r w:rsidRPr="0034602C">
        <w:rPr>
          <w:rFonts w:ascii="Times New Roman" w:hAnsi="Times New Roman" w:cs="Times New Roman"/>
          <w:sz w:val="24"/>
          <w:szCs w:val="24"/>
        </w:rPr>
        <w:t>1) splits country r’s wealth between ownership of domestic and foreign (Trust) assets.  Equation (</w:t>
      </w:r>
      <w:r w:rsidR="0002598B">
        <w:rPr>
          <w:rFonts w:ascii="Times New Roman" w:hAnsi="Times New Roman" w:cs="Times New Roman"/>
          <w:sz w:val="24"/>
          <w:szCs w:val="24"/>
        </w:rPr>
        <w:t>2.2.</w:t>
      </w:r>
      <w:r w:rsidRPr="0034602C">
        <w:rPr>
          <w:rFonts w:ascii="Times New Roman" w:hAnsi="Times New Roman" w:cs="Times New Roman"/>
          <w:sz w:val="24"/>
          <w:szCs w:val="24"/>
        </w:rPr>
        <w:t xml:space="preserve">2) splits the value of assets in country r between domestic and foreign (Trust) ownership.  </w:t>
      </w:r>
    </w:p>
    <w:p w:rsidR="00D731CA" w:rsidRPr="0034602C" w:rsidRDefault="00D731CA" w:rsidP="00D731CA">
      <w:pPr>
        <w:spacing w:before="120" w:after="0" w:line="240" w:lineRule="auto"/>
        <w:rPr>
          <w:rFonts w:ascii="Times New Roman" w:hAnsi="Times New Roman" w:cs="Times New Roman"/>
          <w:sz w:val="24"/>
          <w:szCs w:val="24"/>
        </w:rPr>
      </w:pPr>
      <w:r>
        <w:rPr>
          <w:rFonts w:ascii="Times New Roman" w:hAnsi="Times New Roman" w:cs="Times New Roman"/>
          <w:sz w:val="24"/>
          <w:szCs w:val="24"/>
        </w:rPr>
        <w:t>Next, I&amp;M determine c</w:t>
      </w:r>
      <w:r w:rsidRPr="0034602C">
        <w:rPr>
          <w:rFonts w:ascii="Times New Roman" w:hAnsi="Times New Roman" w:cs="Times New Roman"/>
          <w:sz w:val="24"/>
          <w:szCs w:val="24"/>
        </w:rPr>
        <w:t>ountry r’s wealth, WQHHLD</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 xml:space="preserve">(r), at the start of year T </w:t>
      </w:r>
      <w:r>
        <w:rPr>
          <w:rFonts w:ascii="Times New Roman" w:hAnsi="Times New Roman" w:cs="Times New Roman"/>
          <w:sz w:val="24"/>
          <w:szCs w:val="24"/>
        </w:rPr>
        <w:t>a</w:t>
      </w:r>
      <w:r w:rsidRPr="0034602C">
        <w:rPr>
          <w:rFonts w:ascii="Times New Roman" w:hAnsi="Times New Roman" w:cs="Times New Roman"/>
          <w:sz w:val="24"/>
          <w:szCs w:val="24"/>
        </w:rPr>
        <w:t xml:space="preserve">s wealth at the start of the year 0 revalued for changes in prices and incremented by savings from year 0 through year T-1.  In </w:t>
      </w:r>
      <w:r>
        <w:rPr>
          <w:rFonts w:ascii="Times New Roman" w:hAnsi="Times New Roman" w:cs="Times New Roman"/>
          <w:sz w:val="24"/>
          <w:szCs w:val="24"/>
        </w:rPr>
        <w:t>GTAP-M</w:t>
      </w:r>
      <w:r w:rsidR="00A22FCE">
        <w:rPr>
          <w:rFonts w:ascii="Times New Roman" w:hAnsi="Times New Roman" w:cs="Times New Roman"/>
          <w:sz w:val="24"/>
          <w:szCs w:val="24"/>
        </w:rPr>
        <w:t>VH</w:t>
      </w:r>
      <w:r>
        <w:rPr>
          <w:rFonts w:ascii="Times New Roman" w:hAnsi="Times New Roman" w:cs="Times New Roman"/>
          <w:sz w:val="24"/>
          <w:szCs w:val="24"/>
        </w:rPr>
        <w:t xml:space="preserve">, we specify </w:t>
      </w:r>
      <w:r w:rsidRPr="0034602C">
        <w:rPr>
          <w:rFonts w:ascii="Times New Roman" w:hAnsi="Times New Roman" w:cs="Times New Roman"/>
          <w:sz w:val="24"/>
          <w:szCs w:val="24"/>
        </w:rPr>
        <w:t>the savings</w:t>
      </w:r>
      <w:r>
        <w:rPr>
          <w:rFonts w:ascii="Times New Roman" w:hAnsi="Times New Roman" w:cs="Times New Roman"/>
          <w:sz w:val="24"/>
          <w:szCs w:val="24"/>
        </w:rPr>
        <w:t>/wealth</w:t>
      </w:r>
      <w:r w:rsidRPr="0034602C">
        <w:rPr>
          <w:rFonts w:ascii="Times New Roman" w:hAnsi="Times New Roman" w:cs="Times New Roman"/>
          <w:sz w:val="24"/>
          <w:szCs w:val="24"/>
        </w:rPr>
        <w:t xml:space="preserve"> accumulation relationship </w:t>
      </w:r>
      <w:r>
        <w:rPr>
          <w:rFonts w:ascii="Times New Roman" w:hAnsi="Times New Roman" w:cs="Times New Roman"/>
          <w:sz w:val="24"/>
          <w:szCs w:val="24"/>
        </w:rPr>
        <w:t>as</w:t>
      </w:r>
      <w:r>
        <w:rPr>
          <w:rStyle w:val="FootnoteReference"/>
          <w:rFonts w:ascii="Times New Roman" w:hAnsi="Times New Roman" w:cs="Times New Roman"/>
          <w:szCs w:val="24"/>
        </w:rPr>
        <w:footnoteReference w:id="2"/>
      </w:r>
      <w:r w:rsidRPr="0034602C">
        <w:rPr>
          <w:rFonts w:ascii="Times New Roman" w:hAnsi="Times New Roman" w:cs="Times New Roman"/>
          <w:sz w:val="24"/>
          <w:szCs w:val="24"/>
        </w:rPr>
        <w:t xml:space="preserve">:  </w:t>
      </w:r>
    </w:p>
    <w:p w:rsidR="00D731CA" w:rsidRPr="0034602C" w:rsidRDefault="00D731CA" w:rsidP="00D7270A">
      <w:pPr>
        <w:tabs>
          <w:tab w:val="left" w:pos="142"/>
          <w:tab w:val="right" w:pos="8931"/>
        </w:tabs>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ab/>
      </w:r>
      <w:r w:rsidRPr="0034602C">
        <w:rPr>
          <w:rFonts w:ascii="Times New Roman" w:hAnsi="Times New Roman" w:cs="Times New Roman"/>
          <w:position w:val="-74"/>
          <w:sz w:val="24"/>
          <w:szCs w:val="24"/>
        </w:rPr>
        <w:object w:dxaOrig="8120" w:dyaOrig="1600">
          <v:shape id="_x0000_i1027" type="#_x0000_t75" style="width:405.1pt;height:80.15pt" o:ole="">
            <v:imagedata r:id="rId13" o:title=""/>
          </v:shape>
          <o:OLEObject Type="Embed" ProgID="Equation.DSMT4" ShapeID="_x0000_i1027" DrawAspect="Content" ObjectID="_1616394647" r:id="rId14"/>
        </w:object>
      </w:r>
      <w:r w:rsidRPr="0034602C">
        <w:rPr>
          <w:rFonts w:ascii="Times New Roman" w:hAnsi="Times New Roman" w:cs="Times New Roman"/>
          <w:sz w:val="24"/>
          <w:szCs w:val="24"/>
        </w:rPr>
        <w:t xml:space="preserve"> </w:t>
      </w:r>
      <w:r w:rsidRPr="0034602C">
        <w:rPr>
          <w:rFonts w:ascii="Times New Roman" w:hAnsi="Times New Roman" w:cs="Times New Roman"/>
          <w:sz w:val="24"/>
          <w:szCs w:val="24"/>
        </w:rPr>
        <w:tab/>
        <w:t>(</w:t>
      </w:r>
      <w:r w:rsidR="00D7270A">
        <w:rPr>
          <w:rFonts w:ascii="Times New Roman" w:hAnsi="Times New Roman" w:cs="Times New Roman"/>
          <w:sz w:val="24"/>
          <w:szCs w:val="24"/>
        </w:rPr>
        <w:t>2.2.</w:t>
      </w:r>
      <w:r w:rsidRPr="0034602C">
        <w:rPr>
          <w:rFonts w:ascii="Times New Roman" w:hAnsi="Times New Roman" w:cs="Times New Roman"/>
          <w:sz w:val="24"/>
          <w:szCs w:val="24"/>
        </w:rPr>
        <w:t>3)</w:t>
      </w:r>
    </w:p>
    <w:p w:rsidR="00D731CA" w:rsidRPr="0034602C" w:rsidRDefault="00D731CA" w:rsidP="00D731CA">
      <w:pPr>
        <w:spacing w:after="0" w:line="240" w:lineRule="auto"/>
        <w:rPr>
          <w:rFonts w:ascii="Times New Roman" w:hAnsi="Times New Roman" w:cs="Times New Roman"/>
          <w:sz w:val="24"/>
          <w:szCs w:val="24"/>
        </w:rPr>
      </w:pPr>
      <w:r w:rsidRPr="0034602C">
        <w:rPr>
          <w:rFonts w:ascii="Times New Roman" w:hAnsi="Times New Roman" w:cs="Times New Roman"/>
          <w:sz w:val="24"/>
          <w:szCs w:val="24"/>
        </w:rPr>
        <w:t xml:space="preserve">where </w:t>
      </w:r>
    </w:p>
    <w:p w:rsidR="00D731CA" w:rsidRPr="0034602C" w:rsidRDefault="00D731CA" w:rsidP="00D731CA">
      <w:pPr>
        <w:spacing w:after="0" w:line="240" w:lineRule="auto"/>
        <w:ind w:left="284"/>
        <w:rPr>
          <w:rFonts w:ascii="Times New Roman" w:hAnsi="Times New Roman" w:cs="Times New Roman"/>
          <w:sz w:val="24"/>
          <w:szCs w:val="24"/>
        </w:rPr>
      </w:pPr>
      <w:r w:rsidRPr="0034602C">
        <w:rPr>
          <w:rFonts w:ascii="Times New Roman" w:hAnsi="Times New Roman" w:cs="Times New Roman"/>
          <w:sz w:val="24"/>
          <w:szCs w:val="24"/>
        </w:rPr>
        <w:t>PCGDS</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(r) is the price of capital goods in region r in year T;</w:t>
      </w:r>
    </w:p>
    <w:p w:rsidR="00D731CA" w:rsidRPr="0034602C" w:rsidRDefault="00D731CA" w:rsidP="00D731CA">
      <w:pPr>
        <w:spacing w:after="0" w:line="240" w:lineRule="auto"/>
        <w:ind w:left="284"/>
        <w:rPr>
          <w:rFonts w:ascii="Times New Roman" w:hAnsi="Times New Roman" w:cs="Times New Roman"/>
          <w:sz w:val="24"/>
          <w:szCs w:val="24"/>
        </w:rPr>
      </w:pPr>
      <w:r w:rsidRPr="0034602C">
        <w:rPr>
          <w:rFonts w:ascii="Times New Roman" w:hAnsi="Times New Roman" w:cs="Times New Roman"/>
          <w:sz w:val="24"/>
          <w:szCs w:val="24"/>
        </w:rPr>
        <w:t>PTRUST</w:t>
      </w:r>
      <w:r w:rsidRPr="0034602C">
        <w:rPr>
          <w:rFonts w:ascii="Times New Roman" w:hAnsi="Times New Roman" w:cs="Times New Roman"/>
          <w:sz w:val="24"/>
          <w:szCs w:val="24"/>
          <w:vertAlign w:val="subscript"/>
        </w:rPr>
        <w:t xml:space="preserve">T </w:t>
      </w:r>
      <w:r w:rsidRPr="0034602C">
        <w:rPr>
          <w:rFonts w:ascii="Times New Roman" w:hAnsi="Times New Roman" w:cs="Times New Roman"/>
          <w:sz w:val="24"/>
          <w:szCs w:val="24"/>
        </w:rPr>
        <w:t xml:space="preserve">is the price of capital held in the Global Trust in year T; and </w:t>
      </w:r>
    </w:p>
    <w:p w:rsidR="00D731CA" w:rsidRDefault="00D731CA" w:rsidP="00D731CA">
      <w:pPr>
        <w:spacing w:after="0" w:line="240" w:lineRule="auto"/>
        <w:ind w:left="284"/>
        <w:rPr>
          <w:rFonts w:ascii="Times New Roman" w:hAnsi="Times New Roman" w:cs="Times New Roman"/>
          <w:sz w:val="24"/>
          <w:szCs w:val="24"/>
        </w:rPr>
      </w:pPr>
      <w:r w:rsidRPr="0034602C">
        <w:rPr>
          <w:rFonts w:ascii="Times New Roman" w:hAnsi="Times New Roman" w:cs="Times New Roman"/>
          <w:sz w:val="24"/>
          <w:szCs w:val="24"/>
        </w:rPr>
        <w:t>SAVE</w:t>
      </w:r>
      <w:r w:rsidRPr="0034602C">
        <w:rPr>
          <w:rFonts w:ascii="Times New Roman" w:hAnsi="Times New Roman" w:cs="Times New Roman"/>
          <w:sz w:val="24"/>
          <w:szCs w:val="24"/>
          <w:vertAlign w:val="subscript"/>
        </w:rPr>
        <w:t>T</w:t>
      </w:r>
      <w:r w:rsidRPr="0034602C">
        <w:rPr>
          <w:rFonts w:ascii="Times New Roman" w:hAnsi="Times New Roman" w:cs="Times New Roman"/>
          <w:sz w:val="24"/>
          <w:szCs w:val="24"/>
        </w:rPr>
        <w:t xml:space="preserve">(r) is </w:t>
      </w:r>
      <w:r>
        <w:rPr>
          <w:rFonts w:ascii="Times New Roman" w:hAnsi="Times New Roman" w:cs="Times New Roman"/>
          <w:sz w:val="24"/>
          <w:szCs w:val="24"/>
        </w:rPr>
        <w:t xml:space="preserve">net </w:t>
      </w:r>
      <w:r w:rsidRPr="0034602C">
        <w:rPr>
          <w:rFonts w:ascii="Times New Roman" w:hAnsi="Times New Roman" w:cs="Times New Roman"/>
          <w:sz w:val="24"/>
          <w:szCs w:val="24"/>
        </w:rPr>
        <w:t xml:space="preserve">savings </w:t>
      </w:r>
      <w:r>
        <w:rPr>
          <w:rFonts w:ascii="Times New Roman" w:hAnsi="Times New Roman" w:cs="Times New Roman"/>
          <w:sz w:val="24"/>
          <w:szCs w:val="24"/>
        </w:rPr>
        <w:t>(saving less expenditures required to maintain the capital stock, that is, depreciation) in</w:t>
      </w:r>
      <w:r w:rsidRPr="0034602C">
        <w:rPr>
          <w:rFonts w:ascii="Times New Roman" w:hAnsi="Times New Roman" w:cs="Times New Roman"/>
          <w:sz w:val="24"/>
          <w:szCs w:val="24"/>
        </w:rPr>
        <w:t xml:space="preserve"> country r in year T.</w:t>
      </w:r>
    </w:p>
    <w:p w:rsidR="00D731CA" w:rsidRDefault="00D731CA" w:rsidP="00D731CA">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02598B">
        <w:rPr>
          <w:rFonts w:ascii="Times New Roman" w:hAnsi="Times New Roman" w:cs="Times New Roman"/>
          <w:sz w:val="24"/>
          <w:szCs w:val="24"/>
        </w:rPr>
        <w:t>(2.2.</w:t>
      </w:r>
      <w:r>
        <w:rPr>
          <w:rFonts w:ascii="Times New Roman" w:hAnsi="Times New Roman" w:cs="Times New Roman"/>
          <w:sz w:val="24"/>
          <w:szCs w:val="24"/>
        </w:rPr>
        <w:t xml:space="preserve">3), we assume that savings grow smoothly between year 0 and year T.  With </w:t>
      </w:r>
      <w:r w:rsidR="0002598B">
        <w:rPr>
          <w:rFonts w:ascii="Times New Roman" w:hAnsi="Times New Roman" w:cs="Times New Roman"/>
          <w:sz w:val="24"/>
          <w:szCs w:val="24"/>
        </w:rPr>
        <w:t>(2.2.</w:t>
      </w:r>
      <w:r>
        <w:rPr>
          <w:rFonts w:ascii="Times New Roman" w:hAnsi="Times New Roman" w:cs="Times New Roman"/>
          <w:sz w:val="24"/>
          <w:szCs w:val="24"/>
        </w:rPr>
        <w:t xml:space="preserve">3) in place, r’s wealth at the start of year T is determined largely by its wealth and saving in year 0 and by its saving in year T.  Saving in year T is determined largely by r’s GDP in T which is determined largely by our assumptions concerning productivity and </w:t>
      </w:r>
      <w:r w:rsidR="00C75576">
        <w:rPr>
          <w:rFonts w:ascii="Times New Roman" w:hAnsi="Times New Roman" w:cs="Times New Roman"/>
          <w:sz w:val="24"/>
          <w:szCs w:val="24"/>
        </w:rPr>
        <w:t>labor</w:t>
      </w:r>
      <w:r>
        <w:rPr>
          <w:rFonts w:ascii="Times New Roman" w:hAnsi="Times New Roman" w:cs="Times New Roman"/>
          <w:sz w:val="24"/>
          <w:szCs w:val="24"/>
        </w:rPr>
        <w:t>-force growth.  Thus, we can think</w:t>
      </w:r>
      <w:r w:rsidRPr="00FA426A">
        <w:rPr>
          <w:rFonts w:ascii="Times New Roman" w:hAnsi="Times New Roman" w:cs="Times New Roman"/>
          <w:sz w:val="24"/>
          <w:szCs w:val="24"/>
        </w:rPr>
        <w:t xml:space="preserve"> </w:t>
      </w:r>
      <w:r>
        <w:rPr>
          <w:rFonts w:ascii="Times New Roman" w:hAnsi="Times New Roman" w:cs="Times New Roman"/>
          <w:sz w:val="24"/>
          <w:szCs w:val="24"/>
        </w:rPr>
        <w:t>of the simulated value of r’s wealth at the start of year T, WQHHLD</w:t>
      </w:r>
      <w:r>
        <w:rPr>
          <w:rFonts w:ascii="Times New Roman" w:hAnsi="Times New Roman" w:cs="Times New Roman"/>
          <w:sz w:val="24"/>
          <w:szCs w:val="24"/>
          <w:vertAlign w:val="subscript"/>
        </w:rPr>
        <w:t>T</w:t>
      </w:r>
      <w:r w:rsidRPr="0034602C">
        <w:rPr>
          <w:rFonts w:ascii="Times New Roman" w:hAnsi="Times New Roman" w:cs="Times New Roman"/>
          <w:sz w:val="24"/>
          <w:szCs w:val="24"/>
        </w:rPr>
        <w:t>(r),</w:t>
      </w:r>
      <w:r>
        <w:rPr>
          <w:rFonts w:ascii="Times New Roman" w:hAnsi="Times New Roman" w:cs="Times New Roman"/>
          <w:sz w:val="24"/>
          <w:szCs w:val="24"/>
        </w:rPr>
        <w:t xml:space="preserve"> as coming from factors that are exogenous to the Global Trust. </w:t>
      </w:r>
    </w:p>
    <w:p w:rsidR="00D731CA" w:rsidRDefault="00D731CA" w:rsidP="00D731CA">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What about the value of r’s capital at the start of year T?  We can think of the quantity of capital in country r at the start of year T as being determined by our assumptions concerning </w:t>
      </w:r>
      <w:r>
        <w:rPr>
          <w:rFonts w:ascii="Times New Roman" w:hAnsi="Times New Roman" w:cs="Times New Roman"/>
          <w:sz w:val="24"/>
          <w:szCs w:val="24"/>
        </w:rPr>
        <w:lastRenderedPageBreak/>
        <w:t>rates of return in country r.  If we introduce to a simulation assumed reductions in rates of return in country r between year 0 and year T, then on this account the simulated quantity of capital in region r at the start of year T will be high: low rates of return correspond to plentiful capital.  The price in country r of capital goods in year T will be determined mainly by our assumptions concerning inflation and technical change.  Thus, as with the simulated value of r’s wealth, the simulated value of r’s capital at the start of year T, VKB</w:t>
      </w:r>
      <w:r w:rsidRPr="0034602C">
        <w:rPr>
          <w:rFonts w:ascii="Times New Roman" w:hAnsi="Times New Roman" w:cs="Times New Roman"/>
          <w:sz w:val="24"/>
          <w:szCs w:val="24"/>
        </w:rPr>
        <w:t>(r),</w:t>
      </w:r>
      <w:r>
        <w:rPr>
          <w:rFonts w:ascii="Times New Roman" w:hAnsi="Times New Roman" w:cs="Times New Roman"/>
          <w:sz w:val="24"/>
          <w:szCs w:val="24"/>
        </w:rPr>
        <w:t xml:space="preserve"> comes from factors that are largely exogenous to the Global Trust.   </w:t>
      </w:r>
    </w:p>
    <w:p w:rsidR="00D731CA" w:rsidRPr="0034602C" w:rsidRDefault="00D731CA" w:rsidP="00D731CA">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With the values of r’s capital and wealth at the start of year T determined as described above, we need one more piece of information (assumption) to tie down movements in all of the three variables on the RHSs of </w:t>
      </w:r>
      <w:r w:rsidR="0002598B">
        <w:rPr>
          <w:rFonts w:ascii="Times New Roman" w:hAnsi="Times New Roman" w:cs="Times New Roman"/>
          <w:sz w:val="24"/>
          <w:szCs w:val="24"/>
        </w:rPr>
        <w:t>(2.2.</w:t>
      </w:r>
      <w:r>
        <w:rPr>
          <w:rFonts w:ascii="Times New Roman" w:hAnsi="Times New Roman" w:cs="Times New Roman"/>
          <w:sz w:val="24"/>
          <w:szCs w:val="24"/>
        </w:rPr>
        <w:t xml:space="preserve">1) and </w:t>
      </w:r>
      <w:r w:rsidR="0002598B">
        <w:rPr>
          <w:rFonts w:ascii="Times New Roman" w:hAnsi="Times New Roman" w:cs="Times New Roman"/>
          <w:sz w:val="24"/>
          <w:szCs w:val="24"/>
        </w:rPr>
        <w:t>(2.2.</w:t>
      </w:r>
      <w:r>
        <w:rPr>
          <w:rFonts w:ascii="Times New Roman" w:hAnsi="Times New Roman" w:cs="Times New Roman"/>
          <w:sz w:val="24"/>
          <w:szCs w:val="24"/>
        </w:rPr>
        <w:t>2).  One obvious possibility is to assume a fixed split in the ownership of r’s capital between local and foreign, that is, a fixed ratio of WQHFIRM</w:t>
      </w:r>
      <w:r>
        <w:rPr>
          <w:rFonts w:ascii="Times New Roman" w:hAnsi="Times New Roman" w:cs="Times New Roman"/>
          <w:sz w:val="24"/>
          <w:szCs w:val="24"/>
          <w:vertAlign w:val="subscript"/>
        </w:rPr>
        <w:t>T</w:t>
      </w:r>
      <w:r>
        <w:rPr>
          <w:rFonts w:ascii="Times New Roman" w:hAnsi="Times New Roman" w:cs="Times New Roman"/>
          <w:sz w:val="24"/>
          <w:szCs w:val="24"/>
        </w:rPr>
        <w:t>(r) to WQTFIRM</w:t>
      </w:r>
      <w:r>
        <w:rPr>
          <w:rFonts w:ascii="Times New Roman" w:hAnsi="Times New Roman" w:cs="Times New Roman"/>
          <w:sz w:val="24"/>
          <w:szCs w:val="24"/>
          <w:vertAlign w:val="subscript"/>
        </w:rPr>
        <w:t>T</w:t>
      </w:r>
      <w:r>
        <w:rPr>
          <w:rFonts w:ascii="Times New Roman" w:hAnsi="Times New Roman" w:cs="Times New Roman"/>
          <w:sz w:val="24"/>
          <w:szCs w:val="24"/>
        </w:rPr>
        <w:t>(r).  Another possibility is to assume a fixed spread of r’s wealth between local and foreign assets, that is, a fixed ratio of WQHFIRM</w:t>
      </w:r>
      <w:r>
        <w:rPr>
          <w:rFonts w:ascii="Times New Roman" w:hAnsi="Times New Roman" w:cs="Times New Roman"/>
          <w:sz w:val="24"/>
          <w:szCs w:val="24"/>
          <w:vertAlign w:val="subscript"/>
        </w:rPr>
        <w:t>T</w:t>
      </w:r>
      <w:r>
        <w:rPr>
          <w:rFonts w:ascii="Times New Roman" w:hAnsi="Times New Roman" w:cs="Times New Roman"/>
          <w:sz w:val="24"/>
          <w:szCs w:val="24"/>
        </w:rPr>
        <w:t>(r) to WQTRUST</w:t>
      </w:r>
      <w:r>
        <w:rPr>
          <w:rFonts w:ascii="Times New Roman" w:hAnsi="Times New Roman" w:cs="Times New Roman"/>
          <w:sz w:val="24"/>
          <w:szCs w:val="24"/>
          <w:vertAlign w:val="subscript"/>
        </w:rPr>
        <w:t>T</w:t>
      </w:r>
      <w:r>
        <w:rPr>
          <w:rFonts w:ascii="Times New Roman" w:hAnsi="Times New Roman" w:cs="Times New Roman"/>
          <w:sz w:val="24"/>
          <w:szCs w:val="24"/>
        </w:rPr>
        <w:t xml:space="preserve">(r).  Neither of these possibilities is ideal.  If we assume a fixed local/foreign ownership split for capital in country r, then in a simulation involving a strong increase in capital located in r (perhaps because of a mining boom in r) we are likely to obtain an unrealistic reduction in the foreign-asset share of r’s wealth.  Similarly, if we assume a fixed spread of r’s wealth between local and foreign assets, then in a simulation involving a strong increase in this wealth (perhaps because of stringent savings-inducing fiscal policy) we are likely to obtain an unrealistic reduction in foreign ownership of r’s capital.  I&amp;M steer between these two potentially unsatisfactory possibilities by adopting what they refer to as a cross-entropy approach.  They assume that </w:t>
      </w:r>
    </w:p>
    <w:p w:rsidR="00D731CA" w:rsidRPr="0034602C" w:rsidRDefault="00D731CA" w:rsidP="00D7270A">
      <w:pPr>
        <w:tabs>
          <w:tab w:val="left" w:pos="709"/>
          <w:tab w:val="right" w:pos="8931"/>
        </w:tabs>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ab/>
      </w:r>
      <w:r w:rsidRPr="004C4A02">
        <w:rPr>
          <w:rFonts w:ascii="Times New Roman" w:hAnsi="Times New Roman" w:cs="Times New Roman"/>
          <w:position w:val="-12"/>
          <w:sz w:val="24"/>
          <w:szCs w:val="24"/>
        </w:rPr>
        <w:object w:dxaOrig="6180" w:dyaOrig="380">
          <v:shape id="_x0000_i1028" type="#_x0000_t75" style="width:309.3pt;height:18.8pt" o:ole="">
            <v:imagedata r:id="rId15" o:title=""/>
          </v:shape>
          <o:OLEObject Type="Embed" ProgID="Equation.DSMT4" ShapeID="_x0000_i1028" DrawAspect="Content" ObjectID="_1616394648" r:id="rId16"/>
        </w:object>
      </w:r>
      <w:r w:rsidRPr="0034602C">
        <w:rPr>
          <w:rFonts w:ascii="Times New Roman" w:hAnsi="Times New Roman" w:cs="Times New Roman"/>
          <w:sz w:val="24"/>
          <w:szCs w:val="24"/>
        </w:rPr>
        <w:t xml:space="preserve"> </w:t>
      </w:r>
      <w:r w:rsidRPr="0034602C">
        <w:rPr>
          <w:rFonts w:ascii="Times New Roman" w:hAnsi="Times New Roman" w:cs="Times New Roman"/>
          <w:sz w:val="24"/>
          <w:szCs w:val="24"/>
        </w:rPr>
        <w:tab/>
        <w:t>(</w:t>
      </w:r>
      <w:r w:rsidR="00D7270A">
        <w:rPr>
          <w:rFonts w:ascii="Times New Roman" w:hAnsi="Times New Roman" w:cs="Times New Roman"/>
          <w:sz w:val="24"/>
          <w:szCs w:val="24"/>
        </w:rPr>
        <w:t>2.2.</w:t>
      </w:r>
      <w:r>
        <w:rPr>
          <w:rFonts w:ascii="Times New Roman" w:hAnsi="Times New Roman" w:cs="Times New Roman"/>
          <w:sz w:val="24"/>
          <w:szCs w:val="24"/>
        </w:rPr>
        <w:t>4</w:t>
      </w:r>
      <w:r w:rsidRPr="0034602C">
        <w:rPr>
          <w:rFonts w:ascii="Times New Roman" w:hAnsi="Times New Roman" w:cs="Times New Roman"/>
          <w:sz w:val="24"/>
          <w:szCs w:val="24"/>
        </w:rPr>
        <w:t>)</w:t>
      </w:r>
    </w:p>
    <w:p w:rsidR="00D731CA" w:rsidRDefault="00D731CA" w:rsidP="00D731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where </w:t>
      </w:r>
      <w:r w:rsidRPr="0034602C">
        <w:rPr>
          <w:rFonts w:ascii="Times New Roman" w:hAnsi="Times New Roman" w:cs="Times New Roman"/>
          <w:sz w:val="24"/>
          <w:szCs w:val="24"/>
        </w:rPr>
        <w:sym w:font="Symbol" w:char="F06D"/>
      </w:r>
      <w:r w:rsidRPr="0034602C">
        <w:rPr>
          <w:rFonts w:ascii="Times New Roman" w:hAnsi="Times New Roman" w:cs="Times New Roman"/>
          <w:sz w:val="24"/>
          <w:szCs w:val="24"/>
        </w:rPr>
        <w:t>(r) is a parameter</w:t>
      </w:r>
      <w:r>
        <w:rPr>
          <w:rFonts w:ascii="Times New Roman" w:hAnsi="Times New Roman" w:cs="Times New Roman"/>
          <w:sz w:val="24"/>
          <w:szCs w:val="24"/>
        </w:rPr>
        <w:t xml:space="preserve"> determined by the data for year zero. </w:t>
      </w:r>
    </w:p>
    <w:p w:rsidR="00D731CA" w:rsidRDefault="00D731CA" w:rsidP="00D731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Equation </w:t>
      </w:r>
      <w:r w:rsidR="0002598B">
        <w:rPr>
          <w:rFonts w:ascii="Times New Roman" w:hAnsi="Times New Roman" w:cs="Times New Roman"/>
          <w:sz w:val="24"/>
          <w:szCs w:val="24"/>
        </w:rPr>
        <w:t>(2.2.</w:t>
      </w:r>
      <w:r>
        <w:rPr>
          <w:rFonts w:ascii="Times New Roman" w:hAnsi="Times New Roman" w:cs="Times New Roman"/>
          <w:sz w:val="24"/>
          <w:szCs w:val="24"/>
        </w:rPr>
        <w:t xml:space="preserve">4) damps movements in the foreign-asset share of r’s wealth and in the foreign-ownership share of capital located in r: it tends to cause WQHTRUST and WQHFIRM to move in the same direction and similarly it tends to cause WQTFIRM and WQHFIRM to move in the same direction.  </w:t>
      </w:r>
    </w:p>
    <w:p w:rsidR="0000783D" w:rsidRPr="0090101C" w:rsidRDefault="00E41654" w:rsidP="0000783D">
      <w:pPr>
        <w:spacing w:before="120" w:after="0" w:line="240" w:lineRule="auto"/>
        <w:rPr>
          <w:rFonts w:ascii="Times New Roman" w:hAnsi="Times New Roman" w:cs="Times New Roman"/>
          <w:i/>
          <w:sz w:val="24"/>
          <w:szCs w:val="24"/>
        </w:rPr>
      </w:pPr>
      <w:r>
        <w:rPr>
          <w:rFonts w:ascii="Times New Roman" w:hAnsi="Times New Roman" w:cs="Times New Roman"/>
          <w:i/>
          <w:sz w:val="24"/>
          <w:szCs w:val="24"/>
        </w:rPr>
        <w:t>Year-on-year or s</w:t>
      </w:r>
      <w:r w:rsidR="0000783D">
        <w:rPr>
          <w:rFonts w:ascii="Times New Roman" w:hAnsi="Times New Roman" w:cs="Times New Roman"/>
          <w:i/>
          <w:sz w:val="24"/>
          <w:szCs w:val="24"/>
        </w:rPr>
        <w:t>hort-run simulations (T = 1)</w:t>
      </w:r>
    </w:p>
    <w:p w:rsidR="00D731CA" w:rsidRDefault="000E7A00" w:rsidP="00C73F7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For year-on-year simulations we continue to adopt </w:t>
      </w:r>
      <w:r w:rsidR="0002598B">
        <w:rPr>
          <w:rFonts w:ascii="Times New Roman" w:hAnsi="Times New Roman" w:cs="Times New Roman"/>
          <w:sz w:val="24"/>
          <w:szCs w:val="24"/>
        </w:rPr>
        <w:t>(2.2.</w:t>
      </w:r>
      <w:r>
        <w:rPr>
          <w:rFonts w:ascii="Times New Roman" w:hAnsi="Times New Roman" w:cs="Times New Roman"/>
          <w:sz w:val="24"/>
          <w:szCs w:val="24"/>
        </w:rPr>
        <w:t>1</w:t>
      </w:r>
      <w:r w:rsidR="00E41654">
        <w:rPr>
          <w:rFonts w:ascii="Times New Roman" w:hAnsi="Times New Roman" w:cs="Times New Roman"/>
          <w:sz w:val="24"/>
          <w:szCs w:val="24"/>
        </w:rPr>
        <w:t xml:space="preserve">) through </w:t>
      </w:r>
      <w:r w:rsidR="0002598B">
        <w:rPr>
          <w:rFonts w:ascii="Times New Roman" w:hAnsi="Times New Roman" w:cs="Times New Roman"/>
          <w:sz w:val="24"/>
          <w:szCs w:val="24"/>
        </w:rPr>
        <w:t>(2.2.</w:t>
      </w:r>
      <w:r w:rsidR="00E41654">
        <w:rPr>
          <w:rFonts w:ascii="Times New Roman" w:hAnsi="Times New Roman" w:cs="Times New Roman"/>
          <w:sz w:val="24"/>
          <w:szCs w:val="24"/>
        </w:rPr>
        <w:t xml:space="preserve">4).  With T= 1, </w:t>
      </w:r>
      <w:r w:rsidR="0002598B">
        <w:rPr>
          <w:rFonts w:ascii="Times New Roman" w:hAnsi="Times New Roman" w:cs="Times New Roman"/>
          <w:sz w:val="24"/>
          <w:szCs w:val="24"/>
        </w:rPr>
        <w:t>(2.2.</w:t>
      </w:r>
      <w:r>
        <w:rPr>
          <w:rFonts w:ascii="Times New Roman" w:hAnsi="Times New Roman" w:cs="Times New Roman"/>
          <w:sz w:val="24"/>
          <w:szCs w:val="24"/>
        </w:rPr>
        <w:t xml:space="preserve">3) </w:t>
      </w:r>
      <w:r w:rsidR="00E41654">
        <w:rPr>
          <w:rFonts w:ascii="Times New Roman" w:hAnsi="Times New Roman" w:cs="Times New Roman"/>
          <w:sz w:val="24"/>
          <w:szCs w:val="24"/>
        </w:rPr>
        <w:t xml:space="preserve">simplifies to </w:t>
      </w:r>
      <w:r>
        <w:rPr>
          <w:rFonts w:ascii="Times New Roman" w:hAnsi="Times New Roman" w:cs="Times New Roman"/>
          <w:sz w:val="24"/>
          <w:szCs w:val="24"/>
        </w:rPr>
        <w:t xml:space="preserve"> </w:t>
      </w:r>
    </w:p>
    <w:p w:rsidR="000E7A00" w:rsidRPr="0034602C" w:rsidRDefault="000E7A00" w:rsidP="00D7270A">
      <w:pPr>
        <w:tabs>
          <w:tab w:val="left" w:pos="284"/>
          <w:tab w:val="right" w:pos="8931"/>
        </w:tabs>
        <w:spacing w:before="120" w:after="0" w:line="240" w:lineRule="auto"/>
        <w:rPr>
          <w:rFonts w:ascii="Times New Roman" w:hAnsi="Times New Roman" w:cs="Times New Roman"/>
          <w:sz w:val="24"/>
          <w:szCs w:val="24"/>
        </w:rPr>
      </w:pPr>
      <w:r w:rsidRPr="0034602C">
        <w:rPr>
          <w:rFonts w:ascii="Times New Roman" w:hAnsi="Times New Roman" w:cs="Times New Roman"/>
          <w:sz w:val="24"/>
          <w:szCs w:val="24"/>
        </w:rPr>
        <w:tab/>
      </w:r>
      <w:r w:rsidRPr="000E7A00">
        <w:rPr>
          <w:rFonts w:ascii="Times New Roman" w:hAnsi="Times New Roman" w:cs="Times New Roman"/>
          <w:position w:val="-50"/>
          <w:sz w:val="24"/>
          <w:szCs w:val="24"/>
        </w:rPr>
        <w:object w:dxaOrig="8040" w:dyaOrig="1120">
          <v:shape id="_x0000_i1029" type="#_x0000_t75" style="width:400.7pt;height:55.7pt" o:ole="">
            <v:imagedata r:id="rId17" o:title=""/>
          </v:shape>
          <o:OLEObject Type="Embed" ProgID="Equation.DSMT4" ShapeID="_x0000_i1029" DrawAspect="Content" ObjectID="_1616394649" r:id="rId18"/>
        </w:object>
      </w:r>
      <w:r w:rsidRPr="0034602C">
        <w:rPr>
          <w:rFonts w:ascii="Times New Roman" w:hAnsi="Times New Roman" w:cs="Times New Roman"/>
          <w:sz w:val="24"/>
          <w:szCs w:val="24"/>
        </w:rPr>
        <w:t xml:space="preserve"> </w:t>
      </w:r>
      <w:r w:rsidRPr="0034602C">
        <w:rPr>
          <w:rFonts w:ascii="Times New Roman" w:hAnsi="Times New Roman" w:cs="Times New Roman"/>
          <w:sz w:val="24"/>
          <w:szCs w:val="24"/>
        </w:rPr>
        <w:tab/>
        <w:t>(</w:t>
      </w:r>
      <w:r w:rsidR="00D7270A">
        <w:rPr>
          <w:rFonts w:ascii="Times New Roman" w:hAnsi="Times New Roman" w:cs="Times New Roman"/>
          <w:sz w:val="24"/>
          <w:szCs w:val="24"/>
        </w:rPr>
        <w:t>2.2.</w:t>
      </w:r>
      <w:r w:rsidR="00E41654">
        <w:rPr>
          <w:rFonts w:ascii="Times New Roman" w:hAnsi="Times New Roman" w:cs="Times New Roman"/>
          <w:sz w:val="24"/>
          <w:szCs w:val="24"/>
        </w:rPr>
        <w:t>5</w:t>
      </w:r>
      <w:r w:rsidRPr="0034602C">
        <w:rPr>
          <w:rFonts w:ascii="Times New Roman" w:hAnsi="Times New Roman" w:cs="Times New Roman"/>
          <w:sz w:val="24"/>
          <w:szCs w:val="24"/>
        </w:rPr>
        <w:t>)</w:t>
      </w:r>
    </w:p>
    <w:p w:rsidR="00D731CA" w:rsidRDefault="00E41654" w:rsidP="00C73F7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In the GEMPACK code for GTAP-MVH supplied with this report we include versions of both </w:t>
      </w:r>
      <w:r w:rsidR="0002598B">
        <w:rPr>
          <w:rFonts w:ascii="Times New Roman" w:hAnsi="Times New Roman" w:cs="Times New Roman"/>
          <w:sz w:val="24"/>
          <w:szCs w:val="24"/>
        </w:rPr>
        <w:t>(2.2.</w:t>
      </w:r>
      <w:r>
        <w:rPr>
          <w:rFonts w:ascii="Times New Roman" w:hAnsi="Times New Roman" w:cs="Times New Roman"/>
          <w:sz w:val="24"/>
          <w:szCs w:val="24"/>
        </w:rPr>
        <w:t xml:space="preserve">3) and </w:t>
      </w:r>
      <w:r w:rsidR="0002598B">
        <w:rPr>
          <w:rFonts w:ascii="Times New Roman" w:hAnsi="Times New Roman" w:cs="Times New Roman"/>
          <w:sz w:val="24"/>
          <w:szCs w:val="24"/>
        </w:rPr>
        <w:t>(2.2.</w:t>
      </w:r>
      <w:r>
        <w:rPr>
          <w:rFonts w:ascii="Times New Roman" w:hAnsi="Times New Roman" w:cs="Times New Roman"/>
          <w:sz w:val="24"/>
          <w:szCs w:val="24"/>
        </w:rPr>
        <w:t xml:space="preserve">5) as separate equations.  From a computational point of view we found this more convenient than relying in year-on-year simulations on </w:t>
      </w:r>
      <w:r w:rsidR="0002598B">
        <w:rPr>
          <w:rFonts w:ascii="Times New Roman" w:hAnsi="Times New Roman" w:cs="Times New Roman"/>
          <w:sz w:val="24"/>
          <w:szCs w:val="24"/>
        </w:rPr>
        <w:t>(2.2.</w:t>
      </w:r>
      <w:r>
        <w:rPr>
          <w:rFonts w:ascii="Times New Roman" w:hAnsi="Times New Roman" w:cs="Times New Roman"/>
          <w:sz w:val="24"/>
          <w:szCs w:val="24"/>
        </w:rPr>
        <w:t xml:space="preserve">3) with T = 1.  </w:t>
      </w:r>
    </w:p>
    <w:p w:rsidR="00D7270A" w:rsidRDefault="00550E87" w:rsidP="00550E87">
      <w:pPr>
        <w:spacing w:before="120" w:after="0" w:line="240" w:lineRule="auto"/>
        <w:rPr>
          <w:rFonts w:ascii="Times New Roman" w:hAnsi="Times New Roman" w:cs="Times New Roman"/>
          <w:i/>
          <w:sz w:val="24"/>
          <w:szCs w:val="24"/>
        </w:rPr>
      </w:pPr>
      <w:r>
        <w:rPr>
          <w:rFonts w:ascii="Times New Roman" w:hAnsi="Times New Roman" w:cs="Times New Roman"/>
          <w:i/>
          <w:sz w:val="24"/>
          <w:szCs w:val="24"/>
        </w:rPr>
        <w:t>Income flows on foreign assets and liabilities</w:t>
      </w:r>
      <w:r w:rsidR="00D7270A">
        <w:rPr>
          <w:rFonts w:ascii="Times New Roman" w:hAnsi="Times New Roman" w:cs="Times New Roman"/>
          <w:i/>
          <w:sz w:val="24"/>
          <w:szCs w:val="24"/>
        </w:rPr>
        <w:t>, and net national income</w:t>
      </w:r>
    </w:p>
    <w:p w:rsidR="00D7270A" w:rsidRDefault="00D7270A" w:rsidP="00550E87">
      <w:pPr>
        <w:spacing w:before="120" w:after="0" w:line="240" w:lineRule="auto"/>
        <w:rPr>
          <w:rFonts w:ascii="Times New Roman" w:hAnsi="Times New Roman" w:cs="Times New Roman"/>
          <w:sz w:val="24"/>
          <w:szCs w:val="24"/>
        </w:rPr>
      </w:pPr>
      <w:r>
        <w:rPr>
          <w:rFonts w:ascii="Times New Roman" w:hAnsi="Times New Roman" w:cs="Times New Roman"/>
          <w:sz w:val="24"/>
          <w:szCs w:val="24"/>
        </w:rPr>
        <w:t>In GTAP-MVH, we calculate</w:t>
      </w:r>
      <w:r w:rsidR="00033973">
        <w:rPr>
          <w:rFonts w:ascii="Times New Roman" w:hAnsi="Times New Roman" w:cs="Times New Roman"/>
          <w:sz w:val="24"/>
          <w:szCs w:val="24"/>
        </w:rPr>
        <w:t xml:space="preserve"> for each year:</w:t>
      </w:r>
    </w:p>
    <w:p w:rsidR="00D7270A" w:rsidRDefault="00D7270A" w:rsidP="00D7270A">
      <w:pPr>
        <w:tabs>
          <w:tab w:val="right" w:pos="8931"/>
        </w:tabs>
        <w:spacing w:before="120" w:after="0" w:line="240" w:lineRule="auto"/>
        <w:ind w:left="284"/>
        <w:rPr>
          <w:rFonts w:ascii="Times New Roman" w:hAnsi="Times New Roman" w:cs="Times New Roman"/>
          <w:color w:val="000000"/>
          <w:sz w:val="24"/>
          <w:szCs w:val="24"/>
        </w:rPr>
      </w:pPr>
      <w:r w:rsidRPr="00D7270A">
        <w:rPr>
          <w:rFonts w:ascii="Times New Roman" w:hAnsi="Times New Roman" w:cs="Times New Roman"/>
          <w:sz w:val="24"/>
          <w:szCs w:val="24"/>
        </w:rPr>
        <w:t>YQ_FIRM(r) = VOA(</w:t>
      </w:r>
      <w:r>
        <w:rPr>
          <w:rFonts w:ascii="Times New Roman" w:hAnsi="Times New Roman" w:cs="Times New Roman"/>
          <w:sz w:val="24"/>
          <w:szCs w:val="24"/>
        </w:rPr>
        <w:t>“Capital”</w:t>
      </w:r>
      <w:r w:rsidRPr="00D7270A">
        <w:rPr>
          <w:rFonts w:ascii="Times New Roman" w:hAnsi="Times New Roman" w:cs="Times New Roman"/>
          <w:sz w:val="24"/>
          <w:szCs w:val="24"/>
        </w:rPr>
        <w:t>,r) - VDEP(r)</w:t>
      </w:r>
      <w:r>
        <w:rPr>
          <w:rFonts w:ascii="Times New Roman" w:hAnsi="Times New Roman" w:cs="Times New Roman"/>
          <w:color w:val="000000"/>
          <w:sz w:val="24"/>
          <w:szCs w:val="24"/>
        </w:rPr>
        <w:tab/>
        <w:t>(2.2.6)</w:t>
      </w:r>
    </w:p>
    <w:p w:rsidR="00550E87" w:rsidRDefault="00033973" w:rsidP="00D7270A">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where </w:t>
      </w:r>
    </w:p>
    <w:p w:rsidR="00033973" w:rsidRDefault="00033973" w:rsidP="00033973">
      <w:pPr>
        <w:tabs>
          <w:tab w:val="right" w:pos="8931"/>
        </w:tabs>
        <w:spacing w:after="0" w:line="240" w:lineRule="auto"/>
        <w:ind w:left="284"/>
        <w:rPr>
          <w:rFonts w:ascii="Times New Roman" w:hAnsi="Times New Roman" w:cs="Times New Roman"/>
          <w:sz w:val="24"/>
          <w:szCs w:val="24"/>
        </w:rPr>
      </w:pPr>
      <w:r w:rsidRPr="00D7270A">
        <w:rPr>
          <w:rFonts w:ascii="Times New Roman" w:hAnsi="Times New Roman" w:cs="Times New Roman"/>
          <w:sz w:val="24"/>
          <w:szCs w:val="24"/>
        </w:rPr>
        <w:t>YQ_FIRM(r)</w:t>
      </w:r>
      <w:r>
        <w:rPr>
          <w:rFonts w:ascii="Times New Roman" w:hAnsi="Times New Roman" w:cs="Times New Roman"/>
          <w:sz w:val="24"/>
          <w:szCs w:val="24"/>
        </w:rPr>
        <w:t xml:space="preserve"> is income derived from capital in region r net of depreciation;</w:t>
      </w:r>
    </w:p>
    <w:p w:rsidR="00033973" w:rsidRDefault="00033973" w:rsidP="00033973">
      <w:pPr>
        <w:tabs>
          <w:tab w:val="right" w:pos="8931"/>
        </w:tabs>
        <w:spacing w:after="0" w:line="240" w:lineRule="auto"/>
        <w:ind w:left="284"/>
        <w:rPr>
          <w:rFonts w:ascii="Times New Roman" w:hAnsi="Times New Roman" w:cs="Times New Roman"/>
          <w:sz w:val="24"/>
          <w:szCs w:val="24"/>
        </w:rPr>
      </w:pPr>
      <w:r w:rsidRPr="00D7270A">
        <w:rPr>
          <w:rFonts w:ascii="Times New Roman" w:hAnsi="Times New Roman" w:cs="Times New Roman"/>
          <w:sz w:val="24"/>
          <w:szCs w:val="24"/>
        </w:rPr>
        <w:t>VOA(</w:t>
      </w:r>
      <w:r>
        <w:rPr>
          <w:rFonts w:ascii="Times New Roman" w:hAnsi="Times New Roman" w:cs="Times New Roman"/>
          <w:sz w:val="24"/>
          <w:szCs w:val="24"/>
        </w:rPr>
        <w:t>“Capital”</w:t>
      </w:r>
      <w:r w:rsidRPr="00D7270A">
        <w:rPr>
          <w:rFonts w:ascii="Times New Roman" w:hAnsi="Times New Roman" w:cs="Times New Roman"/>
          <w:sz w:val="24"/>
          <w:szCs w:val="24"/>
        </w:rPr>
        <w:t>,r)</w:t>
      </w:r>
      <w:r>
        <w:rPr>
          <w:rFonts w:ascii="Times New Roman" w:hAnsi="Times New Roman" w:cs="Times New Roman"/>
          <w:sz w:val="24"/>
          <w:szCs w:val="24"/>
        </w:rPr>
        <w:t xml:space="preserve"> is rental income generated by r’s capital; and </w:t>
      </w:r>
    </w:p>
    <w:p w:rsidR="00033973" w:rsidRPr="00D7270A" w:rsidRDefault="00033973" w:rsidP="00033973">
      <w:pPr>
        <w:tabs>
          <w:tab w:val="right" w:pos="8931"/>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VDEP(r) is the value of depreciation of r’s capital.  </w:t>
      </w:r>
    </w:p>
    <w:p w:rsidR="00550E87" w:rsidRDefault="00033973" w:rsidP="000339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VOA</w:t>
      </w:r>
      <w:r w:rsidRPr="00D7270A">
        <w:rPr>
          <w:rFonts w:ascii="Times New Roman" w:hAnsi="Times New Roman" w:cs="Times New Roman"/>
          <w:sz w:val="24"/>
          <w:szCs w:val="24"/>
        </w:rPr>
        <w:t>(</w:t>
      </w:r>
      <w:r>
        <w:rPr>
          <w:rFonts w:ascii="Times New Roman" w:hAnsi="Times New Roman" w:cs="Times New Roman"/>
          <w:sz w:val="24"/>
          <w:szCs w:val="24"/>
        </w:rPr>
        <w:t>“Capital”</w:t>
      </w:r>
      <w:r w:rsidRPr="00D7270A">
        <w:rPr>
          <w:rFonts w:ascii="Times New Roman" w:hAnsi="Times New Roman" w:cs="Times New Roman"/>
          <w:sz w:val="24"/>
          <w:szCs w:val="24"/>
        </w:rPr>
        <w:t>,r)</w:t>
      </w:r>
      <w:r>
        <w:rPr>
          <w:rFonts w:ascii="Times New Roman" w:hAnsi="Times New Roman" w:cs="Times New Roman"/>
          <w:sz w:val="24"/>
          <w:szCs w:val="24"/>
        </w:rPr>
        <w:t xml:space="preserve"> and VDEP(r) are coefficients with associated variables that appear in standard GTAP.  </w:t>
      </w:r>
    </w:p>
    <w:p w:rsidR="00033973" w:rsidRDefault="00033973" w:rsidP="0003397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We split </w:t>
      </w:r>
      <w:r w:rsidRPr="00D7270A">
        <w:rPr>
          <w:rFonts w:ascii="Times New Roman" w:hAnsi="Times New Roman" w:cs="Times New Roman"/>
          <w:sz w:val="24"/>
          <w:szCs w:val="24"/>
        </w:rPr>
        <w:t>YQ_FIRM(r)</w:t>
      </w:r>
      <w:r>
        <w:rPr>
          <w:rFonts w:ascii="Times New Roman" w:hAnsi="Times New Roman" w:cs="Times New Roman"/>
          <w:sz w:val="24"/>
          <w:szCs w:val="24"/>
        </w:rPr>
        <w:t xml:space="preserve"> between payments to domestic owners of capital </w:t>
      </w:r>
      <w:r w:rsidR="007806BB">
        <w:rPr>
          <w:rFonts w:ascii="Times New Roman" w:hAnsi="Times New Roman" w:cs="Times New Roman"/>
          <w:sz w:val="24"/>
          <w:szCs w:val="24"/>
        </w:rPr>
        <w:t xml:space="preserve">[YQHFIRM(r)] </w:t>
      </w:r>
      <w:r>
        <w:rPr>
          <w:rFonts w:ascii="Times New Roman" w:hAnsi="Times New Roman" w:cs="Times New Roman"/>
          <w:sz w:val="24"/>
          <w:szCs w:val="24"/>
        </w:rPr>
        <w:t xml:space="preserve">and payments to the Global Trust </w:t>
      </w:r>
      <w:r w:rsidR="007806BB">
        <w:rPr>
          <w:rFonts w:ascii="Times New Roman" w:hAnsi="Times New Roman" w:cs="Times New Roman"/>
          <w:sz w:val="24"/>
          <w:szCs w:val="24"/>
        </w:rPr>
        <w:t>[YQTFIRM(r)] according to ownership shares:</w:t>
      </w:r>
    </w:p>
    <w:p w:rsidR="007806BB" w:rsidRDefault="007806BB" w:rsidP="007806BB">
      <w:pPr>
        <w:tabs>
          <w:tab w:val="right" w:pos="8931"/>
        </w:tabs>
        <w:spacing w:before="120" w:after="0" w:line="240" w:lineRule="auto"/>
        <w:ind w:left="284"/>
        <w:rPr>
          <w:rFonts w:ascii="Times New Roman" w:hAnsi="Times New Roman" w:cs="Times New Roman"/>
          <w:color w:val="000000"/>
          <w:sz w:val="24"/>
          <w:szCs w:val="24"/>
        </w:rPr>
      </w:pPr>
      <w:r w:rsidRPr="007806BB">
        <w:rPr>
          <w:rFonts w:ascii="Times New Roman" w:hAnsi="Times New Roman" w:cs="Times New Roman"/>
          <w:position w:val="-28"/>
          <w:sz w:val="24"/>
          <w:szCs w:val="24"/>
        </w:rPr>
        <w:object w:dxaOrig="4700" w:dyaOrig="660">
          <v:shape id="_x0000_i1030" type="#_x0000_t75" style="width:234.8pt;height:31.95pt" o:ole="">
            <v:imagedata r:id="rId19" o:title=""/>
          </v:shape>
          <o:OLEObject Type="Embed" ProgID="Equation.DSMT4" ShapeID="_x0000_i1030" DrawAspect="Content" ObjectID="_1616394650" r:id="rId20"/>
        </w:object>
      </w:r>
      <w:r>
        <w:rPr>
          <w:rFonts w:ascii="Times New Roman" w:hAnsi="Times New Roman" w:cs="Times New Roman"/>
          <w:color w:val="000000"/>
          <w:sz w:val="24"/>
          <w:szCs w:val="24"/>
        </w:rPr>
        <w:tab/>
        <w:t>(2.2.7)</w:t>
      </w:r>
    </w:p>
    <w:p w:rsidR="007806BB" w:rsidRDefault="007806BB" w:rsidP="007806BB">
      <w:pPr>
        <w:tabs>
          <w:tab w:val="right" w:pos="8931"/>
        </w:tabs>
        <w:spacing w:before="120"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and</w:t>
      </w:r>
    </w:p>
    <w:p w:rsidR="007806BB" w:rsidRDefault="007806BB" w:rsidP="007806BB">
      <w:pPr>
        <w:tabs>
          <w:tab w:val="right" w:pos="8931"/>
        </w:tabs>
        <w:spacing w:before="120" w:after="0" w:line="240" w:lineRule="auto"/>
        <w:ind w:left="284"/>
        <w:rPr>
          <w:rFonts w:ascii="Times New Roman" w:hAnsi="Times New Roman" w:cs="Times New Roman"/>
          <w:color w:val="000000"/>
          <w:sz w:val="24"/>
          <w:szCs w:val="24"/>
        </w:rPr>
      </w:pPr>
      <w:r w:rsidRPr="007806BB">
        <w:rPr>
          <w:rFonts w:ascii="Times New Roman" w:hAnsi="Times New Roman" w:cs="Times New Roman"/>
          <w:position w:val="-28"/>
          <w:sz w:val="24"/>
          <w:szCs w:val="24"/>
        </w:rPr>
        <w:object w:dxaOrig="4660" w:dyaOrig="660">
          <v:shape id="_x0000_i1031" type="#_x0000_t75" style="width:232.9pt;height:31.95pt" o:ole="">
            <v:imagedata r:id="rId21" o:title=""/>
          </v:shape>
          <o:OLEObject Type="Embed" ProgID="Equation.DSMT4" ShapeID="_x0000_i1031" DrawAspect="Content" ObjectID="_1616394651" r:id="rId22"/>
        </w:object>
      </w:r>
      <w:r>
        <w:rPr>
          <w:rFonts w:ascii="Times New Roman" w:hAnsi="Times New Roman" w:cs="Times New Roman"/>
          <w:color w:val="000000"/>
          <w:sz w:val="24"/>
          <w:szCs w:val="24"/>
        </w:rPr>
        <w:tab/>
        <w:t>(2.2.8)</w:t>
      </w:r>
    </w:p>
    <w:p w:rsidR="007806BB" w:rsidRDefault="007806BB" w:rsidP="00033973">
      <w:pPr>
        <w:spacing w:before="120" w:after="0" w:line="240" w:lineRule="auto"/>
        <w:rPr>
          <w:rFonts w:ascii="Times New Roman" w:hAnsi="Times New Roman" w:cs="Times New Roman"/>
          <w:sz w:val="24"/>
          <w:szCs w:val="24"/>
        </w:rPr>
      </w:pPr>
      <w:r>
        <w:rPr>
          <w:rFonts w:ascii="Times New Roman" w:hAnsi="Times New Roman" w:cs="Times New Roman"/>
          <w:sz w:val="24"/>
          <w:szCs w:val="24"/>
        </w:rPr>
        <w:t>The total income of the Global Trust (YQTRUST) is then given by</w:t>
      </w:r>
    </w:p>
    <w:p w:rsidR="00AB7B80" w:rsidRDefault="00AB7B80" w:rsidP="00AB7B80">
      <w:pPr>
        <w:tabs>
          <w:tab w:val="right" w:pos="8931"/>
        </w:tabs>
        <w:spacing w:before="120" w:after="0" w:line="240" w:lineRule="auto"/>
        <w:ind w:left="284"/>
        <w:rPr>
          <w:rFonts w:ascii="Times New Roman" w:hAnsi="Times New Roman" w:cs="Times New Roman"/>
          <w:color w:val="000000"/>
          <w:sz w:val="24"/>
          <w:szCs w:val="24"/>
        </w:rPr>
      </w:pPr>
      <w:r w:rsidRPr="007806BB">
        <w:rPr>
          <w:rFonts w:ascii="Times New Roman" w:hAnsi="Times New Roman" w:cs="Times New Roman"/>
          <w:position w:val="-28"/>
          <w:sz w:val="24"/>
          <w:szCs w:val="24"/>
        </w:rPr>
        <w:object w:dxaOrig="3060" w:dyaOrig="540">
          <v:shape id="_x0000_i1032" type="#_x0000_t75" style="width:152.75pt;height:26.9pt" o:ole="">
            <v:imagedata r:id="rId23" o:title=""/>
          </v:shape>
          <o:OLEObject Type="Embed" ProgID="Equation.DSMT4" ShapeID="_x0000_i1032" DrawAspect="Content" ObjectID="_1616394652" r:id="rId24"/>
        </w:object>
      </w:r>
      <w:r>
        <w:rPr>
          <w:rFonts w:ascii="Times New Roman" w:hAnsi="Times New Roman" w:cs="Times New Roman"/>
          <w:color w:val="000000"/>
          <w:sz w:val="24"/>
          <w:szCs w:val="24"/>
        </w:rPr>
        <w:tab/>
        <w:t>(2.2.9)</w:t>
      </w:r>
    </w:p>
    <w:p w:rsidR="007806BB" w:rsidRDefault="007806BB" w:rsidP="0003397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Global Trust distributes its income to the regions </w:t>
      </w:r>
      <w:r w:rsidR="00AB7B80">
        <w:rPr>
          <w:rFonts w:ascii="Times New Roman" w:hAnsi="Times New Roman" w:cs="Times New Roman"/>
          <w:sz w:val="24"/>
          <w:szCs w:val="24"/>
        </w:rPr>
        <w:t>according to their ownership shares in the trust.  This is represented as:</w:t>
      </w:r>
    </w:p>
    <w:p w:rsidR="00AB7B80" w:rsidRDefault="00AB7B80" w:rsidP="00AB7B80">
      <w:pPr>
        <w:tabs>
          <w:tab w:val="right" w:pos="8931"/>
        </w:tabs>
        <w:spacing w:before="120" w:after="0" w:line="240" w:lineRule="auto"/>
        <w:ind w:left="284"/>
        <w:rPr>
          <w:rFonts w:ascii="Times New Roman" w:hAnsi="Times New Roman" w:cs="Times New Roman"/>
          <w:color w:val="000000"/>
          <w:sz w:val="24"/>
          <w:szCs w:val="24"/>
        </w:rPr>
      </w:pPr>
      <w:r w:rsidRPr="007806BB">
        <w:rPr>
          <w:rFonts w:ascii="Times New Roman" w:hAnsi="Times New Roman" w:cs="Times New Roman"/>
          <w:position w:val="-28"/>
          <w:sz w:val="24"/>
          <w:szCs w:val="24"/>
        </w:rPr>
        <w:object w:dxaOrig="4800" w:dyaOrig="660">
          <v:shape id="_x0000_i1033" type="#_x0000_t75" style="width:240.4pt;height:31.95pt" o:ole="">
            <v:imagedata r:id="rId25" o:title=""/>
          </v:shape>
          <o:OLEObject Type="Embed" ProgID="Equation.DSMT4" ShapeID="_x0000_i1033" DrawAspect="Content" ObjectID="_1616394653" r:id="rId26"/>
        </w:object>
      </w:r>
      <w:r>
        <w:rPr>
          <w:rFonts w:ascii="Times New Roman" w:hAnsi="Times New Roman" w:cs="Times New Roman"/>
          <w:color w:val="000000"/>
          <w:sz w:val="24"/>
          <w:szCs w:val="24"/>
        </w:rPr>
        <w:tab/>
        <w:t>(2.2.10)</w:t>
      </w:r>
    </w:p>
    <w:p w:rsidR="00AB7B80" w:rsidRDefault="00AB7B80" w:rsidP="00AB7B8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where </w:t>
      </w:r>
    </w:p>
    <w:p w:rsidR="00AB7B80" w:rsidRDefault="00AB7B80" w:rsidP="00AB7B80">
      <w:pPr>
        <w:tabs>
          <w:tab w:val="right" w:pos="8931"/>
        </w:tabs>
        <w:spacing w:after="0" w:line="240" w:lineRule="auto"/>
        <w:ind w:left="284"/>
        <w:rPr>
          <w:rFonts w:ascii="Times New Roman" w:hAnsi="Times New Roman" w:cs="Times New Roman"/>
          <w:sz w:val="24"/>
          <w:szCs w:val="24"/>
        </w:rPr>
      </w:pPr>
      <w:r w:rsidRPr="00D7270A">
        <w:rPr>
          <w:rFonts w:ascii="Times New Roman" w:hAnsi="Times New Roman" w:cs="Times New Roman"/>
          <w:sz w:val="24"/>
          <w:szCs w:val="24"/>
        </w:rPr>
        <w:t>YQ</w:t>
      </w:r>
      <w:r>
        <w:rPr>
          <w:rFonts w:ascii="Times New Roman" w:hAnsi="Times New Roman" w:cs="Times New Roman"/>
          <w:sz w:val="24"/>
          <w:szCs w:val="24"/>
        </w:rPr>
        <w:t>HTRUST</w:t>
      </w:r>
      <w:r w:rsidRPr="00D7270A">
        <w:rPr>
          <w:rFonts w:ascii="Times New Roman" w:hAnsi="Times New Roman" w:cs="Times New Roman"/>
          <w:sz w:val="24"/>
          <w:szCs w:val="24"/>
        </w:rPr>
        <w:t>(r)</w:t>
      </w:r>
      <w:r>
        <w:rPr>
          <w:rFonts w:ascii="Times New Roman" w:hAnsi="Times New Roman" w:cs="Times New Roman"/>
          <w:sz w:val="24"/>
          <w:szCs w:val="24"/>
        </w:rPr>
        <w:t xml:space="preserve"> is region r’s receipts from its ownership of foreign assets. </w:t>
      </w:r>
    </w:p>
    <w:p w:rsidR="00AB7B80" w:rsidRDefault="00AB7B80" w:rsidP="0003397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We can now calculate net national product or income for region r [NNP(r)] as </w:t>
      </w:r>
    </w:p>
    <w:p w:rsidR="00AB7B80" w:rsidRDefault="00962307" w:rsidP="00AB7B80">
      <w:pPr>
        <w:tabs>
          <w:tab w:val="right" w:pos="8931"/>
        </w:tabs>
        <w:spacing w:before="120" w:after="0" w:line="240" w:lineRule="auto"/>
        <w:ind w:left="284"/>
        <w:rPr>
          <w:rFonts w:ascii="Times New Roman" w:hAnsi="Times New Roman" w:cs="Times New Roman"/>
          <w:color w:val="000000"/>
          <w:sz w:val="24"/>
          <w:szCs w:val="24"/>
        </w:rPr>
      </w:pPr>
      <w:r w:rsidRPr="00AB7B80">
        <w:rPr>
          <w:rFonts w:ascii="Times New Roman" w:hAnsi="Times New Roman" w:cs="Times New Roman"/>
          <w:position w:val="-10"/>
          <w:sz w:val="24"/>
          <w:szCs w:val="24"/>
        </w:rPr>
        <w:object w:dxaOrig="6220" w:dyaOrig="320">
          <v:shape id="_x0000_i1034" type="#_x0000_t75" style="width:311.15pt;height:16.3pt" o:ole="">
            <v:imagedata r:id="rId27" o:title=""/>
          </v:shape>
          <o:OLEObject Type="Embed" ProgID="Equation.DSMT4" ShapeID="_x0000_i1034" DrawAspect="Content" ObjectID="_1616394654" r:id="rId28"/>
        </w:object>
      </w:r>
      <w:r w:rsidR="00AB7B80">
        <w:rPr>
          <w:rFonts w:ascii="Times New Roman" w:hAnsi="Times New Roman" w:cs="Times New Roman"/>
          <w:color w:val="000000"/>
          <w:sz w:val="24"/>
          <w:szCs w:val="24"/>
        </w:rPr>
        <w:tab/>
        <w:t>(2.2.1</w:t>
      </w:r>
      <w:r w:rsidR="00F818DE">
        <w:rPr>
          <w:rFonts w:ascii="Times New Roman" w:hAnsi="Times New Roman" w:cs="Times New Roman"/>
          <w:color w:val="000000"/>
          <w:sz w:val="24"/>
          <w:szCs w:val="24"/>
        </w:rPr>
        <w:t>1</w:t>
      </w:r>
      <w:r w:rsidR="00AB7B80">
        <w:rPr>
          <w:rFonts w:ascii="Times New Roman" w:hAnsi="Times New Roman" w:cs="Times New Roman"/>
          <w:color w:val="000000"/>
          <w:sz w:val="24"/>
          <w:szCs w:val="24"/>
        </w:rPr>
        <w:t>)</w:t>
      </w:r>
    </w:p>
    <w:p w:rsidR="00AB7B80" w:rsidRDefault="00F818DE" w:rsidP="00033973">
      <w:pPr>
        <w:spacing w:before="120" w:after="0" w:line="240" w:lineRule="auto"/>
        <w:rPr>
          <w:rFonts w:ascii="Times New Roman" w:hAnsi="Times New Roman" w:cs="Times New Roman"/>
          <w:sz w:val="24"/>
          <w:szCs w:val="24"/>
        </w:rPr>
      </w:pPr>
      <w:r>
        <w:rPr>
          <w:rFonts w:ascii="Times New Roman" w:hAnsi="Times New Roman" w:cs="Times New Roman"/>
          <w:sz w:val="24"/>
          <w:szCs w:val="24"/>
        </w:rPr>
        <w:t>NNP(r) corresponds to the GTAP coefficient INCOME(r) with the associat</w:t>
      </w:r>
      <w:r w:rsidR="00BE4573">
        <w:rPr>
          <w:rFonts w:ascii="Times New Roman" w:hAnsi="Times New Roman" w:cs="Times New Roman"/>
          <w:sz w:val="24"/>
          <w:szCs w:val="24"/>
        </w:rPr>
        <w:t xml:space="preserve">ed income y(r).  </w:t>
      </w:r>
    </w:p>
    <w:p w:rsidR="000B7873" w:rsidRPr="0034602C" w:rsidRDefault="000B7873" w:rsidP="000B7873">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E41654">
        <w:rPr>
          <w:rFonts w:ascii="Times New Roman" w:hAnsi="Times New Roman" w:cs="Times New Roman"/>
          <w:b/>
          <w:i/>
          <w:sz w:val="24"/>
          <w:szCs w:val="24"/>
        </w:rPr>
        <w:t>3</w:t>
      </w:r>
      <w:r>
        <w:rPr>
          <w:rFonts w:ascii="Times New Roman" w:hAnsi="Times New Roman" w:cs="Times New Roman"/>
          <w:b/>
          <w:i/>
          <w:sz w:val="24"/>
          <w:szCs w:val="24"/>
        </w:rPr>
        <w:t>.  S</w:t>
      </w:r>
      <w:r w:rsidRPr="0034602C">
        <w:rPr>
          <w:rFonts w:ascii="Times New Roman" w:hAnsi="Times New Roman" w:cs="Times New Roman"/>
          <w:b/>
          <w:i/>
          <w:sz w:val="24"/>
          <w:szCs w:val="24"/>
        </w:rPr>
        <w:t>aving, investment, capital</w:t>
      </w:r>
      <w:r>
        <w:rPr>
          <w:rFonts w:ascii="Times New Roman" w:hAnsi="Times New Roman" w:cs="Times New Roman"/>
          <w:b/>
          <w:i/>
          <w:sz w:val="24"/>
          <w:szCs w:val="24"/>
        </w:rPr>
        <w:t xml:space="preserve">, rates of return and investment/saving balance </w:t>
      </w:r>
      <w:r w:rsidR="00475925">
        <w:rPr>
          <w:rFonts w:ascii="Times New Roman" w:hAnsi="Times New Roman" w:cs="Times New Roman"/>
          <w:b/>
          <w:i/>
          <w:sz w:val="24"/>
          <w:szCs w:val="24"/>
        </w:rPr>
        <w:t>in the simulation year</w:t>
      </w:r>
    </w:p>
    <w:p w:rsidR="00C20C6D" w:rsidRDefault="002F2337" w:rsidP="000B787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In year-on-year simulations, start-of-year capital stocks for each region are predetermined, reflecting depreciated capital stocks from the start of the previous year plus investment during the previous year.  In standard GTAP, these predetermined capital stocks have no industry specificity: start-of-year capital is completely mobile between industries.  As we will see shortly, a contribution of this paper is to show how industry specificity can be introduced.  However, from the point of view of this subsection it is not misleading to go on thinking in </w:t>
      </w:r>
      <w:r w:rsidR="00C20C6D">
        <w:rPr>
          <w:rFonts w:ascii="Times New Roman" w:hAnsi="Times New Roman" w:cs="Times New Roman"/>
          <w:sz w:val="24"/>
          <w:szCs w:val="24"/>
        </w:rPr>
        <w:t xml:space="preserve">standard GTAP </w:t>
      </w:r>
      <w:r>
        <w:rPr>
          <w:rFonts w:ascii="Times New Roman" w:hAnsi="Times New Roman" w:cs="Times New Roman"/>
          <w:sz w:val="24"/>
          <w:szCs w:val="24"/>
        </w:rPr>
        <w:t xml:space="preserve">terms </w:t>
      </w:r>
      <w:r w:rsidR="00C20C6D">
        <w:rPr>
          <w:rFonts w:ascii="Times New Roman" w:hAnsi="Times New Roman" w:cs="Times New Roman"/>
          <w:sz w:val="24"/>
          <w:szCs w:val="24"/>
        </w:rPr>
        <w:t xml:space="preserve">in which the start-of-year capital stock for each country is a homogeneous entity inherited form the previous period.  In long-run simulations start-of-year capital stock in the simulation year is determined via the mechanisms discussed in the previous subsection: global capital stock at the start of the simulation year is determined primarily by global saving accumulated over the simulation period and regional capital stocks are then determined by distributing the global capital stock to equalize rates of return.  So in both year-on-year and long-run simulations we arrive at the start of the simulation year with capital stocks by region essentially in place.  </w:t>
      </w:r>
    </w:p>
    <w:p w:rsidR="002F2337" w:rsidRDefault="00C20C6D" w:rsidP="000B787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With capital stocks essentially in place, we need to endogenize an overall rate of return on capital in each region.  </w:t>
      </w:r>
      <w:r w:rsidR="00C45942">
        <w:rPr>
          <w:rFonts w:ascii="Times New Roman" w:hAnsi="Times New Roman" w:cs="Times New Roman"/>
          <w:sz w:val="24"/>
          <w:szCs w:val="24"/>
        </w:rPr>
        <w:t xml:space="preserve">This is required to reconcile the availability of capital with the demand for capital in the simulation year.  If the demand for capital in the simulation year is strong, then the use of capital must be chocked off by high rental rates implying high rates of </w:t>
      </w:r>
      <w:r w:rsidR="00C45942">
        <w:rPr>
          <w:rFonts w:ascii="Times New Roman" w:hAnsi="Times New Roman" w:cs="Times New Roman"/>
          <w:sz w:val="24"/>
          <w:szCs w:val="24"/>
        </w:rPr>
        <w:lastRenderedPageBreak/>
        <w:t xml:space="preserve">return.  </w:t>
      </w:r>
      <w:r>
        <w:rPr>
          <w:rFonts w:ascii="Times New Roman" w:hAnsi="Times New Roman" w:cs="Times New Roman"/>
          <w:sz w:val="24"/>
          <w:szCs w:val="24"/>
        </w:rPr>
        <w:t>[</w:t>
      </w:r>
      <w:r w:rsidR="00C45942">
        <w:rPr>
          <w:rFonts w:ascii="Times New Roman" w:hAnsi="Times New Roman" w:cs="Times New Roman"/>
          <w:sz w:val="24"/>
          <w:szCs w:val="24"/>
        </w:rPr>
        <w:t xml:space="preserve">As explained in the next subsection, the introduction of industry-specific capital will require endogenization of industry-specific rates of return in each region.]  </w:t>
      </w:r>
    </w:p>
    <w:p w:rsidR="00C45942" w:rsidRDefault="00C45942" w:rsidP="000B787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GTAP includes equations that relate investment in each region in the simulation year to rates of return on capital in the region (determined as described by the scarcity of start-of-year capital) compared with the rate of return or rate of interest on a risk-free asset.  </w:t>
      </w:r>
      <w:r w:rsidR="00DB7BDF">
        <w:rPr>
          <w:rFonts w:ascii="Times New Roman" w:hAnsi="Times New Roman" w:cs="Times New Roman"/>
          <w:sz w:val="24"/>
          <w:szCs w:val="24"/>
        </w:rPr>
        <w:t xml:space="preserve">Saving in each region in the simulation year is determined primarily by regional income in the simulation year.  With this set up, regions with high rates of return will tend to have </w:t>
      </w:r>
      <w:r w:rsidR="00A90F55">
        <w:rPr>
          <w:rFonts w:ascii="Times New Roman" w:hAnsi="Times New Roman" w:cs="Times New Roman"/>
          <w:sz w:val="24"/>
          <w:szCs w:val="24"/>
        </w:rPr>
        <w:t xml:space="preserve">positive investment/saving balances resulting in negative trade balances (that is imports greater than exports) while the opposite is true for regions with low rates of return.  But how do we ensure that global investment equals global saving, or equivalently, that global trade balances sum to zero?  This is done by endogenizing the world-wide safe rate of interest (rorg in GTAP notation).  </w:t>
      </w:r>
    </w:p>
    <w:p w:rsidR="00F76AAD" w:rsidRDefault="00F76AAD" w:rsidP="00F76AAD">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2.4.  Introducing industry-specific capital</w:t>
      </w:r>
    </w:p>
    <w:p w:rsidR="002472D4" w:rsidRPr="002472D4" w:rsidRDefault="002472D4" w:rsidP="00CD04E6">
      <w:pPr>
        <w:tabs>
          <w:tab w:val="right" w:pos="8789"/>
        </w:tabs>
        <w:spacing w:before="120" w:after="0" w:line="240" w:lineRule="auto"/>
        <w:rPr>
          <w:rFonts w:ascii="Times New Roman" w:hAnsi="Times New Roman" w:cs="Times New Roman"/>
          <w:i/>
          <w:sz w:val="24"/>
          <w:szCs w:val="24"/>
        </w:rPr>
      </w:pPr>
      <w:r>
        <w:rPr>
          <w:rFonts w:ascii="Times New Roman" w:hAnsi="Times New Roman" w:cs="Times New Roman"/>
          <w:i/>
          <w:sz w:val="24"/>
          <w:szCs w:val="24"/>
        </w:rPr>
        <w:t>Start-of-year industry-specific capital stocks</w:t>
      </w:r>
    </w:p>
    <w:p w:rsidR="00CD04E6" w:rsidRDefault="00CD04E6" w:rsidP="00CD04E6">
      <w:pPr>
        <w:tabs>
          <w:tab w:val="right" w:pos="8789"/>
        </w:tabs>
        <w:spacing w:before="120" w:after="0" w:line="240" w:lineRule="auto"/>
        <w:rPr>
          <w:rFonts w:ascii="Times New Roman" w:hAnsi="Times New Roman" w:cs="Times New Roman"/>
          <w:sz w:val="24"/>
          <w:szCs w:val="24"/>
        </w:rPr>
      </w:pPr>
      <w:r>
        <w:rPr>
          <w:rFonts w:ascii="Times New Roman" w:hAnsi="Times New Roman" w:cs="Times New Roman"/>
          <w:sz w:val="24"/>
          <w:szCs w:val="24"/>
        </w:rPr>
        <w:t>In</w:t>
      </w:r>
      <w:r w:rsidR="00CE61C2">
        <w:rPr>
          <w:rFonts w:ascii="Times New Roman" w:hAnsi="Times New Roman" w:cs="Times New Roman"/>
          <w:sz w:val="24"/>
          <w:szCs w:val="24"/>
        </w:rPr>
        <w:t xml:space="preserve"> </w:t>
      </w:r>
      <w:r>
        <w:rPr>
          <w:rFonts w:ascii="Times New Roman" w:hAnsi="Times New Roman" w:cs="Times New Roman"/>
          <w:sz w:val="24"/>
          <w:szCs w:val="24"/>
        </w:rPr>
        <w:t xml:space="preserve">equipping </w:t>
      </w:r>
      <w:r w:rsidR="00CE61C2">
        <w:rPr>
          <w:rFonts w:ascii="Times New Roman" w:hAnsi="Times New Roman" w:cs="Times New Roman"/>
          <w:sz w:val="24"/>
          <w:szCs w:val="24"/>
        </w:rPr>
        <w:t>GTAP-MVH with the capability for simulations in which capital in each region is industry specific</w:t>
      </w:r>
      <w:r w:rsidR="00BE4573">
        <w:rPr>
          <w:rFonts w:ascii="Times New Roman" w:hAnsi="Times New Roman" w:cs="Times New Roman"/>
          <w:sz w:val="24"/>
          <w:szCs w:val="24"/>
        </w:rPr>
        <w:t xml:space="preserve"> and </w:t>
      </w:r>
      <w:r w:rsidR="00CE61C2">
        <w:rPr>
          <w:rFonts w:ascii="Times New Roman" w:hAnsi="Times New Roman" w:cs="Times New Roman"/>
          <w:sz w:val="24"/>
          <w:szCs w:val="24"/>
        </w:rPr>
        <w:t xml:space="preserve">immobile between industries, we </w:t>
      </w:r>
      <w:r>
        <w:rPr>
          <w:rFonts w:ascii="Times New Roman" w:hAnsi="Times New Roman" w:cs="Times New Roman"/>
          <w:sz w:val="24"/>
          <w:szCs w:val="24"/>
        </w:rPr>
        <w:t xml:space="preserve">started by </w:t>
      </w:r>
      <w:r w:rsidR="00CE61C2">
        <w:rPr>
          <w:rFonts w:ascii="Times New Roman" w:hAnsi="Times New Roman" w:cs="Times New Roman"/>
          <w:sz w:val="24"/>
          <w:szCs w:val="24"/>
        </w:rPr>
        <w:t>add</w:t>
      </w:r>
      <w:r>
        <w:rPr>
          <w:rFonts w:ascii="Times New Roman" w:hAnsi="Times New Roman" w:cs="Times New Roman"/>
          <w:sz w:val="24"/>
          <w:szCs w:val="24"/>
        </w:rPr>
        <w:t>ing</w:t>
      </w:r>
      <w:r w:rsidR="00CE61C2">
        <w:rPr>
          <w:rFonts w:ascii="Times New Roman" w:hAnsi="Times New Roman" w:cs="Times New Roman"/>
          <w:sz w:val="24"/>
          <w:szCs w:val="24"/>
        </w:rPr>
        <w:t xml:space="preserve"> the equation</w:t>
      </w:r>
      <w:r>
        <w:rPr>
          <w:rFonts w:ascii="Times New Roman" w:hAnsi="Times New Roman" w:cs="Times New Roman"/>
          <w:sz w:val="24"/>
          <w:szCs w:val="24"/>
        </w:rPr>
        <w:t>:</w:t>
      </w:r>
    </w:p>
    <w:p w:rsidR="00C41887" w:rsidRDefault="00C41887" w:rsidP="00C41887">
      <w:pPr>
        <w:tabs>
          <w:tab w:val="right" w:pos="8931"/>
        </w:tabs>
        <w:spacing w:before="120" w:after="0" w:line="240" w:lineRule="auto"/>
        <w:rPr>
          <w:rFonts w:ascii="Times New Roman" w:hAnsi="Times New Roman" w:cs="Times New Roman"/>
          <w:sz w:val="24"/>
          <w:szCs w:val="24"/>
        </w:rPr>
      </w:pPr>
      <w:r w:rsidRPr="00C41887">
        <w:rPr>
          <w:rFonts w:ascii="Times New Roman" w:hAnsi="Times New Roman" w:cs="Times New Roman"/>
          <w:position w:val="-34"/>
          <w:sz w:val="24"/>
          <w:szCs w:val="24"/>
        </w:rPr>
        <w:object w:dxaOrig="8199" w:dyaOrig="800">
          <v:shape id="_x0000_i1035" type="#_x0000_t75" style="width:410.1pt;height:40.05pt" o:ole="">
            <v:imagedata r:id="rId29" o:title=""/>
          </v:shape>
          <o:OLEObject Type="Embed" ProgID="Equation.DSMT4" ShapeID="_x0000_i1035" DrawAspect="Content" ObjectID="_1616394655" r:id="rId30"/>
        </w:object>
      </w:r>
      <w:r>
        <w:rPr>
          <w:rFonts w:ascii="Times New Roman" w:hAnsi="Times New Roman" w:cs="Times New Roman"/>
          <w:sz w:val="24"/>
          <w:szCs w:val="24"/>
        </w:rPr>
        <w:t xml:space="preserve"> </w:t>
      </w:r>
      <w:r>
        <w:rPr>
          <w:rFonts w:ascii="Times New Roman" w:hAnsi="Times New Roman" w:cs="Times New Roman"/>
          <w:sz w:val="24"/>
          <w:szCs w:val="24"/>
        </w:rPr>
        <w:tab/>
        <w:t>(2.4.1)</w:t>
      </w:r>
    </w:p>
    <w:p w:rsidR="00CE61C2" w:rsidRDefault="00CD04E6" w:rsidP="00CD04E6">
      <w:pPr>
        <w:spacing w:before="20" w:after="20" w:line="240" w:lineRule="auto"/>
        <w:rPr>
          <w:rFonts w:ascii="Times New Roman" w:hAnsi="Times New Roman" w:cs="Times New Roman"/>
          <w:sz w:val="24"/>
          <w:szCs w:val="24"/>
        </w:rPr>
      </w:pPr>
      <w:r>
        <w:rPr>
          <w:rFonts w:ascii="Times New Roman" w:hAnsi="Times New Roman" w:cs="Times New Roman"/>
          <w:sz w:val="24"/>
          <w:szCs w:val="24"/>
        </w:rPr>
        <w:t>In this equation</w:t>
      </w:r>
      <w:r w:rsidR="00524FED">
        <w:rPr>
          <w:rFonts w:ascii="Times New Roman" w:hAnsi="Times New Roman" w:cs="Times New Roman"/>
          <w:sz w:val="24"/>
          <w:szCs w:val="24"/>
        </w:rPr>
        <w:t xml:space="preserve"> the variables are:</w:t>
      </w:r>
    </w:p>
    <w:p w:rsidR="00CD04E6" w:rsidRDefault="00CD04E6" w:rsidP="007042C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kb_i(j,r)</w:t>
      </w:r>
      <w:r w:rsidR="00524FED">
        <w:rPr>
          <w:rFonts w:ascii="Times New Roman" w:hAnsi="Times New Roman" w:cs="Times New Roman"/>
          <w:sz w:val="24"/>
          <w:szCs w:val="24"/>
        </w:rPr>
        <w:t xml:space="preserve"> which</w:t>
      </w:r>
      <w:r>
        <w:rPr>
          <w:rFonts w:ascii="Times New Roman" w:hAnsi="Times New Roman" w:cs="Times New Roman"/>
          <w:sz w:val="24"/>
          <w:szCs w:val="24"/>
        </w:rPr>
        <w:t xml:space="preserve"> is the percentage change in the quantity of start-of-year capital in industry j in region r.  In year-on-year simulations this is the percentage difference between capital available to industry j,r at the beginning of year t (that is capital that j,r can use in production during year t) and capital available to industry j,r at the beginning of </w:t>
      </w:r>
      <w:r w:rsidR="007042C4">
        <w:rPr>
          <w:rFonts w:ascii="Times New Roman" w:hAnsi="Times New Roman" w:cs="Times New Roman"/>
          <w:sz w:val="24"/>
          <w:szCs w:val="24"/>
        </w:rPr>
        <w:t xml:space="preserve">the previous </w:t>
      </w:r>
      <w:r>
        <w:rPr>
          <w:rFonts w:ascii="Times New Roman" w:hAnsi="Times New Roman" w:cs="Times New Roman"/>
          <w:sz w:val="24"/>
          <w:szCs w:val="24"/>
        </w:rPr>
        <w:t>year</w:t>
      </w:r>
      <w:r w:rsidR="007042C4">
        <w:rPr>
          <w:rFonts w:ascii="Times New Roman" w:hAnsi="Times New Roman" w:cs="Times New Roman"/>
          <w:sz w:val="24"/>
          <w:szCs w:val="24"/>
        </w:rPr>
        <w:t xml:space="preserve">, </w:t>
      </w:r>
      <w:r>
        <w:rPr>
          <w:rFonts w:ascii="Times New Roman" w:hAnsi="Times New Roman" w:cs="Times New Roman"/>
          <w:sz w:val="24"/>
          <w:szCs w:val="24"/>
        </w:rPr>
        <w:t xml:space="preserve">t-1.  </w:t>
      </w:r>
    </w:p>
    <w:p w:rsidR="007042C4" w:rsidRDefault="007042C4" w:rsidP="007042C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pcgds_l(r) </w:t>
      </w:r>
      <w:r w:rsidR="00524FED">
        <w:rPr>
          <w:rFonts w:ascii="Times New Roman" w:hAnsi="Times New Roman" w:cs="Times New Roman"/>
          <w:sz w:val="24"/>
          <w:szCs w:val="24"/>
        </w:rPr>
        <w:t xml:space="preserve">which </w:t>
      </w:r>
      <w:r>
        <w:rPr>
          <w:rFonts w:ascii="Times New Roman" w:hAnsi="Times New Roman" w:cs="Times New Roman"/>
          <w:sz w:val="24"/>
          <w:szCs w:val="24"/>
        </w:rPr>
        <w:t xml:space="preserve">is the lagged percentage change in the price of capital goods.  This is the percentage change in the price of capital goods calculated by comparing the price in year t-1 with the price in year t-2.  We use pcgds_l(r) as the percentage change in the price of units of capital at the start of year t compared with the price at the start of year t-1.  </w:t>
      </w:r>
      <w:r w:rsidR="003914AA">
        <w:rPr>
          <w:rFonts w:ascii="Times New Roman" w:hAnsi="Times New Roman" w:cs="Times New Roman"/>
          <w:sz w:val="24"/>
          <w:szCs w:val="24"/>
        </w:rPr>
        <w:t xml:space="preserve">To reconcile this use of pcgds_l(r) with the idea that percentage changes in variables are calculated from the centre of one year to the centre of the next, we assume that price changes take place in the first half of each year, see Figure </w:t>
      </w:r>
      <w:r w:rsidR="00342D2E">
        <w:rPr>
          <w:rFonts w:ascii="Times New Roman" w:hAnsi="Times New Roman" w:cs="Times New Roman"/>
          <w:sz w:val="24"/>
          <w:szCs w:val="24"/>
        </w:rPr>
        <w:t>2.</w:t>
      </w:r>
      <w:r w:rsidR="003914AA">
        <w:rPr>
          <w:rFonts w:ascii="Times New Roman" w:hAnsi="Times New Roman" w:cs="Times New Roman"/>
          <w:sz w:val="24"/>
          <w:szCs w:val="24"/>
        </w:rPr>
        <w:t xml:space="preserve">1.  </w:t>
      </w:r>
    </w:p>
    <w:p w:rsidR="00524FED" w:rsidRDefault="00524FED" w:rsidP="007042C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deltime which is an artificial variable whose value moves from zero to one.  </w:t>
      </w:r>
    </w:p>
    <w:p w:rsidR="00524FED" w:rsidRDefault="00524FED" w:rsidP="007042C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f_kb_i(j,r) which is a shift variable set exogenously at zero in year-on-year simulations but endogenously in long-run simulations to turn off the equation.</w:t>
      </w:r>
    </w:p>
    <w:p w:rsidR="00524FED" w:rsidRDefault="00524FED" w:rsidP="00524FED">
      <w:pPr>
        <w:spacing w:before="20" w:after="20" w:line="240" w:lineRule="auto"/>
        <w:rPr>
          <w:rFonts w:ascii="Times New Roman" w:hAnsi="Times New Roman" w:cs="Times New Roman"/>
          <w:sz w:val="24"/>
          <w:szCs w:val="24"/>
        </w:rPr>
      </w:pPr>
      <w:r>
        <w:rPr>
          <w:rFonts w:ascii="Times New Roman" w:hAnsi="Times New Roman" w:cs="Times New Roman"/>
          <w:sz w:val="24"/>
          <w:szCs w:val="24"/>
        </w:rPr>
        <w:t>The coefficients are:</w:t>
      </w:r>
    </w:p>
    <w:p w:rsidR="000D795D" w:rsidRDefault="00524FED" w:rsidP="00524FED">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VKB_I(j,r) and VKB_I_B(j,r) which </w:t>
      </w:r>
      <w:r w:rsidR="000D795D">
        <w:rPr>
          <w:rFonts w:ascii="Times New Roman" w:hAnsi="Times New Roman" w:cs="Times New Roman"/>
          <w:sz w:val="24"/>
          <w:szCs w:val="24"/>
        </w:rPr>
        <w:t>are</w:t>
      </w:r>
      <w:r>
        <w:rPr>
          <w:rFonts w:ascii="Times New Roman" w:hAnsi="Times New Roman" w:cs="Times New Roman"/>
          <w:sz w:val="24"/>
          <w:szCs w:val="24"/>
        </w:rPr>
        <w:t xml:space="preserve"> the </w:t>
      </w:r>
      <w:r w:rsidR="000D795D">
        <w:rPr>
          <w:rFonts w:ascii="Times New Roman" w:hAnsi="Times New Roman" w:cs="Times New Roman"/>
          <w:sz w:val="24"/>
          <w:szCs w:val="24"/>
        </w:rPr>
        <w:t>values of start-of-year capital stock in industry j,r in the simulation year, year t, and in the previous year, year t-1.</w:t>
      </w:r>
    </w:p>
    <w:p w:rsidR="00524FED" w:rsidRDefault="000D795D" w:rsidP="00524FED">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VKE_I_B(j,r) which is the lagged value of end-of-year capital stock in industry j,r in the simulation year, year t.  In year-on-year simulations, this is the value of end-of-year capital stock in industry j,r in year t-1.  </w:t>
      </w:r>
    </w:p>
    <w:p w:rsidR="000D795D" w:rsidRDefault="00B71BFF" w:rsidP="000D795D">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left hand side of (2.4.1) is 100 times the change in the value of start-of-year capital in industry j,r between years t-1 and t.  With </w:t>
      </w:r>
      <w:r w:rsidR="000D795D">
        <w:rPr>
          <w:rFonts w:ascii="Times New Roman" w:hAnsi="Times New Roman" w:cs="Times New Roman"/>
          <w:sz w:val="24"/>
          <w:szCs w:val="24"/>
        </w:rPr>
        <w:t xml:space="preserve">f_kb_i(j,r) </w:t>
      </w:r>
      <w:r>
        <w:rPr>
          <w:rFonts w:ascii="Times New Roman" w:hAnsi="Times New Roman" w:cs="Times New Roman"/>
          <w:sz w:val="24"/>
          <w:szCs w:val="24"/>
        </w:rPr>
        <w:t xml:space="preserve">set exogenously on zero, the right hand side of (2.4.1) calculates this same change from coefficient values for year t-1.  If t is the first year in a year-on-year simulation, then these coefficients are part of the database.  In subsequent years they are part of the solution for year t-1.  </w:t>
      </w:r>
      <w:r w:rsidR="006618E5">
        <w:rPr>
          <w:rFonts w:ascii="Times New Roman" w:hAnsi="Times New Roman" w:cs="Times New Roman"/>
          <w:sz w:val="24"/>
          <w:szCs w:val="24"/>
        </w:rPr>
        <w:t xml:space="preserve">In year-on-year simulations, </w:t>
      </w:r>
      <w:r w:rsidR="006618E5">
        <w:rPr>
          <w:rFonts w:ascii="Times New Roman" w:hAnsi="Times New Roman" w:cs="Times New Roman"/>
          <w:sz w:val="24"/>
          <w:szCs w:val="24"/>
        </w:rPr>
        <w:lastRenderedPageBreak/>
        <w:t>e</w:t>
      </w:r>
      <w:r>
        <w:rPr>
          <w:rFonts w:ascii="Times New Roman" w:hAnsi="Times New Roman" w:cs="Times New Roman"/>
          <w:sz w:val="24"/>
          <w:szCs w:val="24"/>
        </w:rPr>
        <w:t xml:space="preserve">quation (2.4.1) </w:t>
      </w:r>
      <w:r w:rsidR="006618E5">
        <w:rPr>
          <w:rFonts w:ascii="Times New Roman" w:hAnsi="Times New Roman" w:cs="Times New Roman"/>
          <w:sz w:val="24"/>
          <w:szCs w:val="24"/>
        </w:rPr>
        <w:t xml:space="preserve">ensures that the simulated value of start-of-year capital in industry j,r in year t is equal to the value of end-of-year capital in industry j,r in year t-1.   </w:t>
      </w:r>
    </w:p>
    <w:p w:rsidR="001224C4" w:rsidRDefault="001224C4" w:rsidP="000D795D">
      <w:pPr>
        <w:spacing w:before="120" w:after="0" w:line="240" w:lineRule="auto"/>
        <w:rPr>
          <w:rFonts w:ascii="Times New Roman" w:hAnsi="Times New Roman" w:cs="Times New Roman"/>
          <w:sz w:val="24"/>
          <w:szCs w:val="24"/>
        </w:rPr>
      </w:pPr>
      <w:r>
        <w:rPr>
          <w:rFonts w:ascii="Times New Roman" w:hAnsi="Times New Roman" w:cs="Times New Roman"/>
          <w:sz w:val="24"/>
          <w:szCs w:val="24"/>
        </w:rPr>
        <w:t>To connect kb_i(j,r) determined in (2.4.1) with the rest of GTAP-MVH we added the equation:</w:t>
      </w:r>
    </w:p>
    <w:p w:rsidR="00C41887" w:rsidRDefault="00C41887" w:rsidP="00C41887">
      <w:pPr>
        <w:tabs>
          <w:tab w:val="left" w:pos="567"/>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ab/>
      </w:r>
      <w:r w:rsidR="00415976" w:rsidRPr="00C41887">
        <w:rPr>
          <w:rFonts w:ascii="Times New Roman" w:hAnsi="Times New Roman" w:cs="Times New Roman"/>
          <w:position w:val="-10"/>
          <w:sz w:val="24"/>
          <w:szCs w:val="24"/>
        </w:rPr>
        <w:object w:dxaOrig="2920" w:dyaOrig="320">
          <v:shape id="_x0000_i1036" type="#_x0000_t75" style="width:145.9pt;height:16.3pt" o:ole="">
            <v:imagedata r:id="rId31" o:title=""/>
          </v:shape>
          <o:OLEObject Type="Embed" ProgID="Equation.DSMT4" ShapeID="_x0000_i1036" DrawAspect="Content" ObjectID="_1616394656" r:id="rId32"/>
        </w:object>
      </w:r>
      <w:r>
        <w:rPr>
          <w:rFonts w:ascii="Times New Roman" w:hAnsi="Times New Roman" w:cs="Times New Roman"/>
          <w:sz w:val="24"/>
          <w:szCs w:val="24"/>
        </w:rPr>
        <w:tab/>
        <w:t>(2.4.2)</w:t>
      </w:r>
    </w:p>
    <w:p w:rsidR="00714456" w:rsidRDefault="001224C4" w:rsidP="001224C4">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q</w:t>
      </w:r>
      <w:r w:rsidRPr="001224C4">
        <w:rPr>
          <w:rFonts w:ascii="Times New Roman" w:hAnsi="Times New Roman" w:cs="Times New Roman"/>
          <w:bCs/>
          <w:color w:val="000000"/>
          <w:sz w:val="24"/>
          <w:szCs w:val="24"/>
        </w:rPr>
        <w:t>fe</w:t>
      </w:r>
      <w:r>
        <w:rPr>
          <w:rFonts w:ascii="Times New Roman" w:hAnsi="Times New Roman" w:cs="Times New Roman"/>
          <w:bCs/>
          <w:color w:val="000000"/>
          <w:sz w:val="24"/>
          <w:szCs w:val="24"/>
        </w:rPr>
        <w:t xml:space="preserve">(“capital”,j,r) is GTAP’s variable for the percentage change in industry j,r’s use of capital.  In standard </w:t>
      </w:r>
      <w:r w:rsidR="000C26CE">
        <w:rPr>
          <w:rFonts w:ascii="Times New Roman" w:hAnsi="Times New Roman" w:cs="Times New Roman"/>
          <w:bCs/>
          <w:color w:val="000000"/>
          <w:sz w:val="24"/>
          <w:szCs w:val="24"/>
        </w:rPr>
        <w:t>GTAP</w:t>
      </w:r>
      <w:r>
        <w:rPr>
          <w:rFonts w:ascii="Times New Roman" w:hAnsi="Times New Roman" w:cs="Times New Roman"/>
          <w:bCs/>
          <w:color w:val="000000"/>
          <w:sz w:val="24"/>
          <w:szCs w:val="24"/>
        </w:rPr>
        <w:t xml:space="preserve"> this is determined </w:t>
      </w:r>
      <w:r w:rsidR="00245701">
        <w:rPr>
          <w:rFonts w:ascii="Times New Roman" w:hAnsi="Times New Roman" w:cs="Times New Roman"/>
          <w:bCs/>
          <w:color w:val="000000"/>
          <w:sz w:val="24"/>
          <w:szCs w:val="24"/>
        </w:rPr>
        <w:t xml:space="preserve">primarily by </w:t>
      </w:r>
      <w:r w:rsidR="000C26CE">
        <w:rPr>
          <w:rFonts w:ascii="Times New Roman" w:hAnsi="Times New Roman" w:cs="Times New Roman"/>
          <w:bCs/>
          <w:color w:val="000000"/>
          <w:sz w:val="24"/>
          <w:szCs w:val="24"/>
        </w:rPr>
        <w:t xml:space="preserve">the rental price of capital </w:t>
      </w:r>
      <w:r w:rsidR="00245701">
        <w:rPr>
          <w:rFonts w:ascii="Times New Roman" w:hAnsi="Times New Roman" w:cs="Times New Roman"/>
          <w:bCs/>
          <w:color w:val="000000"/>
          <w:sz w:val="24"/>
          <w:szCs w:val="24"/>
        </w:rPr>
        <w:t>which is undifferentiated by industry in accordance with the assumption that capital is homogeneous and mobile.  Standard GTAP also allows for a tax on industry j,r’s use of capital.  This can be differentiated by industry</w:t>
      </w:r>
      <w:r w:rsidR="002E7EDE">
        <w:rPr>
          <w:rFonts w:ascii="Times New Roman" w:hAnsi="Times New Roman" w:cs="Times New Roman"/>
          <w:bCs/>
          <w:color w:val="000000"/>
          <w:sz w:val="24"/>
          <w:szCs w:val="24"/>
        </w:rPr>
        <w:t>.</w:t>
      </w:r>
      <w:r w:rsidR="00245701">
        <w:rPr>
          <w:rFonts w:ascii="Times New Roman" w:hAnsi="Times New Roman" w:cs="Times New Roman"/>
          <w:bCs/>
          <w:color w:val="000000"/>
          <w:sz w:val="24"/>
          <w:szCs w:val="24"/>
        </w:rPr>
        <w:t xml:space="preserve"> </w:t>
      </w:r>
      <w:r w:rsidR="002E7EDE">
        <w:rPr>
          <w:rFonts w:ascii="Times New Roman" w:hAnsi="Times New Roman" w:cs="Times New Roman"/>
          <w:bCs/>
          <w:color w:val="000000"/>
          <w:sz w:val="24"/>
          <w:szCs w:val="24"/>
        </w:rPr>
        <w:t xml:space="preserve"> </w:t>
      </w:r>
      <w:r w:rsidR="00714456">
        <w:rPr>
          <w:rFonts w:ascii="Times New Roman" w:hAnsi="Times New Roman" w:cs="Times New Roman"/>
          <w:bCs/>
          <w:color w:val="000000"/>
          <w:sz w:val="24"/>
          <w:szCs w:val="24"/>
        </w:rPr>
        <w:t xml:space="preserve">In GTAP-MVH we give this tax two components.  The first component we refer to as genuine.  This </w:t>
      </w:r>
      <w:r w:rsidR="00B901DB">
        <w:rPr>
          <w:rFonts w:ascii="Times New Roman" w:hAnsi="Times New Roman" w:cs="Times New Roman"/>
          <w:bCs/>
          <w:color w:val="000000"/>
          <w:sz w:val="24"/>
          <w:szCs w:val="24"/>
        </w:rPr>
        <w:t xml:space="preserve">component </w:t>
      </w:r>
      <w:r w:rsidR="00714456">
        <w:rPr>
          <w:rFonts w:ascii="Times New Roman" w:hAnsi="Times New Roman" w:cs="Times New Roman"/>
          <w:bCs/>
          <w:color w:val="000000"/>
          <w:sz w:val="24"/>
          <w:szCs w:val="24"/>
        </w:rPr>
        <w:t>is collected by government a</w:t>
      </w:r>
      <w:r w:rsidR="00245701">
        <w:rPr>
          <w:rFonts w:ascii="Times New Roman" w:hAnsi="Times New Roman" w:cs="Times New Roman"/>
          <w:bCs/>
          <w:color w:val="000000"/>
          <w:sz w:val="24"/>
          <w:szCs w:val="24"/>
        </w:rPr>
        <w:t xml:space="preserve">nd </w:t>
      </w:r>
      <w:r w:rsidR="00714456">
        <w:rPr>
          <w:rFonts w:ascii="Times New Roman" w:hAnsi="Times New Roman" w:cs="Times New Roman"/>
          <w:bCs/>
          <w:color w:val="000000"/>
          <w:sz w:val="24"/>
          <w:szCs w:val="24"/>
        </w:rPr>
        <w:t xml:space="preserve">enters into the calculation of the government’s budget balance and the national accounts.  The second component re refer to as phantom.  As we will see, this component does not affect the government’s budget or the national accounts.  It does however </w:t>
      </w:r>
      <w:r w:rsidR="00245701">
        <w:rPr>
          <w:rFonts w:ascii="Times New Roman" w:hAnsi="Times New Roman" w:cs="Times New Roman"/>
          <w:bCs/>
          <w:color w:val="000000"/>
          <w:sz w:val="24"/>
          <w:szCs w:val="24"/>
        </w:rPr>
        <w:t xml:space="preserve">play a key role in our introduction of industry-specific capital.  </w:t>
      </w:r>
    </w:p>
    <w:p w:rsidR="00245701" w:rsidRDefault="00245701" w:rsidP="001224C4">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w:t>
      </w:r>
      <w:r w:rsidR="00B901DB">
        <w:rPr>
          <w:rFonts w:ascii="Times New Roman" w:hAnsi="Times New Roman" w:cs="Times New Roman"/>
          <w:bCs/>
          <w:color w:val="000000"/>
          <w:sz w:val="24"/>
          <w:szCs w:val="24"/>
        </w:rPr>
        <w:t xml:space="preserve">genuine and </w:t>
      </w:r>
      <w:r>
        <w:rPr>
          <w:rFonts w:ascii="Times New Roman" w:hAnsi="Times New Roman" w:cs="Times New Roman"/>
          <w:bCs/>
          <w:color w:val="000000"/>
          <w:sz w:val="24"/>
          <w:szCs w:val="24"/>
        </w:rPr>
        <w:t>phantom component</w:t>
      </w:r>
      <w:r w:rsidR="00B901DB">
        <w:rPr>
          <w:rFonts w:ascii="Times New Roman" w:hAnsi="Times New Roman" w:cs="Times New Roman"/>
          <w:bCs/>
          <w:color w:val="000000"/>
          <w:sz w:val="24"/>
          <w:szCs w:val="24"/>
        </w:rPr>
        <w:t>s</w:t>
      </w:r>
      <w:r w:rsidR="00714456">
        <w:rPr>
          <w:rFonts w:ascii="Times New Roman" w:hAnsi="Times New Roman" w:cs="Times New Roman"/>
          <w:bCs/>
          <w:color w:val="000000"/>
          <w:sz w:val="24"/>
          <w:szCs w:val="24"/>
        </w:rPr>
        <w:t xml:space="preserve"> of the tax on j,r’s use of capital </w:t>
      </w:r>
      <w:r w:rsidR="00B901DB">
        <w:rPr>
          <w:rFonts w:ascii="Times New Roman" w:hAnsi="Times New Roman" w:cs="Times New Roman"/>
          <w:bCs/>
          <w:color w:val="000000"/>
          <w:sz w:val="24"/>
          <w:szCs w:val="24"/>
        </w:rPr>
        <w:t>are</w:t>
      </w:r>
      <w:r w:rsidR="0071445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included in GTAP-MVH through the following new equation:</w:t>
      </w:r>
    </w:p>
    <w:p w:rsidR="00415976" w:rsidRDefault="00050DE8" w:rsidP="00064946">
      <w:pPr>
        <w:tabs>
          <w:tab w:val="right" w:pos="8931"/>
        </w:tabs>
        <w:spacing w:before="120" w:after="0" w:line="240" w:lineRule="auto"/>
        <w:ind w:left="284"/>
        <w:rPr>
          <w:rFonts w:ascii="Times New Roman" w:hAnsi="Times New Roman" w:cs="Times New Roman"/>
          <w:sz w:val="24"/>
          <w:szCs w:val="24"/>
        </w:rPr>
      </w:pPr>
      <w:r w:rsidRPr="00C41887">
        <w:rPr>
          <w:rFonts w:ascii="Times New Roman" w:hAnsi="Times New Roman" w:cs="Times New Roman"/>
          <w:position w:val="-10"/>
          <w:sz w:val="24"/>
          <w:szCs w:val="24"/>
        </w:rPr>
        <w:object w:dxaOrig="4099" w:dyaOrig="320">
          <v:shape id="_x0000_i1037" type="#_x0000_t75" style="width:204.75pt;height:16.3pt" o:ole="">
            <v:imagedata r:id="rId33" o:title=""/>
          </v:shape>
          <o:OLEObject Type="Embed" ProgID="Equation.DSMT4" ShapeID="_x0000_i1037" DrawAspect="Content" ObjectID="_1616394657" r:id="rId34"/>
        </w:object>
      </w:r>
      <w:r w:rsidR="00415976">
        <w:rPr>
          <w:rFonts w:ascii="Times New Roman" w:hAnsi="Times New Roman" w:cs="Times New Roman"/>
          <w:sz w:val="24"/>
          <w:szCs w:val="24"/>
        </w:rPr>
        <w:tab/>
        <w:t>(2.4.3)</w:t>
      </w:r>
    </w:p>
    <w:p w:rsidR="002E7EDE" w:rsidRDefault="002E7EDE" w:rsidP="002E7EDE">
      <w:pPr>
        <w:tabs>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where </w:t>
      </w:r>
    </w:p>
    <w:p w:rsidR="002E7EDE" w:rsidRDefault="002E7EDE" w:rsidP="002E7EDE">
      <w:pPr>
        <w:tabs>
          <w:tab w:val="left" w:pos="567"/>
          <w:tab w:val="right" w:pos="8931"/>
        </w:tabs>
        <w:spacing w:after="0" w:line="240" w:lineRule="auto"/>
        <w:ind w:left="568" w:hanging="284"/>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tf(i,j,r) in (2.4.3) is the GTAP variable for the percentage change in the power of the tax on industry j,r’s use of primary factor i.  Factor i can be skilled </w:t>
      </w:r>
      <w:r w:rsidR="00C75576">
        <w:rPr>
          <w:rFonts w:ascii="Times New Roman" w:hAnsi="Times New Roman" w:cs="Times New Roman"/>
          <w:bCs/>
          <w:color w:val="000000"/>
          <w:sz w:val="24"/>
          <w:szCs w:val="24"/>
        </w:rPr>
        <w:t>labor</w:t>
      </w:r>
      <w:r>
        <w:rPr>
          <w:rFonts w:ascii="Times New Roman" w:hAnsi="Times New Roman" w:cs="Times New Roman"/>
          <w:bCs/>
          <w:color w:val="000000"/>
          <w:sz w:val="24"/>
          <w:szCs w:val="24"/>
        </w:rPr>
        <w:t xml:space="preserve">, unskilled </w:t>
      </w:r>
      <w:r w:rsidR="00C75576">
        <w:rPr>
          <w:rFonts w:ascii="Times New Roman" w:hAnsi="Times New Roman" w:cs="Times New Roman"/>
          <w:bCs/>
          <w:color w:val="000000"/>
          <w:sz w:val="24"/>
          <w:szCs w:val="24"/>
        </w:rPr>
        <w:t>labor</w:t>
      </w:r>
      <w:r>
        <w:rPr>
          <w:rFonts w:ascii="Times New Roman" w:hAnsi="Times New Roman" w:cs="Times New Roman"/>
          <w:bCs/>
          <w:color w:val="000000"/>
          <w:sz w:val="24"/>
          <w:szCs w:val="24"/>
        </w:rPr>
        <w:t xml:space="preserve">, capital, natural resources and land.  In applications of standard GTAP, tf(i,j,r) is usually exogenous.  </w:t>
      </w:r>
    </w:p>
    <w:p w:rsidR="002E7EDE" w:rsidRDefault="002E7EDE" w:rsidP="002E7EDE">
      <w:pPr>
        <w:tabs>
          <w:tab w:val="left" w:pos="567"/>
          <w:tab w:val="right" w:pos="8931"/>
        </w:tabs>
        <w:spacing w:after="0" w:line="240" w:lineRule="auto"/>
        <w:ind w:left="568" w:hanging="284"/>
        <w:rPr>
          <w:rFonts w:ascii="Times New Roman" w:hAnsi="Times New Roman" w:cs="Times New Roman"/>
          <w:bCs/>
          <w:color w:val="000000"/>
          <w:sz w:val="24"/>
          <w:szCs w:val="24"/>
        </w:rPr>
      </w:pPr>
      <w:r>
        <w:rPr>
          <w:rFonts w:ascii="Times New Roman" w:hAnsi="Times New Roman" w:cs="Times New Roman"/>
          <w:bCs/>
          <w:color w:val="000000"/>
          <w:sz w:val="24"/>
          <w:szCs w:val="24"/>
        </w:rPr>
        <w:t>tfg(i,j,r) and tfph(j,r) are percentage changes in genuine and phantom components of the power of the tax on j,r’s use of primary factor i.  We make the phantom component apply only to capital through the dummy parameter DUMK(i).  This parameter has the value one if i = capital and is zero otherwise.</w:t>
      </w:r>
    </w:p>
    <w:p w:rsidR="00050DE8" w:rsidRDefault="00714456" w:rsidP="00714456">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Standard GTAP allows for price-induced substitution by industry j,r between primary factors.  Thus the determination of </w:t>
      </w:r>
      <w:r w:rsidRPr="00714456">
        <w:rPr>
          <w:rFonts w:ascii="Times New Roman" w:hAnsi="Times New Roman" w:cs="Times New Roman"/>
          <w:bCs/>
          <w:color w:val="000000"/>
          <w:sz w:val="24"/>
          <w:szCs w:val="24"/>
        </w:rPr>
        <w:t>qfe(“capital”,j,r)</w:t>
      </w:r>
      <w:r>
        <w:rPr>
          <w:rFonts w:ascii="Times New Roman" w:hAnsi="Times New Roman" w:cs="Times New Roman"/>
          <w:bCs/>
          <w:color w:val="000000"/>
          <w:sz w:val="24"/>
          <w:szCs w:val="24"/>
        </w:rPr>
        <w:t xml:space="preserve"> is influenced by the cost to industry j,r of using capital relative to the cost of using other primary factors.  Th</w:t>
      </w:r>
      <w:r w:rsidR="00050DE8">
        <w:rPr>
          <w:rFonts w:ascii="Times New Roman" w:hAnsi="Times New Roman" w:cs="Times New Roman"/>
          <w:bCs/>
          <w:color w:val="000000"/>
          <w:sz w:val="24"/>
          <w:szCs w:val="24"/>
        </w:rPr>
        <w:t xml:space="preserve">is allows us to </w:t>
      </w:r>
      <w:r>
        <w:rPr>
          <w:rFonts w:ascii="Times New Roman" w:hAnsi="Times New Roman" w:cs="Times New Roman"/>
          <w:bCs/>
          <w:color w:val="000000"/>
          <w:sz w:val="24"/>
          <w:szCs w:val="24"/>
        </w:rPr>
        <w:t xml:space="preserve">guide industry j,r’s demand for capital </w:t>
      </w:r>
      <w:r w:rsidR="004E5A27">
        <w:rPr>
          <w:rFonts w:ascii="Times New Roman" w:hAnsi="Times New Roman" w:cs="Times New Roman"/>
          <w:bCs/>
          <w:color w:val="000000"/>
          <w:sz w:val="24"/>
          <w:szCs w:val="24"/>
        </w:rPr>
        <w:t>to be compatible with predetermined capital availability [(2.4.1) and (2.4.2)]</w:t>
      </w:r>
      <w:r w:rsidR="00050DE8">
        <w:rPr>
          <w:rFonts w:ascii="Times New Roman" w:hAnsi="Times New Roman" w:cs="Times New Roman"/>
          <w:bCs/>
          <w:color w:val="000000"/>
          <w:sz w:val="24"/>
          <w:szCs w:val="24"/>
        </w:rPr>
        <w:t xml:space="preserve"> by</w:t>
      </w:r>
      <w:r w:rsidR="004E5A27">
        <w:rPr>
          <w:rFonts w:ascii="Times New Roman" w:hAnsi="Times New Roman" w:cs="Times New Roman"/>
          <w:bCs/>
          <w:color w:val="000000"/>
          <w:sz w:val="24"/>
          <w:szCs w:val="24"/>
        </w:rPr>
        <w:t xml:space="preserve"> allowing endogenous movement in the phantom tax on j,r’s capital use</w:t>
      </w:r>
      <w:r w:rsidR="00050DE8">
        <w:rPr>
          <w:rFonts w:ascii="Times New Roman" w:hAnsi="Times New Roman" w:cs="Times New Roman"/>
          <w:bCs/>
          <w:color w:val="000000"/>
          <w:sz w:val="24"/>
          <w:szCs w:val="24"/>
        </w:rPr>
        <w:t xml:space="preserve">.  In summary, we introduce equation (2.4.2) and allow it to endogenize tfph(j,r) in (2.4.3). </w:t>
      </w:r>
    </w:p>
    <w:p w:rsidR="00050DE8" w:rsidRDefault="00050DE8" w:rsidP="00714456">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 question that will occur to readers is: what happens to phantom tax revenue?</w:t>
      </w:r>
      <w:r w:rsidR="00092192">
        <w:rPr>
          <w:rFonts w:ascii="Times New Roman" w:hAnsi="Times New Roman" w:cs="Times New Roman"/>
          <w:bCs/>
          <w:color w:val="000000"/>
          <w:sz w:val="24"/>
          <w:szCs w:val="24"/>
        </w:rPr>
        <w:t xml:space="preserve">  To answer this question we start by setting out the GTAP-MVH computation of revenue collection from phantom taxes in </w:t>
      </w:r>
      <w:r w:rsidR="005931FF">
        <w:rPr>
          <w:rFonts w:ascii="Times New Roman" w:hAnsi="Times New Roman" w:cs="Times New Roman"/>
          <w:bCs/>
          <w:color w:val="000000"/>
          <w:sz w:val="24"/>
          <w:szCs w:val="24"/>
        </w:rPr>
        <w:t>region r</w:t>
      </w:r>
      <w:r w:rsidR="00092192">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p>
    <w:p w:rsidR="00064946" w:rsidRPr="00064946" w:rsidRDefault="004E5A27" w:rsidP="00064946">
      <w:pPr>
        <w:tabs>
          <w:tab w:val="right" w:pos="8931"/>
        </w:tabs>
        <w:spacing w:before="120" w:after="0" w:line="240" w:lineRule="auto"/>
        <w:ind w:left="284"/>
        <w:rPr>
          <w:rFonts w:ascii="Times New Roman" w:hAnsi="Times New Roman" w:cs="Times New Roman"/>
          <w:b/>
          <w:bCs/>
          <w:color w:val="000000"/>
          <w:sz w:val="24"/>
          <w:szCs w:val="24"/>
        </w:rPr>
      </w:pPr>
      <w:r w:rsidRPr="00415976">
        <w:rPr>
          <w:rFonts w:ascii="Times New Roman" w:hAnsi="Times New Roman" w:cs="Times New Roman"/>
          <w:position w:val="-128"/>
          <w:sz w:val="24"/>
          <w:szCs w:val="24"/>
        </w:rPr>
        <w:object w:dxaOrig="6800" w:dyaOrig="2680">
          <v:shape id="_x0000_i1038" type="#_x0000_t75" style="width:340.6pt;height:134pt" o:ole="">
            <v:imagedata r:id="rId35" o:title=""/>
          </v:shape>
          <o:OLEObject Type="Embed" ProgID="Equation.DSMT4" ShapeID="_x0000_i1038" DrawAspect="Content" ObjectID="_1616394658" r:id="rId36"/>
        </w:object>
      </w:r>
      <w:r w:rsidR="00475162">
        <w:rPr>
          <w:rFonts w:ascii="Times New Roman" w:hAnsi="Times New Roman" w:cs="Times New Roman"/>
          <w:sz w:val="24"/>
          <w:szCs w:val="24"/>
        </w:rPr>
        <w:tab/>
        <w:t>(2.4.4)</w:t>
      </w:r>
    </w:p>
    <w:p w:rsidR="00347A7B" w:rsidRDefault="00347A7B" w:rsidP="00347A7B">
      <w:pPr>
        <w:tabs>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where </w:t>
      </w:r>
    </w:p>
    <w:p w:rsidR="00092192" w:rsidRDefault="00092192" w:rsidP="00092192">
      <w:pPr>
        <w:tabs>
          <w:tab w:val="left" w:pos="567"/>
          <w:tab w:val="right" w:pos="8931"/>
        </w:tabs>
        <w:spacing w:after="0" w:line="240" w:lineRule="auto"/>
        <w:ind w:left="568" w:hanging="284"/>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d_col_phc(r) is the change in the collection of revenue from the phantom taxes on the use of capital in region r; </w:t>
      </w:r>
    </w:p>
    <w:p w:rsidR="00092192" w:rsidRDefault="00092192" w:rsidP="00092192">
      <w:pPr>
        <w:tabs>
          <w:tab w:val="right" w:pos="8931"/>
        </w:tabs>
        <w:spacing w:after="0" w:line="240" w:lineRule="auto"/>
        <w:ind w:left="426" w:hanging="142"/>
        <w:rPr>
          <w:rFonts w:ascii="Times New Roman" w:hAnsi="Times New Roman" w:cs="Times New Roman"/>
          <w:sz w:val="24"/>
          <w:szCs w:val="24"/>
        </w:rPr>
      </w:pPr>
      <w:r>
        <w:rPr>
          <w:rFonts w:ascii="Times New Roman" w:hAnsi="Times New Roman" w:cs="Times New Roman"/>
          <w:bCs/>
          <w:color w:val="000000"/>
          <w:sz w:val="24"/>
          <w:szCs w:val="24"/>
        </w:rPr>
        <w:t xml:space="preserve">VOA_I(“capital”,j,r) is </w:t>
      </w:r>
      <w:r>
        <w:rPr>
          <w:rFonts w:ascii="Times New Roman" w:hAnsi="Times New Roman" w:cs="Times New Roman"/>
          <w:sz w:val="24"/>
          <w:szCs w:val="24"/>
        </w:rPr>
        <w:t xml:space="preserve">rental income generated by j,r’s capital (this doesn’t include payments of taxes by j,r for its use of capital); </w:t>
      </w:r>
    </w:p>
    <w:p w:rsidR="00092192" w:rsidRDefault="00092192" w:rsidP="00092192">
      <w:pPr>
        <w:tabs>
          <w:tab w:val="right" w:pos="8931"/>
        </w:tabs>
        <w:spacing w:after="0" w:line="240" w:lineRule="auto"/>
        <w:ind w:left="426" w:hanging="142"/>
        <w:rPr>
          <w:rFonts w:ascii="Times New Roman" w:hAnsi="Times New Roman" w:cs="Times New Roman"/>
          <w:sz w:val="24"/>
          <w:szCs w:val="24"/>
        </w:rPr>
      </w:pPr>
      <w:r>
        <w:rPr>
          <w:rFonts w:ascii="Times New Roman" w:hAnsi="Times New Roman" w:cs="Times New Roman"/>
          <w:sz w:val="24"/>
          <w:szCs w:val="24"/>
        </w:rPr>
        <w:t>TFG</w:t>
      </w:r>
      <w:r>
        <w:rPr>
          <w:rFonts w:ascii="Times New Roman" w:hAnsi="Times New Roman" w:cs="Times New Roman"/>
          <w:bCs/>
          <w:color w:val="000000"/>
          <w:sz w:val="24"/>
          <w:szCs w:val="24"/>
        </w:rPr>
        <w:t xml:space="preserve">(“capital”,j,r) and TFPH(“capital”,j,r) are the levels of the genuine and phantom powers </w:t>
      </w:r>
      <w:r>
        <w:rPr>
          <w:rFonts w:ascii="Times New Roman" w:hAnsi="Times New Roman" w:cs="Times New Roman"/>
          <w:sz w:val="24"/>
          <w:szCs w:val="24"/>
        </w:rPr>
        <w:t xml:space="preserve">of the taxes on j,r’s use of capital; and </w:t>
      </w:r>
    </w:p>
    <w:p w:rsidR="00B144CA" w:rsidRDefault="00B144CA" w:rsidP="00347A7B">
      <w:pPr>
        <w:tabs>
          <w:tab w:val="left" w:pos="567"/>
          <w:tab w:val="right" w:pos="8931"/>
        </w:tabs>
        <w:spacing w:after="0" w:line="240" w:lineRule="auto"/>
        <w:ind w:left="568" w:hanging="284"/>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pm(“capital”,r) is the GTAP variable for the percentage change in </w:t>
      </w:r>
      <w:r w:rsidR="00092192">
        <w:rPr>
          <w:rFonts w:ascii="Times New Roman" w:hAnsi="Times New Roman" w:cs="Times New Roman"/>
          <w:bCs/>
          <w:color w:val="000000"/>
          <w:sz w:val="24"/>
          <w:szCs w:val="24"/>
        </w:rPr>
        <w:t xml:space="preserve">the </w:t>
      </w:r>
      <w:r>
        <w:rPr>
          <w:rFonts w:ascii="Times New Roman" w:hAnsi="Times New Roman" w:cs="Times New Roman"/>
          <w:bCs/>
          <w:color w:val="000000"/>
          <w:sz w:val="24"/>
          <w:szCs w:val="24"/>
        </w:rPr>
        <w:t xml:space="preserve">“market” price </w:t>
      </w:r>
      <w:r w:rsidR="004F1A29">
        <w:rPr>
          <w:rFonts w:ascii="Times New Roman" w:hAnsi="Times New Roman" w:cs="Times New Roman"/>
          <w:bCs/>
          <w:color w:val="000000"/>
          <w:sz w:val="24"/>
          <w:szCs w:val="24"/>
        </w:rPr>
        <w:t>for capital use in region r.  In standard GTAP, this is the per</w:t>
      </w:r>
      <w:r w:rsidR="00671011">
        <w:rPr>
          <w:rFonts w:ascii="Times New Roman" w:hAnsi="Times New Roman" w:cs="Times New Roman"/>
          <w:bCs/>
          <w:color w:val="000000"/>
          <w:sz w:val="24"/>
          <w:szCs w:val="24"/>
        </w:rPr>
        <w:t>-</w:t>
      </w:r>
      <w:r w:rsidR="004F1A29">
        <w:rPr>
          <w:rFonts w:ascii="Times New Roman" w:hAnsi="Times New Roman" w:cs="Times New Roman"/>
          <w:bCs/>
          <w:color w:val="000000"/>
          <w:sz w:val="24"/>
          <w:szCs w:val="24"/>
        </w:rPr>
        <w:t xml:space="preserve">unit rental </w:t>
      </w:r>
      <w:r w:rsidR="005029B2">
        <w:rPr>
          <w:rFonts w:ascii="Times New Roman" w:hAnsi="Times New Roman" w:cs="Times New Roman"/>
          <w:bCs/>
          <w:color w:val="000000"/>
          <w:sz w:val="24"/>
          <w:szCs w:val="24"/>
        </w:rPr>
        <w:t>pre income tax</w:t>
      </w:r>
      <w:r w:rsidR="00671011">
        <w:rPr>
          <w:rFonts w:ascii="Times New Roman" w:hAnsi="Times New Roman" w:cs="Times New Roman"/>
          <w:bCs/>
          <w:color w:val="000000"/>
          <w:sz w:val="24"/>
          <w:szCs w:val="24"/>
        </w:rPr>
        <w:t>.</w:t>
      </w:r>
      <w:r w:rsidR="005029B2">
        <w:rPr>
          <w:rStyle w:val="FootnoteReference"/>
          <w:rFonts w:ascii="Times New Roman" w:hAnsi="Times New Roman" w:cs="Times New Roman"/>
          <w:bCs/>
          <w:color w:val="000000"/>
          <w:szCs w:val="24"/>
        </w:rPr>
        <w:footnoteReference w:id="3"/>
      </w:r>
      <w:r w:rsidR="005029B2">
        <w:rPr>
          <w:rFonts w:ascii="Times New Roman" w:hAnsi="Times New Roman" w:cs="Times New Roman"/>
          <w:bCs/>
          <w:color w:val="000000"/>
          <w:sz w:val="24"/>
          <w:szCs w:val="24"/>
        </w:rPr>
        <w:t xml:space="preserve"> </w:t>
      </w:r>
      <w:r w:rsidR="004F1A29">
        <w:rPr>
          <w:rFonts w:ascii="Times New Roman" w:hAnsi="Times New Roman" w:cs="Times New Roman"/>
          <w:bCs/>
          <w:color w:val="000000"/>
          <w:sz w:val="24"/>
          <w:szCs w:val="24"/>
        </w:rPr>
        <w:t xml:space="preserve">received by the owners of region r’s homogeneous capital stock.  We can continue with this interpretation in GTAP-MVH even though we are introducing industry-specific capital.  We can think of capital as being a homogenous entity that, through the operation of </w:t>
      </w:r>
      <w:r w:rsidR="00092192">
        <w:rPr>
          <w:rFonts w:ascii="Times New Roman" w:hAnsi="Times New Roman" w:cs="Times New Roman"/>
          <w:bCs/>
          <w:color w:val="000000"/>
          <w:sz w:val="24"/>
          <w:szCs w:val="24"/>
        </w:rPr>
        <w:t xml:space="preserve">the phantom </w:t>
      </w:r>
      <w:r w:rsidR="004F1A29">
        <w:rPr>
          <w:rFonts w:ascii="Times New Roman" w:hAnsi="Times New Roman" w:cs="Times New Roman"/>
          <w:bCs/>
          <w:color w:val="000000"/>
          <w:sz w:val="24"/>
          <w:szCs w:val="24"/>
        </w:rPr>
        <w:t xml:space="preserve">user taxes, is allocated to industries in a way that is consistent with the assumption of industry specificity and capital immobility.  </w:t>
      </w:r>
    </w:p>
    <w:p w:rsidR="00DB739C" w:rsidRDefault="00DB739C" w:rsidP="00DB739C">
      <w:pPr>
        <w:tabs>
          <w:tab w:val="right" w:pos="8931"/>
        </w:tabs>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Equation</w:t>
      </w:r>
      <w:r w:rsidR="00663A0F">
        <w:rPr>
          <w:rFonts w:ascii="Times New Roman" w:hAnsi="Times New Roman" w:cs="Times New Roman"/>
          <w:bCs/>
          <w:color w:val="000000"/>
          <w:sz w:val="24"/>
          <w:szCs w:val="24"/>
        </w:rPr>
        <w:t xml:space="preserve"> (2.4.4)</w:t>
      </w:r>
      <w:r>
        <w:rPr>
          <w:rFonts w:ascii="Times New Roman" w:hAnsi="Times New Roman" w:cs="Times New Roman"/>
          <w:bCs/>
          <w:color w:val="000000"/>
          <w:sz w:val="24"/>
          <w:szCs w:val="24"/>
        </w:rPr>
        <w:t xml:space="preserve"> is derived from: </w:t>
      </w:r>
    </w:p>
    <w:p w:rsidR="00DB739C" w:rsidRDefault="00DB739C" w:rsidP="00296008">
      <w:pPr>
        <w:tabs>
          <w:tab w:val="left" w:pos="426"/>
          <w:tab w:val="right" w:pos="8931"/>
        </w:tabs>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683109" w:rsidRPr="00296008">
        <w:rPr>
          <w:rFonts w:ascii="Times New Roman" w:hAnsi="Times New Roman" w:cs="Times New Roman"/>
          <w:bCs/>
          <w:color w:val="000000"/>
          <w:position w:val="-32"/>
          <w:sz w:val="24"/>
          <w:szCs w:val="24"/>
        </w:rPr>
        <w:object w:dxaOrig="7360" w:dyaOrig="760">
          <v:shape id="_x0000_i1039" type="#_x0000_t75" style="width:368.15pt;height:38.2pt" o:ole="">
            <v:imagedata r:id="rId37" o:title=""/>
          </v:shape>
          <o:OLEObject Type="Embed" ProgID="Equation.DSMT4" ShapeID="_x0000_i1039" DrawAspect="Content" ObjectID="_1616394659" r:id="rId38"/>
        </w:object>
      </w:r>
      <w:r>
        <w:rPr>
          <w:rFonts w:ascii="Times New Roman" w:hAnsi="Times New Roman" w:cs="Times New Roman"/>
          <w:bCs/>
          <w:color w:val="000000"/>
          <w:sz w:val="24"/>
          <w:szCs w:val="24"/>
        </w:rPr>
        <w:t xml:space="preserve"> </w:t>
      </w:r>
      <w:r w:rsidR="00296008">
        <w:rPr>
          <w:rFonts w:ascii="Times New Roman" w:hAnsi="Times New Roman" w:cs="Times New Roman"/>
          <w:bCs/>
          <w:color w:val="000000"/>
          <w:sz w:val="24"/>
          <w:szCs w:val="24"/>
        </w:rPr>
        <w:tab/>
        <w:t>(2.4.5)</w:t>
      </w:r>
    </w:p>
    <w:p w:rsidR="00296008" w:rsidRDefault="00296008" w:rsidP="00296008">
      <w:pPr>
        <w:tabs>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where </w:t>
      </w:r>
    </w:p>
    <w:p w:rsidR="00296008" w:rsidRDefault="00296008" w:rsidP="00296008">
      <w:pPr>
        <w:tabs>
          <w:tab w:val="right" w:pos="8931"/>
        </w:tabs>
        <w:spacing w:after="0" w:line="240" w:lineRule="auto"/>
        <w:ind w:left="426" w:hanging="142"/>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COL_PH(r) is the </w:t>
      </w:r>
      <w:r w:rsidR="00092192">
        <w:rPr>
          <w:rFonts w:ascii="Times New Roman" w:hAnsi="Times New Roman" w:cs="Times New Roman"/>
          <w:bCs/>
          <w:color w:val="000000"/>
          <w:sz w:val="24"/>
          <w:szCs w:val="24"/>
        </w:rPr>
        <w:t xml:space="preserve">level of the </w:t>
      </w:r>
      <w:r>
        <w:rPr>
          <w:rFonts w:ascii="Times New Roman" w:hAnsi="Times New Roman" w:cs="Times New Roman"/>
          <w:bCs/>
          <w:color w:val="000000"/>
          <w:sz w:val="24"/>
          <w:szCs w:val="24"/>
        </w:rPr>
        <w:t>collection of revenue from the phantom tax</w:t>
      </w:r>
      <w:r w:rsidR="00092192">
        <w:rPr>
          <w:rFonts w:ascii="Times New Roman" w:hAnsi="Times New Roman" w:cs="Times New Roman"/>
          <w:bCs/>
          <w:color w:val="000000"/>
          <w:sz w:val="24"/>
          <w:szCs w:val="24"/>
        </w:rPr>
        <w:t>es</w:t>
      </w:r>
      <w:r>
        <w:rPr>
          <w:rFonts w:ascii="Times New Roman" w:hAnsi="Times New Roman" w:cs="Times New Roman"/>
          <w:bCs/>
          <w:color w:val="000000"/>
          <w:sz w:val="24"/>
          <w:szCs w:val="24"/>
        </w:rPr>
        <w:t xml:space="preserve"> on the use of capital in region r</w:t>
      </w:r>
      <w:r w:rsidR="00092192">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p>
    <w:p w:rsidR="00DB739C" w:rsidRDefault="00683109" w:rsidP="00683109">
      <w:pPr>
        <w:tabs>
          <w:tab w:val="right" w:pos="8931"/>
        </w:tabs>
        <w:spacing w:after="0" w:line="240" w:lineRule="auto"/>
        <w:rPr>
          <w:rFonts w:ascii="Times New Roman" w:hAnsi="Times New Roman" w:cs="Times New Roman"/>
          <w:bCs/>
          <w:color w:val="000000"/>
          <w:sz w:val="24"/>
          <w:szCs w:val="24"/>
        </w:rPr>
      </w:pPr>
      <w:r>
        <w:rPr>
          <w:rFonts w:ascii="Times New Roman" w:hAnsi="Times New Roman" w:cs="Times New Roman"/>
          <w:sz w:val="24"/>
          <w:szCs w:val="24"/>
        </w:rPr>
        <w:t>In (2.4.5)</w:t>
      </w:r>
      <w:r w:rsidR="00092192">
        <w:rPr>
          <w:rFonts w:ascii="Times New Roman" w:hAnsi="Times New Roman" w:cs="Times New Roman"/>
          <w:sz w:val="24"/>
          <w:szCs w:val="24"/>
        </w:rPr>
        <w:t>, the</w:t>
      </w:r>
      <w:r>
        <w:rPr>
          <w:rFonts w:ascii="Times New Roman" w:hAnsi="Times New Roman" w:cs="Times New Roman"/>
          <w:sz w:val="24"/>
          <w:szCs w:val="24"/>
        </w:rPr>
        <w:t xml:space="preserve"> </w:t>
      </w:r>
      <w:r w:rsidR="00C41887">
        <w:rPr>
          <w:rFonts w:ascii="Times New Roman" w:hAnsi="Times New Roman" w:cs="Times New Roman"/>
          <w:sz w:val="24"/>
          <w:szCs w:val="24"/>
        </w:rPr>
        <w:t xml:space="preserve">collection of revenue from phantom taxes is calculated </w:t>
      </w:r>
      <w:r w:rsidR="00C41887">
        <w:rPr>
          <w:rFonts w:ascii="Times New Roman" w:hAnsi="Times New Roman" w:cs="Times New Roman"/>
          <w:bCs/>
          <w:color w:val="000000"/>
          <w:sz w:val="24"/>
          <w:szCs w:val="24"/>
        </w:rPr>
        <w:t xml:space="preserve">as total collection of revenue from taxing capital use on by j,r </w:t>
      </w:r>
      <w:r w:rsidR="00C41887">
        <w:rPr>
          <w:rFonts w:ascii="Times New Roman" w:hAnsi="Times New Roman" w:cs="Times New Roman"/>
          <w:bCs/>
          <w:i/>
          <w:color w:val="000000"/>
          <w:sz w:val="24"/>
          <w:szCs w:val="24"/>
        </w:rPr>
        <w:t>less</w:t>
      </w:r>
      <w:r w:rsidR="00C41887">
        <w:rPr>
          <w:rFonts w:ascii="Times New Roman" w:hAnsi="Times New Roman" w:cs="Times New Roman"/>
          <w:bCs/>
          <w:color w:val="000000"/>
          <w:sz w:val="24"/>
          <w:szCs w:val="24"/>
        </w:rPr>
        <w:t xml:space="preserve"> collection of revenue from genuine taxes on capital use by j,r.  As can be seen from (2.4.5), we model genuine and phantom taxes a occurring in a sequence: genuine taxes are applied to VOA_I(“capital”,j,r) and phantom taxes are applied to VOA_I(“capital”,j,r)*TFG(“capital”,j,r).  </w:t>
      </w:r>
    </w:p>
    <w:p w:rsidR="00D1507A" w:rsidRDefault="00D1507A" w:rsidP="001224C4">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With equation (2.4.4) in place we deal with the problem of phantom tax collections simply by assuming that they sum to zero in each region.  We do this by setting them at zero in our initial database and then in each simulation year treating d_col_phc(r) as an exogenous variable set on zero.</w:t>
      </w:r>
      <w:r>
        <w:rPr>
          <w:rStyle w:val="FootnoteReference"/>
          <w:rFonts w:ascii="Times New Roman" w:hAnsi="Times New Roman" w:cs="Times New Roman"/>
          <w:bCs/>
          <w:color w:val="000000"/>
          <w:szCs w:val="24"/>
        </w:rPr>
        <w:footnoteReference w:id="4"/>
      </w:r>
      <w:r>
        <w:rPr>
          <w:rFonts w:ascii="Times New Roman" w:hAnsi="Times New Roman" w:cs="Times New Roman"/>
          <w:bCs/>
          <w:color w:val="000000"/>
          <w:sz w:val="24"/>
          <w:szCs w:val="24"/>
        </w:rPr>
        <w:t xml:space="preserve">  While these phantom taxes sum to zero in region r, they are not zero for individual industries.  For industries in which capital</w:t>
      </w:r>
      <w:r w:rsidR="00EF2661">
        <w:rPr>
          <w:rFonts w:ascii="Times New Roman" w:hAnsi="Times New Roman" w:cs="Times New Roman"/>
          <w:bCs/>
          <w:color w:val="000000"/>
          <w:sz w:val="24"/>
          <w:szCs w:val="24"/>
        </w:rPr>
        <w:t xml:space="preserve"> [as determined by (2.4.2)]</w:t>
      </w:r>
      <w:r>
        <w:rPr>
          <w:rFonts w:ascii="Times New Roman" w:hAnsi="Times New Roman" w:cs="Times New Roman"/>
          <w:bCs/>
          <w:color w:val="000000"/>
          <w:sz w:val="24"/>
          <w:szCs w:val="24"/>
        </w:rPr>
        <w:t xml:space="preserve"> </w:t>
      </w:r>
      <w:r w:rsidR="00EF2661">
        <w:rPr>
          <w:rFonts w:ascii="Times New Roman" w:hAnsi="Times New Roman" w:cs="Times New Roman"/>
          <w:bCs/>
          <w:color w:val="000000"/>
          <w:sz w:val="24"/>
          <w:szCs w:val="24"/>
        </w:rPr>
        <w:t>is scarce, the phantom taxes will be positive, damping these industries’ demand for capital.  For industries in which capital is abundant, the phantom taxes will be negative, stimulating these industries’ demand for capital.</w:t>
      </w:r>
      <w:r w:rsidR="00CA3148">
        <w:rPr>
          <w:rFonts w:ascii="Times New Roman" w:hAnsi="Times New Roman" w:cs="Times New Roman"/>
          <w:bCs/>
          <w:color w:val="000000"/>
          <w:sz w:val="24"/>
          <w:szCs w:val="24"/>
        </w:rPr>
        <w:t xml:space="preserve">  Because the collection of phantom taxes in region r sums to zero, this collection does not need to be included in government or national accounts.  This treatment also leaves the GTAP interpretation of the GTAP variable </w:t>
      </w:r>
      <w:r w:rsidR="00CA3148" w:rsidRPr="002E0C24">
        <w:rPr>
          <w:rFonts w:ascii="Times New Roman" w:hAnsi="Times New Roman" w:cs="Times New Roman"/>
          <w:bCs/>
          <w:color w:val="000000"/>
          <w:sz w:val="24"/>
          <w:szCs w:val="24"/>
        </w:rPr>
        <w:t>pm(“capital”,r)</w:t>
      </w:r>
      <w:r w:rsidR="00CA3148">
        <w:rPr>
          <w:rFonts w:ascii="Times New Roman" w:hAnsi="Times New Roman" w:cs="Times New Roman"/>
          <w:bCs/>
          <w:color w:val="000000"/>
          <w:sz w:val="24"/>
          <w:szCs w:val="24"/>
        </w:rPr>
        <w:t xml:space="preserve"> intact.  It is the percentage change in the average </w:t>
      </w:r>
      <w:r w:rsidR="00F71D6B">
        <w:rPr>
          <w:rFonts w:ascii="Times New Roman" w:hAnsi="Times New Roman" w:cs="Times New Roman"/>
          <w:bCs/>
          <w:color w:val="000000"/>
          <w:sz w:val="24"/>
          <w:szCs w:val="24"/>
        </w:rPr>
        <w:t xml:space="preserve">pre-income-tax </w:t>
      </w:r>
      <w:r w:rsidR="00CA3148">
        <w:rPr>
          <w:rFonts w:ascii="Times New Roman" w:hAnsi="Times New Roman" w:cs="Times New Roman"/>
          <w:bCs/>
          <w:color w:val="000000"/>
          <w:sz w:val="24"/>
          <w:szCs w:val="24"/>
        </w:rPr>
        <w:t xml:space="preserve">rental received by owners of capital in region r.  </w:t>
      </w:r>
    </w:p>
    <w:p w:rsidR="002472D4" w:rsidRDefault="00E267A5" w:rsidP="001224C4">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introduction of equation (2.4.4) with the left hand side set exogenously on zero raises a closure issue. </w:t>
      </w:r>
      <w:r w:rsidR="00041BF4">
        <w:rPr>
          <w:rFonts w:ascii="Times New Roman" w:hAnsi="Times New Roman" w:cs="Times New Roman"/>
          <w:bCs/>
          <w:color w:val="000000"/>
          <w:sz w:val="24"/>
          <w:szCs w:val="24"/>
        </w:rPr>
        <w:t xml:space="preserve"> The equation introduces </w:t>
      </w:r>
      <w:r>
        <w:rPr>
          <w:rFonts w:ascii="Times New Roman" w:hAnsi="Times New Roman" w:cs="Times New Roman"/>
          <w:bCs/>
          <w:color w:val="000000"/>
          <w:sz w:val="24"/>
          <w:szCs w:val="24"/>
        </w:rPr>
        <w:t xml:space="preserve">R new restrictions where R is the number of regions.  What are the R variables in standard GTAP that should now be endogenized?  </w:t>
      </w:r>
    </w:p>
    <w:p w:rsidR="00E267A5" w:rsidRDefault="00072DEE" w:rsidP="001224C4">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 standard GTAP, the </w:t>
      </w:r>
      <w:r w:rsidR="00041BF4">
        <w:rPr>
          <w:rFonts w:ascii="Times New Roman" w:hAnsi="Times New Roman" w:cs="Times New Roman"/>
          <w:bCs/>
          <w:color w:val="000000"/>
          <w:sz w:val="24"/>
          <w:szCs w:val="24"/>
        </w:rPr>
        <w:t xml:space="preserve">quantity </w:t>
      </w:r>
      <w:r>
        <w:rPr>
          <w:rFonts w:ascii="Times New Roman" w:hAnsi="Times New Roman" w:cs="Times New Roman"/>
          <w:bCs/>
          <w:color w:val="000000"/>
          <w:sz w:val="24"/>
          <w:szCs w:val="24"/>
        </w:rPr>
        <w:t xml:space="preserve">of the homogeneous capital entity </w:t>
      </w:r>
      <w:r w:rsidR="00041BF4">
        <w:rPr>
          <w:rFonts w:ascii="Times New Roman" w:hAnsi="Times New Roman" w:cs="Times New Roman"/>
          <w:bCs/>
          <w:color w:val="000000"/>
          <w:sz w:val="24"/>
          <w:szCs w:val="24"/>
        </w:rPr>
        <w:t xml:space="preserve">that is available in each region </w:t>
      </w:r>
      <w:r>
        <w:rPr>
          <w:rFonts w:ascii="Times New Roman" w:hAnsi="Times New Roman" w:cs="Times New Roman"/>
          <w:bCs/>
          <w:color w:val="000000"/>
          <w:sz w:val="24"/>
          <w:szCs w:val="24"/>
        </w:rPr>
        <w:t xml:space="preserve">at the start of each </w:t>
      </w:r>
      <w:r w:rsidR="00041BF4">
        <w:rPr>
          <w:rFonts w:ascii="Times New Roman" w:hAnsi="Times New Roman" w:cs="Times New Roman"/>
          <w:bCs/>
          <w:color w:val="000000"/>
          <w:sz w:val="24"/>
          <w:szCs w:val="24"/>
        </w:rPr>
        <w:t>year</w:t>
      </w:r>
      <w:r>
        <w:rPr>
          <w:rFonts w:ascii="Times New Roman" w:hAnsi="Times New Roman" w:cs="Times New Roman"/>
          <w:bCs/>
          <w:color w:val="000000"/>
          <w:sz w:val="24"/>
          <w:szCs w:val="24"/>
        </w:rPr>
        <w:t xml:space="preserve"> is either exogenous or predetermined.  Whatever standard </w:t>
      </w:r>
      <w:r>
        <w:rPr>
          <w:rFonts w:ascii="Times New Roman" w:hAnsi="Times New Roman" w:cs="Times New Roman"/>
          <w:bCs/>
          <w:color w:val="000000"/>
          <w:sz w:val="24"/>
          <w:szCs w:val="24"/>
        </w:rPr>
        <w:lastRenderedPageBreak/>
        <w:t>treatment was chosen</w:t>
      </w:r>
      <w:r w:rsidR="00041BF4">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it must now be turned off.  This will involve either endogenization of </w:t>
      </w:r>
      <w:r w:rsidR="00041BF4">
        <w:rPr>
          <w:rFonts w:ascii="Times New Roman" w:hAnsi="Times New Roman" w:cs="Times New Roman"/>
          <w:bCs/>
          <w:color w:val="000000"/>
          <w:sz w:val="24"/>
          <w:szCs w:val="24"/>
        </w:rPr>
        <w:t xml:space="preserve">the R </w:t>
      </w:r>
      <w:r>
        <w:rPr>
          <w:rFonts w:ascii="Times New Roman" w:hAnsi="Times New Roman" w:cs="Times New Roman"/>
          <w:bCs/>
          <w:color w:val="000000"/>
          <w:sz w:val="24"/>
          <w:szCs w:val="24"/>
        </w:rPr>
        <w:t xml:space="preserve">aggregate capital stocks themselves or </w:t>
      </w:r>
      <w:r w:rsidR="00041BF4">
        <w:rPr>
          <w:rFonts w:ascii="Times New Roman" w:hAnsi="Times New Roman" w:cs="Times New Roman"/>
          <w:bCs/>
          <w:color w:val="000000"/>
          <w:sz w:val="24"/>
          <w:szCs w:val="24"/>
        </w:rPr>
        <w:t xml:space="preserve">endogenization of </w:t>
      </w:r>
      <w:r>
        <w:rPr>
          <w:rFonts w:ascii="Times New Roman" w:hAnsi="Times New Roman" w:cs="Times New Roman"/>
          <w:bCs/>
          <w:color w:val="000000"/>
          <w:sz w:val="24"/>
          <w:szCs w:val="24"/>
        </w:rPr>
        <w:t>a</w:t>
      </w:r>
      <w:r w:rsidR="00041BF4">
        <w:rPr>
          <w:rFonts w:ascii="Times New Roman" w:hAnsi="Times New Roman" w:cs="Times New Roman"/>
          <w:bCs/>
          <w:color w:val="000000"/>
          <w:sz w:val="24"/>
          <w:szCs w:val="24"/>
        </w:rPr>
        <w:t>n R-dimensional shift variable generating the predetermined values of aggregate capital stocks.  With industry specificity of capital stocks in each region, aggregate capital is merely an R-dimension</w:t>
      </w:r>
      <w:r w:rsidR="002472D4">
        <w:rPr>
          <w:rFonts w:ascii="Times New Roman" w:hAnsi="Times New Roman" w:cs="Times New Roman"/>
          <w:bCs/>
          <w:color w:val="000000"/>
          <w:sz w:val="24"/>
          <w:szCs w:val="24"/>
        </w:rPr>
        <w:t>al</w:t>
      </w:r>
      <w:r w:rsidR="00041BF4">
        <w:rPr>
          <w:rFonts w:ascii="Times New Roman" w:hAnsi="Times New Roman" w:cs="Times New Roman"/>
          <w:bCs/>
          <w:color w:val="000000"/>
          <w:sz w:val="24"/>
          <w:szCs w:val="24"/>
        </w:rPr>
        <w:t xml:space="preserve"> endogenous variable </w:t>
      </w:r>
      <w:r w:rsidR="002472D4">
        <w:rPr>
          <w:rFonts w:ascii="Times New Roman" w:hAnsi="Times New Roman" w:cs="Times New Roman"/>
          <w:bCs/>
          <w:color w:val="000000"/>
          <w:sz w:val="24"/>
          <w:szCs w:val="24"/>
        </w:rPr>
        <w:t>whose only role is</w:t>
      </w:r>
      <w:r w:rsidR="00041BF4">
        <w:rPr>
          <w:rFonts w:ascii="Times New Roman" w:hAnsi="Times New Roman" w:cs="Times New Roman"/>
          <w:bCs/>
          <w:color w:val="000000"/>
          <w:sz w:val="24"/>
          <w:szCs w:val="24"/>
        </w:rPr>
        <w:t xml:space="preserve"> in </w:t>
      </w:r>
      <w:r w:rsidR="002472D4">
        <w:rPr>
          <w:rFonts w:ascii="Times New Roman" w:hAnsi="Times New Roman" w:cs="Times New Roman"/>
          <w:bCs/>
          <w:color w:val="000000"/>
          <w:sz w:val="24"/>
          <w:szCs w:val="24"/>
        </w:rPr>
        <w:t xml:space="preserve">the analysis and </w:t>
      </w:r>
      <w:r w:rsidR="00041BF4">
        <w:rPr>
          <w:rFonts w:ascii="Times New Roman" w:hAnsi="Times New Roman" w:cs="Times New Roman"/>
          <w:bCs/>
          <w:color w:val="000000"/>
          <w:sz w:val="24"/>
          <w:szCs w:val="24"/>
        </w:rPr>
        <w:t>reporting</w:t>
      </w:r>
      <w:r w:rsidR="002472D4">
        <w:rPr>
          <w:rFonts w:ascii="Times New Roman" w:hAnsi="Times New Roman" w:cs="Times New Roman"/>
          <w:bCs/>
          <w:color w:val="000000"/>
          <w:sz w:val="24"/>
          <w:szCs w:val="24"/>
        </w:rPr>
        <w:t xml:space="preserve"> of</w:t>
      </w:r>
      <w:r w:rsidR="00041BF4">
        <w:rPr>
          <w:rFonts w:ascii="Times New Roman" w:hAnsi="Times New Roman" w:cs="Times New Roman"/>
          <w:bCs/>
          <w:color w:val="000000"/>
          <w:sz w:val="24"/>
          <w:szCs w:val="24"/>
        </w:rPr>
        <w:t xml:space="preserve"> results.  For each region it is calculated as the sum of the region’s industry capital stocks.   </w:t>
      </w:r>
    </w:p>
    <w:p w:rsidR="002472D4" w:rsidRPr="002472D4" w:rsidRDefault="002472D4" w:rsidP="001224C4">
      <w:pPr>
        <w:spacing w:before="120" w:after="0" w:line="240" w:lineRule="auto"/>
        <w:rPr>
          <w:rFonts w:ascii="Times New Roman" w:hAnsi="Times New Roman" w:cs="Times New Roman"/>
          <w:bCs/>
          <w:i/>
          <w:color w:val="000000"/>
          <w:sz w:val="24"/>
          <w:szCs w:val="24"/>
        </w:rPr>
      </w:pPr>
      <w:r>
        <w:rPr>
          <w:rFonts w:ascii="Times New Roman" w:hAnsi="Times New Roman" w:cs="Times New Roman"/>
          <w:bCs/>
          <w:i/>
          <w:color w:val="000000"/>
          <w:sz w:val="24"/>
          <w:szCs w:val="24"/>
        </w:rPr>
        <w:t xml:space="preserve">Investment in a model with industry-specific capital </w:t>
      </w:r>
    </w:p>
    <w:p w:rsidR="00AA6B6F" w:rsidRDefault="00862EFB" w:rsidP="001224C4">
      <w:pPr>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To implement (2.4.1) we need values for the data year for start and end-of-year capital stocks by industry and region, VKB_I_B(j,r) and VKE_I_B(j,r).  For the application of GTAP-MVH reported in section 3 we deduced these values for the data year (2015) from GTAP data updated from 2011 to 2015 on aggregate capital and investment in each region.  Within regions we assumed that start-of-year capital was distributed across industries in proportion to input-output values on rental payments to capital by industry.  Then we assumed that investment was distributed across industries in proportion to start-of-year capital.  Finally we introduced assumptions about </w:t>
      </w:r>
      <w:r w:rsidR="00495CE8">
        <w:rPr>
          <w:rFonts w:ascii="Times New Roman" w:hAnsi="Times New Roman" w:cs="Times New Roman"/>
          <w:bCs/>
          <w:color w:val="000000"/>
          <w:sz w:val="24"/>
          <w:szCs w:val="24"/>
        </w:rPr>
        <w:t xml:space="preserve">depreciation </w:t>
      </w:r>
      <w:r>
        <w:rPr>
          <w:rFonts w:ascii="Times New Roman" w:hAnsi="Times New Roman" w:cs="Times New Roman"/>
          <w:bCs/>
          <w:color w:val="000000"/>
          <w:sz w:val="24"/>
          <w:szCs w:val="24"/>
        </w:rPr>
        <w:t xml:space="preserve">the </w:t>
      </w:r>
      <w:r w:rsidR="00AA6B6F">
        <w:rPr>
          <w:rFonts w:ascii="Times New Roman" w:hAnsi="Times New Roman" w:cs="Times New Roman"/>
          <w:bCs/>
          <w:color w:val="000000"/>
          <w:sz w:val="24"/>
          <w:szCs w:val="24"/>
        </w:rPr>
        <w:t>growth in capital goods prices from 2014 to 2015 allowing us to compute the values of end-of-year capital stocks from the formula</w:t>
      </w:r>
      <w:r w:rsidR="00AB602E">
        <w:rPr>
          <w:rFonts w:ascii="Times New Roman" w:hAnsi="Times New Roman" w:cs="Times New Roman"/>
          <w:bCs/>
          <w:color w:val="000000"/>
          <w:sz w:val="24"/>
          <w:szCs w:val="24"/>
        </w:rPr>
        <w:t>s</w:t>
      </w:r>
      <w:r w:rsidR="00AA6B6F">
        <w:rPr>
          <w:rFonts w:ascii="Times New Roman" w:hAnsi="Times New Roman" w:cs="Times New Roman"/>
          <w:bCs/>
          <w:color w:val="000000"/>
          <w:sz w:val="24"/>
          <w:szCs w:val="24"/>
        </w:rPr>
        <w:t>:</w:t>
      </w:r>
    </w:p>
    <w:p w:rsidR="00AA6B6F" w:rsidRDefault="00495CE8" w:rsidP="00AA6B6F">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B602E">
        <w:rPr>
          <w:rFonts w:ascii="Times New Roman" w:hAnsi="Times New Roman" w:cs="Times New Roman"/>
          <w:position w:val="-30"/>
          <w:sz w:val="24"/>
          <w:szCs w:val="24"/>
        </w:rPr>
        <w:object w:dxaOrig="8400" w:dyaOrig="680">
          <v:shape id="_x0000_i1040" type="#_x0000_t75" style="width:419.5pt;height:33.8pt" o:ole="">
            <v:imagedata r:id="rId39" o:title=""/>
          </v:shape>
          <o:OLEObject Type="Embed" ProgID="Equation.DSMT4" ShapeID="_x0000_i1040" DrawAspect="Content" ObjectID="_1616394660" r:id="rId40"/>
        </w:object>
      </w:r>
      <w:r w:rsidR="00AA6B6F">
        <w:rPr>
          <w:rFonts w:ascii="Times New Roman" w:hAnsi="Times New Roman" w:cs="Times New Roman"/>
          <w:sz w:val="24"/>
          <w:szCs w:val="24"/>
        </w:rPr>
        <w:t xml:space="preserve"> </w:t>
      </w:r>
      <w:r w:rsidR="00AA6B6F">
        <w:rPr>
          <w:rFonts w:ascii="Times New Roman" w:hAnsi="Times New Roman" w:cs="Times New Roman"/>
          <w:sz w:val="24"/>
          <w:szCs w:val="24"/>
        </w:rPr>
        <w:tab/>
        <w:t>(2.4.</w:t>
      </w:r>
      <w:r w:rsidR="00AB602E">
        <w:rPr>
          <w:rFonts w:ascii="Times New Roman" w:hAnsi="Times New Roman" w:cs="Times New Roman"/>
          <w:sz w:val="24"/>
          <w:szCs w:val="24"/>
        </w:rPr>
        <w:t>6</w:t>
      </w:r>
      <w:r w:rsidR="00AA6B6F">
        <w:rPr>
          <w:rFonts w:ascii="Times New Roman" w:hAnsi="Times New Roman" w:cs="Times New Roman"/>
          <w:sz w:val="24"/>
          <w:szCs w:val="24"/>
        </w:rPr>
        <w:t>)</w:t>
      </w:r>
    </w:p>
    <w:p w:rsidR="00495CE8" w:rsidRDefault="00495CE8" w:rsidP="00AA6B6F">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and</w:t>
      </w:r>
    </w:p>
    <w:p w:rsidR="002472D4" w:rsidRDefault="00495CE8" w:rsidP="00495CE8">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4768A2" w:rsidRPr="00AB602E">
        <w:rPr>
          <w:rFonts w:ascii="Times New Roman" w:hAnsi="Times New Roman" w:cs="Times New Roman"/>
          <w:bCs/>
          <w:color w:val="000000"/>
          <w:position w:val="-30"/>
          <w:sz w:val="24"/>
          <w:szCs w:val="24"/>
        </w:rPr>
        <w:object w:dxaOrig="5700" w:dyaOrig="680">
          <v:shape id="_x0000_i1041" type="#_x0000_t75" style="width:284.85pt;height:33.8pt" o:ole="">
            <v:imagedata r:id="rId41" o:title=""/>
          </v:shape>
          <o:OLEObject Type="Embed" ProgID="Equation.DSMT4" ShapeID="_x0000_i1041" DrawAspect="Content" ObjectID="_1616394661" r:id="rId42"/>
        </w:object>
      </w:r>
      <w:r w:rsidR="00862EF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(2.4.7)</w:t>
      </w:r>
    </w:p>
    <w:p w:rsidR="00495CE8" w:rsidRDefault="00495CE8" w:rsidP="00495CE8">
      <w:pPr>
        <w:tabs>
          <w:tab w:val="left" w:pos="567"/>
        </w:tabs>
        <w:spacing w:before="20" w:after="2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In these formulas: </w:t>
      </w:r>
    </w:p>
    <w:p w:rsidR="00524FED" w:rsidRDefault="00495CE8" w:rsidP="00495CE8">
      <w:pPr>
        <w:tabs>
          <w:tab w:val="left" w:pos="567"/>
        </w:tabs>
        <w:spacing w:before="20" w:after="20" w:line="240" w:lineRule="auto"/>
        <w:ind w:left="567" w:hanging="283"/>
        <w:rPr>
          <w:rFonts w:ascii="Times New Roman" w:hAnsi="Times New Roman" w:cs="Times New Roman"/>
          <w:sz w:val="24"/>
          <w:szCs w:val="24"/>
        </w:rPr>
      </w:pPr>
      <w:r w:rsidRPr="00495CE8">
        <w:rPr>
          <w:rFonts w:ascii="Times New Roman" w:hAnsi="Times New Roman" w:cs="Times New Roman"/>
          <w:position w:val="-12"/>
          <w:sz w:val="24"/>
          <w:szCs w:val="24"/>
        </w:rPr>
        <w:object w:dxaOrig="1600" w:dyaOrig="360">
          <v:shape id="_x0000_i1042" type="#_x0000_t75" style="width:80.15pt;height:17.55pt" o:ole="">
            <v:imagedata r:id="rId43" o:title=""/>
          </v:shape>
          <o:OLEObject Type="Embed" ProgID="Equation.DSMT4" ShapeID="_x0000_i1042" DrawAspect="Content" ObjectID="_1616394662" r:id="rId44"/>
        </w:object>
      </w:r>
      <w:r>
        <w:rPr>
          <w:rFonts w:ascii="Times New Roman" w:hAnsi="Times New Roman" w:cs="Times New Roman"/>
          <w:sz w:val="24"/>
          <w:szCs w:val="24"/>
        </w:rPr>
        <w:t xml:space="preserve"> and </w:t>
      </w:r>
      <w:r w:rsidRPr="00495CE8">
        <w:rPr>
          <w:rFonts w:ascii="Times New Roman" w:hAnsi="Times New Roman" w:cs="Times New Roman"/>
          <w:position w:val="-12"/>
          <w:sz w:val="24"/>
          <w:szCs w:val="24"/>
        </w:rPr>
        <w:object w:dxaOrig="1680" w:dyaOrig="360">
          <v:shape id="_x0000_i1043" type="#_x0000_t75" style="width:84.5pt;height:17.55pt" o:ole="">
            <v:imagedata r:id="rId45" o:title=""/>
          </v:shape>
          <o:OLEObject Type="Embed" ProgID="Equation.DSMT4" ShapeID="_x0000_i1043" DrawAspect="Content" ObjectID="_1616394663" r:id="rId46"/>
        </w:object>
      </w:r>
      <w:r>
        <w:rPr>
          <w:rFonts w:ascii="Times New Roman" w:hAnsi="Times New Roman" w:cs="Times New Roman"/>
          <w:sz w:val="24"/>
          <w:szCs w:val="24"/>
        </w:rPr>
        <w:t xml:space="preserve"> are the 2015 values of start-of-year capital and gross investment in industry j,r deduced from updated GTAP data as described above.  </w:t>
      </w:r>
    </w:p>
    <w:p w:rsidR="00495CE8" w:rsidRDefault="00495CE8" w:rsidP="004768A2">
      <w:pPr>
        <w:tabs>
          <w:tab w:val="left" w:pos="567"/>
        </w:tabs>
        <w:spacing w:before="20" w:after="20" w:line="240" w:lineRule="auto"/>
        <w:ind w:left="567" w:hanging="283"/>
        <w:rPr>
          <w:rFonts w:ascii="Times New Roman" w:hAnsi="Times New Roman" w:cs="Times New Roman"/>
          <w:sz w:val="24"/>
          <w:szCs w:val="24"/>
        </w:rPr>
      </w:pPr>
      <w:r w:rsidRPr="00495CE8">
        <w:rPr>
          <w:rFonts w:ascii="Times New Roman" w:hAnsi="Times New Roman" w:cs="Times New Roman"/>
          <w:position w:val="-12"/>
          <w:sz w:val="24"/>
          <w:szCs w:val="24"/>
        </w:rPr>
        <w:object w:dxaOrig="1560" w:dyaOrig="360">
          <v:shape id="_x0000_i1044" type="#_x0000_t75" style="width:77.65pt;height:17.55pt" o:ole="">
            <v:imagedata r:id="rId47" o:title=""/>
          </v:shape>
          <o:OLEObject Type="Embed" ProgID="Equation.DSMT4" ShapeID="_x0000_i1044" DrawAspect="Content" ObjectID="_1616394664" r:id="rId48"/>
        </w:object>
      </w:r>
      <w:r>
        <w:rPr>
          <w:rFonts w:ascii="Times New Roman" w:hAnsi="Times New Roman" w:cs="Times New Roman"/>
          <w:sz w:val="24"/>
          <w:szCs w:val="24"/>
        </w:rPr>
        <w:t xml:space="preserve"> and </w:t>
      </w:r>
      <w:r w:rsidRPr="00495CE8">
        <w:rPr>
          <w:rFonts w:ascii="Times New Roman" w:hAnsi="Times New Roman" w:cs="Times New Roman"/>
          <w:position w:val="-12"/>
          <w:sz w:val="24"/>
          <w:szCs w:val="24"/>
        </w:rPr>
        <w:object w:dxaOrig="1560" w:dyaOrig="360">
          <v:shape id="_x0000_i1045" type="#_x0000_t75" style="width:77.65pt;height:17.55pt" o:ole="">
            <v:imagedata r:id="rId49" o:title=""/>
          </v:shape>
          <o:OLEObject Type="Embed" ProgID="Equation.DSMT4" ShapeID="_x0000_i1045" DrawAspect="Content" ObjectID="_1616394665" r:id="rId50"/>
        </w:object>
      </w:r>
      <w:r w:rsidR="004768A2">
        <w:rPr>
          <w:rFonts w:ascii="Times New Roman" w:hAnsi="Times New Roman" w:cs="Times New Roman"/>
          <w:sz w:val="24"/>
          <w:szCs w:val="24"/>
        </w:rPr>
        <w:t xml:space="preserve">are the 2014 and 2015 levels of capital goods prices in region r.  Following the convention described in Figure </w:t>
      </w:r>
      <w:r w:rsidR="00342D2E">
        <w:rPr>
          <w:rFonts w:ascii="Times New Roman" w:hAnsi="Times New Roman" w:cs="Times New Roman"/>
          <w:sz w:val="24"/>
          <w:szCs w:val="24"/>
        </w:rPr>
        <w:t>2.</w:t>
      </w:r>
      <w:r w:rsidR="004768A2">
        <w:rPr>
          <w:rFonts w:ascii="Times New Roman" w:hAnsi="Times New Roman" w:cs="Times New Roman"/>
          <w:sz w:val="24"/>
          <w:szCs w:val="24"/>
        </w:rPr>
        <w:t xml:space="preserve">1, we use </w:t>
      </w:r>
      <w:r w:rsidR="004768A2" w:rsidRPr="00495CE8">
        <w:rPr>
          <w:rFonts w:ascii="Times New Roman" w:hAnsi="Times New Roman" w:cs="Times New Roman"/>
          <w:position w:val="-12"/>
          <w:sz w:val="24"/>
          <w:szCs w:val="24"/>
        </w:rPr>
        <w:object w:dxaOrig="1560" w:dyaOrig="360">
          <v:shape id="_x0000_i1046" type="#_x0000_t75" style="width:77.65pt;height:17.55pt" o:ole="">
            <v:imagedata r:id="rId47" o:title=""/>
          </v:shape>
          <o:OLEObject Type="Embed" ProgID="Equation.DSMT4" ShapeID="_x0000_i1046" DrawAspect="Content" ObjectID="_1616394666" r:id="rId51"/>
        </w:object>
      </w:r>
      <w:r w:rsidR="004768A2">
        <w:rPr>
          <w:rFonts w:ascii="Times New Roman" w:hAnsi="Times New Roman" w:cs="Times New Roman"/>
          <w:sz w:val="24"/>
          <w:szCs w:val="24"/>
        </w:rPr>
        <w:t xml:space="preserve"> to represent capital goods prices at the start of 2015 and </w:t>
      </w:r>
      <w:r w:rsidR="004768A2" w:rsidRPr="00495CE8">
        <w:rPr>
          <w:rFonts w:ascii="Times New Roman" w:hAnsi="Times New Roman" w:cs="Times New Roman"/>
          <w:position w:val="-12"/>
          <w:sz w:val="24"/>
          <w:szCs w:val="24"/>
        </w:rPr>
        <w:object w:dxaOrig="1560" w:dyaOrig="360">
          <v:shape id="_x0000_i1047" type="#_x0000_t75" style="width:77.65pt;height:17.55pt" o:ole="">
            <v:imagedata r:id="rId49" o:title=""/>
          </v:shape>
          <o:OLEObject Type="Embed" ProgID="Equation.DSMT4" ShapeID="_x0000_i1047" DrawAspect="Content" ObjectID="_1616394667" r:id="rId52"/>
        </w:object>
      </w:r>
      <w:r w:rsidR="004768A2">
        <w:rPr>
          <w:rFonts w:ascii="Times New Roman" w:hAnsi="Times New Roman" w:cs="Times New Roman"/>
          <w:sz w:val="24"/>
          <w:szCs w:val="24"/>
        </w:rPr>
        <w:t xml:space="preserve">to represent capital goods prices at the end of 2015.  </w:t>
      </w:r>
    </w:p>
    <w:p w:rsidR="004768A2" w:rsidRDefault="004768A2" w:rsidP="004768A2">
      <w:pPr>
        <w:tabs>
          <w:tab w:val="left" w:pos="567"/>
        </w:tabs>
        <w:spacing w:before="20" w:after="20" w:line="240" w:lineRule="auto"/>
        <w:ind w:left="567" w:hanging="283"/>
        <w:rPr>
          <w:rFonts w:ascii="Times New Roman" w:hAnsi="Times New Roman" w:cs="Times New Roman"/>
          <w:sz w:val="24"/>
          <w:szCs w:val="24"/>
        </w:rPr>
      </w:pPr>
      <w:r w:rsidRPr="004768A2">
        <w:rPr>
          <w:rFonts w:ascii="Times New Roman" w:hAnsi="Times New Roman" w:cs="Times New Roman"/>
          <w:position w:val="-12"/>
          <w:sz w:val="24"/>
          <w:szCs w:val="24"/>
        </w:rPr>
        <w:object w:dxaOrig="1400" w:dyaOrig="360">
          <v:shape id="_x0000_i1048" type="#_x0000_t75" style="width:70.1pt;height:17.55pt" o:ole="">
            <v:imagedata r:id="rId53" o:title=""/>
          </v:shape>
          <o:OLEObject Type="Embed" ProgID="Equation.DSMT4" ShapeID="_x0000_i1048" DrawAspect="Content" ObjectID="_1616394668" r:id="rId54"/>
        </w:object>
      </w:r>
      <w:r>
        <w:rPr>
          <w:rFonts w:ascii="Times New Roman" w:hAnsi="Times New Roman" w:cs="Times New Roman"/>
          <w:sz w:val="24"/>
          <w:szCs w:val="24"/>
        </w:rPr>
        <w:t xml:space="preserve"> is the value in 2015 of depreciation of j,r’s capital.  </w:t>
      </w:r>
    </w:p>
    <w:p w:rsidR="004768A2" w:rsidRDefault="004768A2" w:rsidP="004768A2">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D(j,r) is the rate of depreciation in industry j,r.  We have assumed that this is 0.04 for all industries and regions.  </w:t>
      </w:r>
      <w:r w:rsidR="000244A3">
        <w:rPr>
          <w:rFonts w:ascii="Times New Roman" w:hAnsi="Times New Roman" w:cs="Times New Roman"/>
          <w:sz w:val="24"/>
          <w:szCs w:val="24"/>
        </w:rPr>
        <w:t xml:space="preserve">Ideally, D should be given a genuine industry/region dimension.  </w:t>
      </w:r>
    </w:p>
    <w:p w:rsidR="004768A2" w:rsidRDefault="00011CD6" w:rsidP="00011CD6">
      <w:pPr>
        <w:tabs>
          <w:tab w:val="left" w:pos="567"/>
        </w:tabs>
        <w:spacing w:before="120" w:after="0" w:line="240" w:lineRule="auto"/>
        <w:rPr>
          <w:rFonts w:ascii="Times New Roman" w:hAnsi="Times New Roman" w:cs="Times New Roman"/>
          <w:sz w:val="24"/>
          <w:szCs w:val="24"/>
        </w:rPr>
      </w:pPr>
      <w:r>
        <w:rPr>
          <w:rFonts w:ascii="Times New Roman" w:hAnsi="Times New Roman" w:cs="Times New Roman"/>
          <w:sz w:val="24"/>
          <w:szCs w:val="24"/>
        </w:rPr>
        <w:t>To move forward from the data year</w:t>
      </w:r>
      <w:r w:rsidR="00B843CF">
        <w:rPr>
          <w:rFonts w:ascii="Times New Roman" w:hAnsi="Times New Roman" w:cs="Times New Roman"/>
          <w:sz w:val="24"/>
          <w:szCs w:val="24"/>
        </w:rPr>
        <w:t>,</w:t>
      </w:r>
      <w:r>
        <w:rPr>
          <w:rFonts w:ascii="Times New Roman" w:hAnsi="Times New Roman" w:cs="Times New Roman"/>
          <w:sz w:val="24"/>
          <w:szCs w:val="24"/>
        </w:rPr>
        <w:t xml:space="preserve"> we need a theory of investment </w:t>
      </w:r>
      <w:r w:rsidR="00B843CF">
        <w:rPr>
          <w:rFonts w:ascii="Times New Roman" w:hAnsi="Times New Roman" w:cs="Times New Roman"/>
          <w:sz w:val="24"/>
          <w:szCs w:val="24"/>
        </w:rPr>
        <w:t xml:space="preserve">by industry and region </w:t>
      </w:r>
      <w:r>
        <w:rPr>
          <w:rFonts w:ascii="Times New Roman" w:hAnsi="Times New Roman" w:cs="Times New Roman"/>
          <w:sz w:val="24"/>
          <w:szCs w:val="24"/>
        </w:rPr>
        <w:t>or equivalently a theory to determine the relationship between start-of-year and end-of-year capital stocks by industry and region.  We adapt the GTAP theory which itself was originally taken from Australia’s ORANI model.</w:t>
      </w:r>
      <w:r>
        <w:rPr>
          <w:rStyle w:val="FootnoteReference"/>
          <w:rFonts w:ascii="Times New Roman" w:hAnsi="Times New Roman" w:cs="Times New Roman"/>
          <w:szCs w:val="24"/>
        </w:rPr>
        <w:footnoteReference w:id="5"/>
      </w:r>
      <w:r>
        <w:rPr>
          <w:rFonts w:ascii="Times New Roman" w:hAnsi="Times New Roman" w:cs="Times New Roman"/>
          <w:sz w:val="24"/>
          <w:szCs w:val="24"/>
        </w:rPr>
        <w:t xml:space="preserve">  </w:t>
      </w:r>
      <w:r w:rsidR="00236B71">
        <w:rPr>
          <w:rFonts w:ascii="Times New Roman" w:hAnsi="Times New Roman" w:cs="Times New Roman"/>
          <w:sz w:val="24"/>
          <w:szCs w:val="24"/>
        </w:rPr>
        <w:t xml:space="preserve">In change and percentage change form, similar to that in GTAP-MVH’s GEMPACK code, the equations for our </w:t>
      </w:r>
      <w:r>
        <w:rPr>
          <w:rFonts w:ascii="Times New Roman" w:hAnsi="Times New Roman" w:cs="Times New Roman"/>
          <w:sz w:val="24"/>
          <w:szCs w:val="24"/>
        </w:rPr>
        <w:t xml:space="preserve">adapted theory </w:t>
      </w:r>
      <w:r w:rsidR="00236B71">
        <w:rPr>
          <w:rFonts w:ascii="Times New Roman" w:hAnsi="Times New Roman" w:cs="Times New Roman"/>
          <w:sz w:val="24"/>
          <w:szCs w:val="24"/>
        </w:rPr>
        <w:t>are as follows</w:t>
      </w:r>
      <w:r w:rsidR="007127B4">
        <w:rPr>
          <w:rStyle w:val="FootnoteReference"/>
          <w:rFonts w:ascii="Times New Roman" w:hAnsi="Times New Roman" w:cs="Times New Roman"/>
          <w:szCs w:val="24"/>
        </w:rPr>
        <w:footnoteReference w:id="6"/>
      </w:r>
      <w:r>
        <w:rPr>
          <w:rFonts w:ascii="Times New Roman" w:hAnsi="Times New Roman" w:cs="Times New Roman"/>
          <w:sz w:val="24"/>
          <w:szCs w:val="24"/>
        </w:rPr>
        <w:t>:</w:t>
      </w:r>
    </w:p>
    <w:p w:rsidR="00236B71" w:rsidRDefault="00236B71" w:rsidP="00236B71">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7127B4" w:rsidRPr="00236B71">
        <w:rPr>
          <w:rFonts w:ascii="Times New Roman" w:hAnsi="Times New Roman" w:cs="Times New Roman"/>
          <w:bCs/>
          <w:color w:val="000000"/>
          <w:position w:val="-14"/>
          <w:sz w:val="24"/>
          <w:szCs w:val="24"/>
        </w:rPr>
        <w:object w:dxaOrig="6440" w:dyaOrig="400">
          <v:shape id="_x0000_i1049" type="#_x0000_t75" style="width:321.2pt;height:20.65pt" o:ole="">
            <v:imagedata r:id="rId55" o:title=""/>
          </v:shape>
          <o:OLEObject Type="Embed" ProgID="Equation.DSMT4" ShapeID="_x0000_i1049" DrawAspect="Content" ObjectID="_1616394669" r:id="rId56"/>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(2.4.8)</w:t>
      </w:r>
    </w:p>
    <w:p w:rsidR="00822234" w:rsidRDefault="00822234" w:rsidP="00822234">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9C7074" w:rsidRPr="004434EB">
        <w:rPr>
          <w:rFonts w:ascii="Times New Roman" w:hAnsi="Times New Roman" w:cs="Times New Roman"/>
          <w:bCs/>
          <w:color w:val="000000"/>
          <w:position w:val="-28"/>
          <w:sz w:val="24"/>
          <w:szCs w:val="24"/>
        </w:rPr>
        <w:object w:dxaOrig="4959" w:dyaOrig="660">
          <v:shape id="_x0000_i1050" type="#_x0000_t75" style="width:247.95pt;height:31.95pt" o:ole="">
            <v:imagedata r:id="rId57" o:title=""/>
          </v:shape>
          <o:OLEObject Type="Embed" ProgID="Equation.DSMT4" ShapeID="_x0000_i1050" DrawAspect="Content" ObjectID="_1616394670" r:id="rId58"/>
        </w:object>
      </w:r>
      <w:r w:rsidRPr="004434EB">
        <w:rPr>
          <w:rFonts w:ascii="Times New Roman" w:hAnsi="Times New Roman" w:cs="Times New Roman"/>
          <w:bCs/>
          <w:color w:val="000000"/>
          <w:sz w:val="24"/>
          <w:szCs w:val="24"/>
        </w:rPr>
        <w:t xml:space="preserve"> </w:t>
      </w:r>
      <w:r w:rsidRPr="004434EB">
        <w:rPr>
          <w:rFonts w:ascii="Times New Roman" w:hAnsi="Times New Roman" w:cs="Times New Roman"/>
          <w:bCs/>
          <w:color w:val="000000"/>
          <w:sz w:val="24"/>
          <w:szCs w:val="24"/>
        </w:rPr>
        <w:tab/>
        <w:t>(2.4.9)</w:t>
      </w:r>
    </w:p>
    <w:p w:rsidR="00236B71" w:rsidRDefault="00236B71" w:rsidP="004434EB">
      <w:pPr>
        <w:tabs>
          <w:tab w:val="left" w:pos="142"/>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b/>
      </w:r>
      <w:r w:rsidR="005B68D8" w:rsidRPr="004434EB">
        <w:rPr>
          <w:rFonts w:ascii="Times New Roman" w:hAnsi="Times New Roman" w:cs="Times New Roman"/>
          <w:bCs/>
          <w:color w:val="000000"/>
          <w:position w:val="-66"/>
          <w:sz w:val="24"/>
          <w:szCs w:val="24"/>
        </w:rPr>
        <w:object w:dxaOrig="7860" w:dyaOrig="1440">
          <v:shape id="_x0000_i1051" type="#_x0000_t75" style="width:393.2pt;height:1in" o:ole="">
            <v:imagedata r:id="rId59" o:title=""/>
          </v:shape>
          <o:OLEObject Type="Embed" ProgID="Equation.DSMT4" ShapeID="_x0000_i1051" DrawAspect="Content" ObjectID="_1616394671" r:id="rId60"/>
        </w:object>
      </w:r>
      <w:r w:rsidRPr="004434EB">
        <w:rPr>
          <w:rFonts w:ascii="Times New Roman" w:hAnsi="Times New Roman" w:cs="Times New Roman"/>
          <w:bCs/>
          <w:color w:val="000000"/>
          <w:sz w:val="24"/>
          <w:szCs w:val="24"/>
        </w:rPr>
        <w:t xml:space="preserve"> </w:t>
      </w:r>
      <w:r w:rsidR="004434EB" w:rsidRPr="004434EB">
        <w:rPr>
          <w:rFonts w:ascii="Times New Roman" w:hAnsi="Times New Roman" w:cs="Times New Roman"/>
          <w:bCs/>
          <w:color w:val="000000"/>
          <w:sz w:val="24"/>
          <w:szCs w:val="24"/>
        </w:rPr>
        <w:tab/>
        <w:t>(2.4.10)</w:t>
      </w:r>
    </w:p>
    <w:p w:rsidR="00236B71" w:rsidRDefault="00236B71" w:rsidP="00236B71">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Pr="00236B71">
        <w:rPr>
          <w:rFonts w:ascii="Times New Roman" w:hAnsi="Times New Roman" w:cs="Times New Roman"/>
          <w:bCs/>
          <w:color w:val="000000"/>
          <w:position w:val="-30"/>
          <w:sz w:val="24"/>
          <w:szCs w:val="24"/>
        </w:rPr>
        <w:object w:dxaOrig="4320" w:dyaOrig="560">
          <v:shape id="_x0000_i1052" type="#_x0000_t75" style="width:3in;height:28.8pt" o:ole="">
            <v:imagedata r:id="rId61" o:title=""/>
          </v:shape>
          <o:OLEObject Type="Embed" ProgID="Equation.DSMT4" ShapeID="_x0000_i1052" DrawAspect="Content" ObjectID="_1616394672" r:id="rId62"/>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(2.4.1</w:t>
      </w:r>
      <w:r w:rsidR="00822234">
        <w:rPr>
          <w:rFonts w:ascii="Times New Roman" w:hAnsi="Times New Roman" w:cs="Times New Roman"/>
          <w:bCs/>
          <w:color w:val="000000"/>
          <w:sz w:val="24"/>
          <w:szCs w:val="24"/>
        </w:rPr>
        <w:t>1</w:t>
      </w:r>
      <w:r>
        <w:rPr>
          <w:rFonts w:ascii="Times New Roman" w:hAnsi="Times New Roman" w:cs="Times New Roman"/>
          <w:bCs/>
          <w:color w:val="000000"/>
          <w:sz w:val="24"/>
          <w:szCs w:val="24"/>
        </w:rPr>
        <w:t>)</w:t>
      </w:r>
    </w:p>
    <w:p w:rsidR="00236B71" w:rsidRDefault="00236B71" w:rsidP="00236B71">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5C5C7A" w:rsidRPr="005C5C7A">
        <w:rPr>
          <w:rFonts w:ascii="Times New Roman" w:hAnsi="Times New Roman" w:cs="Times New Roman"/>
          <w:bCs/>
          <w:color w:val="000000"/>
          <w:position w:val="-48"/>
          <w:sz w:val="24"/>
          <w:szCs w:val="24"/>
        </w:rPr>
        <w:object w:dxaOrig="7500" w:dyaOrig="1080">
          <v:shape id="_x0000_i1053" type="#_x0000_t75" style="width:375.05pt;height:54.45pt" o:ole="">
            <v:imagedata r:id="rId63" o:title=""/>
          </v:shape>
          <o:OLEObject Type="Embed" ProgID="Equation.DSMT4" ShapeID="_x0000_i1053" DrawAspect="Content" ObjectID="_1616394673" r:id="rId64"/>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(2.4.1</w:t>
      </w:r>
      <w:r w:rsidR="00822234">
        <w:rPr>
          <w:rFonts w:ascii="Times New Roman" w:hAnsi="Times New Roman" w:cs="Times New Roman"/>
          <w:bCs/>
          <w:color w:val="000000"/>
          <w:sz w:val="24"/>
          <w:szCs w:val="24"/>
        </w:rPr>
        <w:t>2</w:t>
      </w:r>
      <w:r>
        <w:rPr>
          <w:rFonts w:ascii="Times New Roman" w:hAnsi="Times New Roman" w:cs="Times New Roman"/>
          <w:bCs/>
          <w:color w:val="000000"/>
          <w:sz w:val="24"/>
          <w:szCs w:val="24"/>
        </w:rPr>
        <w:t>)</w:t>
      </w:r>
    </w:p>
    <w:p w:rsidR="005C5C7A" w:rsidRDefault="005C5C7A" w:rsidP="005C5C7A">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B843CF" w:rsidRPr="005C5C7A">
        <w:rPr>
          <w:rFonts w:ascii="Times New Roman" w:hAnsi="Times New Roman" w:cs="Times New Roman"/>
          <w:bCs/>
          <w:color w:val="000000"/>
          <w:position w:val="-10"/>
          <w:sz w:val="24"/>
          <w:szCs w:val="24"/>
        </w:rPr>
        <w:object w:dxaOrig="4720" w:dyaOrig="320">
          <v:shape id="_x0000_i1054" type="#_x0000_t75" style="width:236.65pt;height:16.3pt" o:ole="">
            <v:imagedata r:id="rId65" o:title=""/>
          </v:shape>
          <o:OLEObject Type="Embed" ProgID="Equation.DSMT4" ShapeID="_x0000_i1054" DrawAspect="Content" ObjectID="_1616394674" r:id="rId66"/>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(2.4.1</w:t>
      </w:r>
      <w:r w:rsidR="00822234">
        <w:rPr>
          <w:rFonts w:ascii="Times New Roman" w:hAnsi="Times New Roman" w:cs="Times New Roman"/>
          <w:bCs/>
          <w:color w:val="000000"/>
          <w:sz w:val="24"/>
          <w:szCs w:val="24"/>
        </w:rPr>
        <w:t>3</w:t>
      </w:r>
      <w:r>
        <w:rPr>
          <w:rFonts w:ascii="Times New Roman" w:hAnsi="Times New Roman" w:cs="Times New Roman"/>
          <w:bCs/>
          <w:color w:val="000000"/>
          <w:sz w:val="24"/>
          <w:szCs w:val="24"/>
        </w:rPr>
        <w:t>)</w:t>
      </w:r>
    </w:p>
    <w:p w:rsidR="00236B71" w:rsidRDefault="00C95B54" w:rsidP="00011CD6">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Some of the notation in these equations has already been defined.  Nevertheless, for reading convenience here we will provide a complete list:</w:t>
      </w:r>
    </w:p>
    <w:p w:rsidR="00C95B54" w:rsidRPr="004D0B0A" w:rsidRDefault="007127B4" w:rsidP="007127B4">
      <w:pPr>
        <w:tabs>
          <w:tab w:val="left" w:pos="567"/>
        </w:tabs>
        <w:spacing w:before="20" w:after="20" w:line="240" w:lineRule="auto"/>
        <w:ind w:left="567" w:hanging="283"/>
        <w:rPr>
          <w:rFonts w:ascii="Times New Roman" w:hAnsi="Times New Roman" w:cs="Times New Roman"/>
          <w:sz w:val="24"/>
          <w:szCs w:val="24"/>
        </w:rPr>
      </w:pPr>
      <w:r w:rsidRPr="004D0B0A">
        <w:rPr>
          <w:rFonts w:ascii="Times New Roman" w:hAnsi="Times New Roman" w:cs="Times New Roman"/>
          <w:sz w:val="24"/>
          <w:szCs w:val="24"/>
        </w:rPr>
        <w:t xml:space="preserve">rorc_i(j,r) </w:t>
      </w:r>
      <w:r w:rsidR="004D0B0A" w:rsidRPr="004D0B0A">
        <w:rPr>
          <w:rFonts w:ascii="Times New Roman" w:hAnsi="Times New Roman" w:cs="Times New Roman"/>
          <w:sz w:val="24"/>
          <w:szCs w:val="24"/>
        </w:rPr>
        <w:t>is the</w:t>
      </w:r>
      <w:r w:rsidRPr="004D0B0A">
        <w:rPr>
          <w:rFonts w:ascii="Times New Roman" w:hAnsi="Times New Roman" w:cs="Times New Roman"/>
          <w:sz w:val="24"/>
          <w:szCs w:val="24"/>
        </w:rPr>
        <w:t xml:space="preserve"> percentage change in </w:t>
      </w:r>
      <w:r w:rsidR="004D0B0A" w:rsidRPr="004D0B0A">
        <w:rPr>
          <w:rFonts w:ascii="Times New Roman" w:hAnsi="Times New Roman" w:cs="Times New Roman"/>
          <w:sz w:val="24"/>
          <w:szCs w:val="24"/>
        </w:rPr>
        <w:t xml:space="preserve">the current </w:t>
      </w:r>
      <w:r w:rsidRPr="004D0B0A">
        <w:rPr>
          <w:rFonts w:ascii="Times New Roman" w:hAnsi="Times New Roman" w:cs="Times New Roman"/>
          <w:sz w:val="24"/>
          <w:szCs w:val="24"/>
        </w:rPr>
        <w:t>rate of return on capital in industry j,r.  Th</w:t>
      </w:r>
      <w:r w:rsidR="004D0B0A" w:rsidRPr="004D0B0A">
        <w:rPr>
          <w:rFonts w:ascii="Times New Roman" w:hAnsi="Times New Roman" w:cs="Times New Roman"/>
          <w:sz w:val="24"/>
          <w:szCs w:val="24"/>
        </w:rPr>
        <w:t>is</w:t>
      </w:r>
      <w:r w:rsidRPr="004D0B0A">
        <w:rPr>
          <w:rFonts w:ascii="Times New Roman" w:hAnsi="Times New Roman" w:cs="Times New Roman"/>
          <w:sz w:val="24"/>
          <w:szCs w:val="24"/>
        </w:rPr>
        <w:t xml:space="preserve"> </w:t>
      </w:r>
      <w:r w:rsidR="004D0B0A" w:rsidRPr="004D0B0A">
        <w:rPr>
          <w:rFonts w:ascii="Times New Roman" w:hAnsi="Times New Roman" w:cs="Times New Roman"/>
          <w:sz w:val="24"/>
          <w:szCs w:val="24"/>
        </w:rPr>
        <w:t>will be defined more precisely later in this subsection.</w:t>
      </w:r>
      <w:r w:rsidR="00C95B54" w:rsidRPr="004D0B0A">
        <w:rPr>
          <w:rFonts w:ascii="Times New Roman" w:hAnsi="Times New Roman" w:cs="Times New Roman"/>
          <w:sz w:val="24"/>
          <w:szCs w:val="24"/>
        </w:rPr>
        <w:t xml:space="preserve">  </w:t>
      </w:r>
    </w:p>
    <w:p w:rsidR="009B73AA" w:rsidRDefault="000D0997" w:rsidP="007127B4">
      <w:pPr>
        <w:tabs>
          <w:tab w:val="left" w:pos="567"/>
        </w:tabs>
        <w:spacing w:before="20" w:after="20" w:line="240" w:lineRule="auto"/>
        <w:ind w:left="567" w:hanging="283"/>
        <w:rPr>
          <w:rFonts w:ascii="Times New Roman" w:hAnsi="Times New Roman" w:cs="Times New Roman"/>
          <w:sz w:val="24"/>
          <w:szCs w:val="24"/>
        </w:rPr>
      </w:pPr>
      <w:r w:rsidRPr="004D0B0A">
        <w:rPr>
          <w:rFonts w:ascii="Times New Roman" w:hAnsi="Times New Roman" w:cs="Times New Roman"/>
          <w:sz w:val="24"/>
          <w:szCs w:val="24"/>
        </w:rPr>
        <w:t xml:space="preserve">rore_i(j,r) and </w:t>
      </w:r>
      <w:r w:rsidR="009B73AA" w:rsidRPr="004D0B0A">
        <w:rPr>
          <w:rFonts w:ascii="Times New Roman" w:hAnsi="Times New Roman" w:cs="Times New Roman"/>
          <w:sz w:val="24"/>
          <w:szCs w:val="24"/>
        </w:rPr>
        <w:t xml:space="preserve">rorg </w:t>
      </w:r>
      <w:r w:rsidRPr="004D0B0A">
        <w:rPr>
          <w:rFonts w:ascii="Times New Roman" w:hAnsi="Times New Roman" w:cs="Times New Roman"/>
          <w:sz w:val="24"/>
          <w:szCs w:val="24"/>
        </w:rPr>
        <w:t>are</w:t>
      </w:r>
      <w:r w:rsidR="009B73AA" w:rsidRPr="004D0B0A">
        <w:rPr>
          <w:rFonts w:ascii="Times New Roman" w:hAnsi="Times New Roman" w:cs="Times New Roman"/>
          <w:sz w:val="24"/>
          <w:szCs w:val="24"/>
        </w:rPr>
        <w:t xml:space="preserve"> the percentage change in </w:t>
      </w:r>
      <w:r w:rsidRPr="004D0B0A">
        <w:rPr>
          <w:rFonts w:ascii="Times New Roman" w:hAnsi="Times New Roman" w:cs="Times New Roman"/>
          <w:sz w:val="24"/>
          <w:szCs w:val="24"/>
        </w:rPr>
        <w:t>industry j,r’s expected rate of return and the percentage change in</w:t>
      </w:r>
      <w:r w:rsidR="004D0B0A" w:rsidRPr="004D0B0A">
        <w:rPr>
          <w:rFonts w:ascii="Times New Roman" w:hAnsi="Times New Roman" w:cs="Times New Roman"/>
          <w:sz w:val="24"/>
          <w:szCs w:val="24"/>
        </w:rPr>
        <w:t xml:space="preserve"> a</w:t>
      </w:r>
      <w:r w:rsidRPr="004D0B0A">
        <w:rPr>
          <w:rFonts w:ascii="Times New Roman" w:hAnsi="Times New Roman" w:cs="Times New Roman"/>
          <w:sz w:val="24"/>
          <w:szCs w:val="24"/>
        </w:rPr>
        <w:t xml:space="preserve"> </w:t>
      </w:r>
      <w:r w:rsidR="009B73AA" w:rsidRPr="004D0B0A">
        <w:rPr>
          <w:rFonts w:ascii="Times New Roman" w:hAnsi="Times New Roman" w:cs="Times New Roman"/>
          <w:sz w:val="24"/>
          <w:szCs w:val="24"/>
        </w:rPr>
        <w:t xml:space="preserve">world-wide safe rate of return or interest rate.  </w:t>
      </w:r>
      <w:r w:rsidR="004D0B0A" w:rsidRPr="004D0B0A">
        <w:rPr>
          <w:rFonts w:ascii="Times New Roman" w:hAnsi="Times New Roman" w:cs="Times New Roman"/>
          <w:sz w:val="24"/>
          <w:szCs w:val="24"/>
        </w:rPr>
        <w:t>As we will see at the end of this subsection, these</w:t>
      </w:r>
      <w:r w:rsidR="009B73AA" w:rsidRPr="004D0B0A">
        <w:rPr>
          <w:rFonts w:ascii="Times New Roman" w:hAnsi="Times New Roman" w:cs="Times New Roman"/>
          <w:sz w:val="24"/>
          <w:szCs w:val="24"/>
        </w:rPr>
        <w:t xml:space="preserve"> concept</w:t>
      </w:r>
      <w:r w:rsidR="004D0B0A" w:rsidRPr="004D0B0A">
        <w:rPr>
          <w:rFonts w:ascii="Times New Roman" w:hAnsi="Times New Roman" w:cs="Times New Roman"/>
          <w:sz w:val="24"/>
          <w:szCs w:val="24"/>
        </w:rPr>
        <w:t>s are related by the assumption that industries expand their investment until expected rates of return come into line with interest rates.</w:t>
      </w:r>
      <w:r w:rsidR="009B73AA">
        <w:rPr>
          <w:rFonts w:ascii="Times New Roman" w:hAnsi="Times New Roman" w:cs="Times New Roman"/>
          <w:sz w:val="24"/>
          <w:szCs w:val="24"/>
        </w:rPr>
        <w:t xml:space="preserve">  </w:t>
      </w:r>
    </w:p>
    <w:p w:rsidR="001861C8" w:rsidRDefault="001861C8" w:rsidP="007127B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ptrp(j,r) is the percentage change in the post-income-tax price of capital used by industry j in region r.  </w:t>
      </w:r>
    </w:p>
    <w:p w:rsidR="00C95B54" w:rsidRDefault="00C95B54" w:rsidP="007127B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kb_i(j,r) and ke_i(j,r) </w:t>
      </w:r>
      <w:r w:rsidR="007127B4">
        <w:rPr>
          <w:rFonts w:ascii="Times New Roman" w:hAnsi="Times New Roman" w:cs="Times New Roman"/>
          <w:sz w:val="24"/>
          <w:szCs w:val="24"/>
        </w:rPr>
        <w:t xml:space="preserve">are </w:t>
      </w:r>
      <w:r>
        <w:rPr>
          <w:rFonts w:ascii="Times New Roman" w:hAnsi="Times New Roman" w:cs="Times New Roman"/>
          <w:sz w:val="24"/>
          <w:szCs w:val="24"/>
        </w:rPr>
        <w:t xml:space="preserve">percentage changes in j,r’s start-of-year and end-of-year capital stocks.  </w:t>
      </w:r>
    </w:p>
    <w:p w:rsidR="00C95B54" w:rsidRDefault="00C95B54" w:rsidP="00C95B5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kb(r) and ke(r) are percentage changes in region r’s aggregate start-of-year and end-of-year capital stocks.  </w:t>
      </w:r>
    </w:p>
    <w:p w:rsidR="001E0DFA" w:rsidRDefault="00C95B54" w:rsidP="007127B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pcgds(r) </w:t>
      </w:r>
      <w:r w:rsidR="001E0DFA">
        <w:rPr>
          <w:rFonts w:ascii="Times New Roman" w:hAnsi="Times New Roman" w:cs="Times New Roman"/>
          <w:sz w:val="24"/>
          <w:szCs w:val="24"/>
        </w:rPr>
        <w:t>and qcgds(r) are</w:t>
      </w:r>
      <w:r>
        <w:rPr>
          <w:rFonts w:ascii="Times New Roman" w:hAnsi="Times New Roman" w:cs="Times New Roman"/>
          <w:sz w:val="24"/>
          <w:szCs w:val="24"/>
        </w:rPr>
        <w:t xml:space="preserve"> the percentage change</w:t>
      </w:r>
      <w:r w:rsidR="001E0DFA">
        <w:rPr>
          <w:rFonts w:ascii="Times New Roman" w:hAnsi="Times New Roman" w:cs="Times New Roman"/>
          <w:sz w:val="24"/>
          <w:szCs w:val="24"/>
        </w:rPr>
        <w:t>s</w:t>
      </w:r>
      <w:r>
        <w:rPr>
          <w:rFonts w:ascii="Times New Roman" w:hAnsi="Times New Roman" w:cs="Times New Roman"/>
          <w:sz w:val="24"/>
          <w:szCs w:val="24"/>
        </w:rPr>
        <w:t xml:space="preserve"> in </w:t>
      </w:r>
      <w:r w:rsidR="001E0DFA">
        <w:rPr>
          <w:rFonts w:ascii="Times New Roman" w:hAnsi="Times New Roman" w:cs="Times New Roman"/>
          <w:sz w:val="24"/>
          <w:szCs w:val="24"/>
        </w:rPr>
        <w:t xml:space="preserve">price and quantity of </w:t>
      </w:r>
      <w:r>
        <w:rPr>
          <w:rFonts w:ascii="Times New Roman" w:hAnsi="Times New Roman" w:cs="Times New Roman"/>
          <w:sz w:val="24"/>
          <w:szCs w:val="24"/>
        </w:rPr>
        <w:t xml:space="preserve">capital goods in region r.  </w:t>
      </w:r>
      <w:r w:rsidR="001E0DFA">
        <w:rPr>
          <w:rFonts w:ascii="Times New Roman" w:hAnsi="Times New Roman" w:cs="Times New Roman"/>
          <w:sz w:val="24"/>
          <w:szCs w:val="24"/>
        </w:rPr>
        <w:t xml:space="preserve">The quantity of capital goods is the volume of investment in region r.  Thus, pcgds(r) + qcgds(r) is the percentage change in the value of investment in region r.  </w:t>
      </w:r>
    </w:p>
    <w:p w:rsidR="001E0DFA" w:rsidRDefault="001E0DFA" w:rsidP="007127B4">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bCs/>
          <w:color w:val="000000"/>
          <w:sz w:val="24"/>
          <w:szCs w:val="24"/>
        </w:rPr>
        <w:t>p</w:t>
      </w:r>
      <w:r w:rsidR="00F71D6B">
        <w:rPr>
          <w:rFonts w:ascii="Times New Roman" w:hAnsi="Times New Roman" w:cs="Times New Roman"/>
          <w:bCs/>
          <w:color w:val="000000"/>
          <w:sz w:val="24"/>
          <w:szCs w:val="24"/>
        </w:rPr>
        <w:t>s</w:t>
      </w:r>
      <w:r>
        <w:rPr>
          <w:rFonts w:ascii="Times New Roman" w:hAnsi="Times New Roman" w:cs="Times New Roman"/>
          <w:bCs/>
          <w:color w:val="000000"/>
          <w:sz w:val="24"/>
          <w:szCs w:val="24"/>
        </w:rPr>
        <w:t>(“capital”,r) is the GTAP variable for the percentage change in the “</w:t>
      </w:r>
      <w:r w:rsidR="00F71D6B">
        <w:rPr>
          <w:rFonts w:ascii="Times New Roman" w:hAnsi="Times New Roman" w:cs="Times New Roman"/>
          <w:bCs/>
          <w:color w:val="000000"/>
          <w:sz w:val="24"/>
          <w:szCs w:val="24"/>
        </w:rPr>
        <w:t>supply</w:t>
      </w:r>
      <w:r>
        <w:rPr>
          <w:rFonts w:ascii="Times New Roman" w:hAnsi="Times New Roman" w:cs="Times New Roman"/>
          <w:bCs/>
          <w:color w:val="000000"/>
          <w:sz w:val="24"/>
          <w:szCs w:val="24"/>
        </w:rPr>
        <w:t>” price for capital in region r</w:t>
      </w:r>
      <w:r w:rsidR="00F71D6B">
        <w:rPr>
          <w:rFonts w:ascii="Times New Roman" w:hAnsi="Times New Roman" w:cs="Times New Roman"/>
          <w:bCs/>
          <w:color w:val="000000"/>
          <w:sz w:val="24"/>
          <w:szCs w:val="24"/>
        </w:rPr>
        <w:t>, that is the average post-income-tax rental received by owners of region r’s capital.</w:t>
      </w:r>
      <w:r>
        <w:rPr>
          <w:rFonts w:ascii="Times New Roman" w:hAnsi="Times New Roman" w:cs="Times New Roman"/>
          <w:bCs/>
          <w:color w:val="000000"/>
          <w:sz w:val="24"/>
          <w:szCs w:val="24"/>
        </w:rPr>
        <w:t xml:space="preserve"> </w:t>
      </w:r>
    </w:p>
    <w:p w:rsidR="001861C8" w:rsidRDefault="001861C8" w:rsidP="001861C8">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bCs/>
          <w:color w:val="000000"/>
          <w:sz w:val="24"/>
          <w:szCs w:val="24"/>
        </w:rPr>
        <w:t>tfg(“capital”,j,r) the percentage change in the genuine component of the power of the tax on j,r’s use of capital.</w:t>
      </w:r>
    </w:p>
    <w:p w:rsidR="001E0DFA" w:rsidRDefault="001E0DFA" w:rsidP="007127B4">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bCs/>
          <w:color w:val="000000"/>
          <w:sz w:val="24"/>
          <w:szCs w:val="24"/>
        </w:rPr>
        <w:t>tfph(j,r) the percentage change in the phantom component of the power of the tax on j,r’s use of capital.</w:t>
      </w:r>
    </w:p>
    <w:p w:rsidR="009B73AA" w:rsidRDefault="009B73AA" w:rsidP="007127B4">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cgdslack(r) and f_rore_i(j,r) are region and industry/region shift variables that can be used exogenously to represent percentage changes in </w:t>
      </w:r>
      <w:r w:rsidR="001E0DFA">
        <w:rPr>
          <w:rFonts w:ascii="Times New Roman" w:hAnsi="Times New Roman" w:cs="Times New Roman"/>
          <w:bCs/>
          <w:color w:val="000000"/>
          <w:sz w:val="24"/>
          <w:szCs w:val="24"/>
        </w:rPr>
        <w:t xml:space="preserve">the </w:t>
      </w:r>
      <w:r>
        <w:rPr>
          <w:rFonts w:ascii="Times New Roman" w:hAnsi="Times New Roman" w:cs="Times New Roman"/>
          <w:bCs/>
          <w:color w:val="000000"/>
          <w:sz w:val="24"/>
          <w:szCs w:val="24"/>
        </w:rPr>
        <w:t xml:space="preserve">riskiness of investments differentiated by region or industry/region.  </w:t>
      </w:r>
    </w:p>
    <w:p w:rsidR="00FD7ADD" w:rsidRDefault="00FD7ADD" w:rsidP="00FD7ADD">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VKB(r) and VKE(r) are levels coefficients for the values of start-of-year and end-of-year aggregate capital stock in region r.</w:t>
      </w:r>
    </w:p>
    <w:p w:rsidR="005B68D8" w:rsidRDefault="005B68D8" w:rsidP="00FD7ADD">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VKE_I(j,r) is the levels coefficients for the value of end-of-year capital stock in industry j,r.</w:t>
      </w:r>
    </w:p>
    <w:p w:rsidR="005B68D8" w:rsidRDefault="005B68D8" w:rsidP="005B68D8">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PTRP(j,r) is the levels coefficient for the post-income-tax price of capital used by industry j in region r.  </w:t>
      </w:r>
    </w:p>
    <w:p w:rsidR="00E40078" w:rsidRDefault="00E40078" w:rsidP="00E40078">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sz w:val="24"/>
          <w:szCs w:val="24"/>
        </w:rPr>
        <w:lastRenderedPageBreak/>
        <w:t xml:space="preserve">TG(“capital”,j,r) and TPH(j,r) are the levels coefficients for the </w:t>
      </w:r>
      <w:r>
        <w:rPr>
          <w:rFonts w:ascii="Times New Roman" w:hAnsi="Times New Roman" w:cs="Times New Roman"/>
          <w:bCs/>
          <w:color w:val="000000"/>
          <w:sz w:val="24"/>
          <w:szCs w:val="24"/>
        </w:rPr>
        <w:t>genuine and phantom components of the power of the tax on j,r’s use of capital.</w:t>
      </w:r>
    </w:p>
    <w:p w:rsidR="00E40078" w:rsidRDefault="00E40078" w:rsidP="00E40078">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sz w:val="24"/>
          <w:szCs w:val="24"/>
        </w:rPr>
        <w:t xml:space="preserve">PSK(r) is the levels coefficient for </w:t>
      </w:r>
      <w:r>
        <w:rPr>
          <w:rFonts w:ascii="Times New Roman" w:hAnsi="Times New Roman" w:cs="Times New Roman"/>
          <w:bCs/>
          <w:color w:val="000000"/>
          <w:sz w:val="24"/>
          <w:szCs w:val="24"/>
        </w:rPr>
        <w:t>the “supply” price for capital in region r.</w:t>
      </w:r>
    </w:p>
    <w:p w:rsidR="00FD7ADD" w:rsidRDefault="00FD7ADD" w:rsidP="00FD7ADD">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LPCGDS(r) and LPCGDS_L(r) are levels coefficients for capital goods prices in region r in the current year and lagged year (previous year).  </w:t>
      </w:r>
      <w:r w:rsidR="005B68D8">
        <w:rPr>
          <w:rFonts w:ascii="Times New Roman" w:hAnsi="Times New Roman" w:cs="Times New Roman"/>
          <w:sz w:val="24"/>
          <w:szCs w:val="24"/>
        </w:rPr>
        <w:t xml:space="preserve">Following the convention described in </w:t>
      </w:r>
      <w:r w:rsidR="00342D2E">
        <w:rPr>
          <w:rFonts w:ascii="Times New Roman" w:hAnsi="Times New Roman" w:cs="Times New Roman"/>
          <w:sz w:val="24"/>
          <w:szCs w:val="24"/>
        </w:rPr>
        <w:t>2.</w:t>
      </w:r>
      <w:r w:rsidR="005B68D8">
        <w:rPr>
          <w:rFonts w:ascii="Times New Roman" w:hAnsi="Times New Roman" w:cs="Times New Roman"/>
          <w:sz w:val="24"/>
          <w:szCs w:val="24"/>
        </w:rPr>
        <w:t xml:space="preserve">1, we use these prices in valuing end-of-year capital stocks and start-of-year capital stocks.  </w:t>
      </w:r>
    </w:p>
    <w:p w:rsidR="00FD7ADD" w:rsidRDefault="00FD7ADD" w:rsidP="00FD7ADD">
      <w:pPr>
        <w:tabs>
          <w:tab w:val="left" w:pos="567"/>
        </w:tabs>
        <w:spacing w:before="20" w:after="20" w:line="240" w:lineRule="auto"/>
        <w:ind w:left="567" w:hanging="283"/>
        <w:rPr>
          <w:rFonts w:ascii="Times New Roman" w:hAnsi="Times New Roman" w:cs="Times New Roman"/>
          <w:bCs/>
          <w:color w:val="000000"/>
          <w:sz w:val="24"/>
          <w:szCs w:val="24"/>
        </w:rPr>
      </w:pPr>
      <w:r>
        <w:rPr>
          <w:rFonts w:ascii="Times New Roman" w:hAnsi="Times New Roman" w:cs="Times New Roman"/>
          <w:sz w:val="24"/>
          <w:szCs w:val="24"/>
        </w:rPr>
        <w:t xml:space="preserve">REGINV(r) and VDEP(r) are levels coefficients for the values of gross investment and depreciation in region r.  </w:t>
      </w:r>
    </w:p>
    <w:p w:rsidR="007127B4" w:rsidRDefault="00FD7ADD" w:rsidP="007127B4">
      <w:pPr>
        <w:tabs>
          <w:tab w:val="left" w:pos="567"/>
        </w:tabs>
        <w:spacing w:before="20" w:after="20" w:line="240" w:lineRule="auto"/>
        <w:ind w:left="567" w:hanging="283"/>
        <w:rPr>
          <w:rFonts w:ascii="Times New Roman" w:hAnsi="Times New Roman" w:cs="Times New Roman"/>
          <w:sz w:val="24"/>
          <w:szCs w:val="24"/>
        </w:rPr>
      </w:pPr>
      <w:r>
        <w:rPr>
          <w:rFonts w:ascii="Times New Roman" w:hAnsi="Times New Roman" w:cs="Times New Roman"/>
          <w:bCs/>
          <w:color w:val="000000"/>
          <w:sz w:val="24"/>
          <w:szCs w:val="24"/>
        </w:rPr>
        <w:t xml:space="preserve">RORFLEX(r) </w:t>
      </w:r>
      <w:r w:rsidR="00BB0DE2">
        <w:rPr>
          <w:rFonts w:ascii="Times New Roman" w:hAnsi="Times New Roman" w:cs="Times New Roman"/>
          <w:bCs/>
          <w:color w:val="000000"/>
          <w:sz w:val="24"/>
          <w:szCs w:val="24"/>
        </w:rPr>
        <w:t>is a</w:t>
      </w:r>
      <w:r>
        <w:rPr>
          <w:rFonts w:ascii="Times New Roman" w:hAnsi="Times New Roman" w:cs="Times New Roman"/>
          <w:sz w:val="24"/>
          <w:szCs w:val="24"/>
        </w:rPr>
        <w:t xml:space="preserve"> positive parameter</w:t>
      </w:r>
      <w:r w:rsidR="00BB0DE2">
        <w:rPr>
          <w:rFonts w:ascii="Times New Roman" w:hAnsi="Times New Roman" w:cs="Times New Roman"/>
          <w:sz w:val="24"/>
          <w:szCs w:val="24"/>
        </w:rPr>
        <w:t>.  It is the elasticity of the expected rate of return in industry j,r with respect to capital growth (see Figure</w:t>
      </w:r>
      <w:r w:rsidR="00342D2E">
        <w:rPr>
          <w:rFonts w:ascii="Times New Roman" w:hAnsi="Times New Roman" w:cs="Times New Roman"/>
          <w:sz w:val="24"/>
          <w:szCs w:val="24"/>
        </w:rPr>
        <w:t xml:space="preserve"> 2.</w:t>
      </w:r>
      <w:r w:rsidR="00BB0DE2">
        <w:rPr>
          <w:rFonts w:ascii="Times New Roman" w:hAnsi="Times New Roman" w:cs="Times New Roman"/>
          <w:sz w:val="24"/>
          <w:szCs w:val="24"/>
        </w:rPr>
        <w:t>2)</w:t>
      </w:r>
      <w:r>
        <w:rPr>
          <w:rFonts w:ascii="Times New Roman" w:hAnsi="Times New Roman" w:cs="Times New Roman"/>
          <w:sz w:val="24"/>
          <w:szCs w:val="24"/>
        </w:rPr>
        <w:t xml:space="preserve">. </w:t>
      </w:r>
      <w:r w:rsidR="007127B4">
        <w:rPr>
          <w:rFonts w:ascii="Times New Roman" w:hAnsi="Times New Roman" w:cs="Times New Roman"/>
          <w:sz w:val="24"/>
          <w:szCs w:val="24"/>
        </w:rPr>
        <w:t xml:space="preserve"> </w:t>
      </w:r>
      <w:r w:rsidR="00935681">
        <w:rPr>
          <w:rFonts w:ascii="Times New Roman" w:hAnsi="Times New Roman" w:cs="Times New Roman"/>
          <w:sz w:val="24"/>
          <w:szCs w:val="24"/>
        </w:rPr>
        <w:t xml:space="preserve">The value used in </w:t>
      </w:r>
      <w:r w:rsidR="00BB0DE2">
        <w:rPr>
          <w:rFonts w:ascii="Times New Roman" w:hAnsi="Times New Roman" w:cs="Times New Roman"/>
          <w:sz w:val="24"/>
          <w:szCs w:val="24"/>
        </w:rPr>
        <w:t xml:space="preserve">standard GTAP </w:t>
      </w:r>
      <w:r w:rsidR="00935681">
        <w:rPr>
          <w:rFonts w:ascii="Times New Roman" w:hAnsi="Times New Roman" w:cs="Times New Roman"/>
          <w:sz w:val="24"/>
          <w:szCs w:val="24"/>
        </w:rPr>
        <w:t xml:space="preserve">is 10 for all r.  For GTAP-MVH with industry-specific capital </w:t>
      </w:r>
      <w:r w:rsidR="00BB0DE2">
        <w:rPr>
          <w:rFonts w:ascii="Times New Roman" w:hAnsi="Times New Roman" w:cs="Times New Roman"/>
          <w:sz w:val="24"/>
          <w:szCs w:val="24"/>
        </w:rPr>
        <w:t xml:space="preserve">we set </w:t>
      </w:r>
      <w:r w:rsidR="00935681">
        <w:rPr>
          <w:rFonts w:ascii="Times New Roman" w:hAnsi="Times New Roman" w:cs="Times New Roman"/>
          <w:sz w:val="24"/>
          <w:szCs w:val="24"/>
        </w:rPr>
        <w:t>RORFLEX at 5</w:t>
      </w:r>
      <w:r w:rsidR="00B901DB">
        <w:rPr>
          <w:rFonts w:ascii="Times New Roman" w:hAnsi="Times New Roman" w:cs="Times New Roman"/>
          <w:sz w:val="24"/>
          <w:szCs w:val="24"/>
        </w:rPr>
        <w:t xml:space="preserve"> for all industries and regions</w:t>
      </w:r>
      <w:r w:rsidR="00935681">
        <w:rPr>
          <w:rFonts w:ascii="Times New Roman" w:hAnsi="Times New Roman" w:cs="Times New Roman"/>
          <w:sz w:val="24"/>
          <w:szCs w:val="24"/>
        </w:rPr>
        <w:t xml:space="preserve">.  This value produced more plausible rates of convergence to long-run equilibria than the standard GTAP value.  While neither our number nor the standard </w:t>
      </w:r>
      <w:r w:rsidR="00B901DB">
        <w:rPr>
          <w:rFonts w:ascii="Times New Roman" w:hAnsi="Times New Roman" w:cs="Times New Roman"/>
          <w:sz w:val="24"/>
          <w:szCs w:val="24"/>
        </w:rPr>
        <w:t xml:space="preserve">GTAP </w:t>
      </w:r>
      <w:r w:rsidR="00935681">
        <w:rPr>
          <w:rFonts w:ascii="Times New Roman" w:hAnsi="Times New Roman" w:cs="Times New Roman"/>
          <w:sz w:val="24"/>
          <w:szCs w:val="24"/>
        </w:rPr>
        <w:t>number are estimated</w:t>
      </w:r>
      <w:r w:rsidR="00B901DB">
        <w:rPr>
          <w:rFonts w:ascii="Times New Roman" w:hAnsi="Times New Roman" w:cs="Times New Roman"/>
          <w:sz w:val="24"/>
          <w:szCs w:val="24"/>
        </w:rPr>
        <w:t>,</w:t>
      </w:r>
      <w:r w:rsidR="00935681">
        <w:rPr>
          <w:rFonts w:ascii="Times New Roman" w:hAnsi="Times New Roman" w:cs="Times New Roman"/>
          <w:sz w:val="24"/>
          <w:szCs w:val="24"/>
        </w:rPr>
        <w:t xml:space="preserve"> the corresponding parameter in the ORANI model was estimated not </w:t>
      </w:r>
      <w:r w:rsidR="00B901DB">
        <w:rPr>
          <w:rFonts w:ascii="Times New Roman" w:hAnsi="Times New Roman" w:cs="Times New Roman"/>
          <w:sz w:val="24"/>
          <w:szCs w:val="24"/>
        </w:rPr>
        <w:t xml:space="preserve">only for Australia but also for individual </w:t>
      </w:r>
      <w:r w:rsidR="00935681">
        <w:rPr>
          <w:rFonts w:ascii="Times New Roman" w:hAnsi="Times New Roman" w:cs="Times New Roman"/>
          <w:sz w:val="24"/>
          <w:szCs w:val="24"/>
        </w:rPr>
        <w:t xml:space="preserve">industries (see Dixon </w:t>
      </w:r>
      <w:r w:rsidR="00935681">
        <w:rPr>
          <w:rFonts w:ascii="Times New Roman" w:hAnsi="Times New Roman" w:cs="Times New Roman"/>
          <w:i/>
          <w:sz w:val="24"/>
          <w:szCs w:val="24"/>
        </w:rPr>
        <w:t>et al.</w:t>
      </w:r>
      <w:r w:rsidR="00935681">
        <w:rPr>
          <w:rFonts w:ascii="Times New Roman" w:hAnsi="Times New Roman" w:cs="Times New Roman"/>
          <w:sz w:val="24"/>
          <w:szCs w:val="24"/>
        </w:rPr>
        <w:t xml:space="preserve"> 1982, pp.185-188).   </w:t>
      </w:r>
    </w:p>
    <w:p w:rsidR="00F65A26" w:rsidRDefault="00B25664" w:rsidP="00F65A26">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Equation (2.4.8) is the core of GTAP-MVH’s industry/region investment theory.  </w:t>
      </w:r>
      <w:r w:rsidR="00F65A26">
        <w:rPr>
          <w:rFonts w:ascii="Times New Roman" w:hAnsi="Times New Roman" w:cs="Times New Roman"/>
          <w:bCs/>
          <w:color w:val="000000"/>
          <w:sz w:val="24"/>
          <w:szCs w:val="24"/>
        </w:rPr>
        <w:t xml:space="preserve">This equation is illustrated in its levels form in Figure </w:t>
      </w:r>
      <w:r w:rsidR="00342D2E">
        <w:rPr>
          <w:rFonts w:ascii="Times New Roman" w:hAnsi="Times New Roman" w:cs="Times New Roman"/>
          <w:bCs/>
          <w:color w:val="000000"/>
          <w:sz w:val="24"/>
          <w:szCs w:val="24"/>
        </w:rPr>
        <w:t>2.</w:t>
      </w:r>
      <w:r w:rsidR="00F65A26">
        <w:rPr>
          <w:rFonts w:ascii="Times New Roman" w:hAnsi="Times New Roman" w:cs="Times New Roman"/>
          <w:bCs/>
          <w:color w:val="000000"/>
          <w:sz w:val="24"/>
          <w:szCs w:val="24"/>
        </w:rPr>
        <w:t xml:space="preserve">2.  As can be seen from the figure, it is assumed that capital creators expect the rate of return on investment in industry j,r to be the same as the current rate of return if the capital stock </w:t>
      </w:r>
      <w:r w:rsidR="00E778FF">
        <w:rPr>
          <w:rFonts w:ascii="Times New Roman" w:hAnsi="Times New Roman" w:cs="Times New Roman"/>
          <w:bCs/>
          <w:color w:val="000000"/>
          <w:sz w:val="24"/>
          <w:szCs w:val="24"/>
        </w:rPr>
        <w:t xml:space="preserve">at the end of the current year is the same as that at the start of the current year.  If it is planned for the capital stock to grow during the current year, then capital creators introduce risk into their calculations by assuming that the rate of return on investment will be less than the current rate of return.  </w:t>
      </w:r>
    </w:p>
    <w:p w:rsidR="00387293" w:rsidRDefault="00387293" w:rsidP="00BA7F20">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calculation of the current rate of return is discussed shortly and the determination of the expected rate of return is discussed at the end of this subsection.  Here we note that an increase in the current rate of return </w:t>
      </w:r>
      <w:r w:rsidR="00026D76">
        <w:rPr>
          <w:rFonts w:ascii="Times New Roman" w:hAnsi="Times New Roman" w:cs="Times New Roman"/>
          <w:bCs/>
          <w:color w:val="000000"/>
          <w:sz w:val="24"/>
          <w:szCs w:val="24"/>
        </w:rPr>
        <w:t xml:space="preserve">[RORC_I(j,r)] </w:t>
      </w:r>
      <w:r>
        <w:rPr>
          <w:rFonts w:ascii="Times New Roman" w:hAnsi="Times New Roman" w:cs="Times New Roman"/>
          <w:bCs/>
          <w:color w:val="000000"/>
          <w:sz w:val="24"/>
          <w:szCs w:val="24"/>
        </w:rPr>
        <w:t>cau</w:t>
      </w:r>
      <w:r w:rsidR="00026D76">
        <w:rPr>
          <w:rFonts w:ascii="Times New Roman" w:hAnsi="Times New Roman" w:cs="Times New Roman"/>
          <w:bCs/>
          <w:color w:val="000000"/>
          <w:sz w:val="24"/>
          <w:szCs w:val="24"/>
        </w:rPr>
        <w:t xml:space="preserve">ses a vertical upward shift in the expected rate of return schedule in Figure </w:t>
      </w:r>
      <w:r w:rsidR="00342D2E">
        <w:rPr>
          <w:rFonts w:ascii="Times New Roman" w:hAnsi="Times New Roman" w:cs="Times New Roman"/>
          <w:bCs/>
          <w:color w:val="000000"/>
          <w:sz w:val="24"/>
          <w:szCs w:val="24"/>
        </w:rPr>
        <w:t>2.</w:t>
      </w:r>
      <w:r w:rsidR="00026D76">
        <w:rPr>
          <w:rFonts w:ascii="Times New Roman" w:hAnsi="Times New Roman" w:cs="Times New Roman"/>
          <w:bCs/>
          <w:color w:val="000000"/>
          <w:sz w:val="24"/>
          <w:szCs w:val="24"/>
        </w:rPr>
        <w:t xml:space="preserve">2.  Consequently, at any given expected rate of return, an increase in the current rate of return causes an increase in the end-of-year/start-of-year capital ratio [KE_I(,r)/KB_I(j,r)] for industry j,r.  In this way, good news for industry j,r’s current rate of return is translated into increased capital growth requiring increased investment.  </w:t>
      </w:r>
      <w:r>
        <w:rPr>
          <w:rFonts w:ascii="Times New Roman" w:hAnsi="Times New Roman" w:cs="Times New Roman"/>
          <w:bCs/>
          <w:color w:val="000000"/>
          <w:sz w:val="24"/>
          <w:szCs w:val="24"/>
        </w:rPr>
        <w:t xml:space="preserve"> </w:t>
      </w:r>
    </w:p>
    <w:p w:rsidR="00BA7F20" w:rsidRDefault="00E778FF" w:rsidP="00BA7F20">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current rate of return is calculated by comparing the </w:t>
      </w:r>
      <w:r w:rsidR="00F71D6B">
        <w:rPr>
          <w:rFonts w:ascii="Times New Roman" w:hAnsi="Times New Roman" w:cs="Times New Roman"/>
          <w:bCs/>
          <w:color w:val="000000"/>
          <w:sz w:val="24"/>
          <w:szCs w:val="24"/>
        </w:rPr>
        <w:t xml:space="preserve">post-income-tax </w:t>
      </w:r>
      <w:r>
        <w:rPr>
          <w:rFonts w:ascii="Times New Roman" w:hAnsi="Times New Roman" w:cs="Times New Roman"/>
          <w:bCs/>
          <w:color w:val="000000"/>
          <w:sz w:val="24"/>
          <w:szCs w:val="24"/>
        </w:rPr>
        <w:t>rental received by owners of units of capital in industry j,r with the cost of units of capital.  A simplifying assumption in GTAP-MVH is that the cost of units of capital is the same f</w:t>
      </w:r>
      <w:r w:rsidR="00404EB4">
        <w:rPr>
          <w:rFonts w:ascii="Times New Roman" w:hAnsi="Times New Roman" w:cs="Times New Roman"/>
          <w:bCs/>
          <w:color w:val="000000"/>
          <w:sz w:val="24"/>
          <w:szCs w:val="24"/>
        </w:rPr>
        <w:t xml:space="preserve">or all industries in region r [LPCGDS has an r argument but no j argument].  By contrast, the rental rate per unit of capital varies across industries in region r.  As explained earlier, this variation reflects differences across industries in the scarcity of start-of-year capital stocks relative to demand for these stocks.  </w:t>
      </w:r>
      <w:r w:rsidR="00BA7F20">
        <w:rPr>
          <w:rFonts w:ascii="Times New Roman" w:hAnsi="Times New Roman" w:cs="Times New Roman"/>
          <w:bCs/>
          <w:color w:val="000000"/>
          <w:sz w:val="24"/>
          <w:szCs w:val="24"/>
        </w:rPr>
        <w:t xml:space="preserve">Variation across industries in rental rates on capital is introduced through phantom taxes. </w:t>
      </w:r>
    </w:p>
    <w:p w:rsidR="001E6808" w:rsidRDefault="001E6808" w:rsidP="00F65A26">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Equation (2.4.9)</w:t>
      </w:r>
      <w:r w:rsidR="00252E10">
        <w:rPr>
          <w:rFonts w:ascii="Times New Roman" w:hAnsi="Times New Roman" w:cs="Times New Roman"/>
          <w:bCs/>
          <w:color w:val="000000"/>
          <w:sz w:val="24"/>
          <w:szCs w:val="24"/>
        </w:rPr>
        <w:t xml:space="preserve"> </w:t>
      </w:r>
      <w:r w:rsidR="00C913FB">
        <w:rPr>
          <w:rFonts w:ascii="Times New Roman" w:hAnsi="Times New Roman" w:cs="Times New Roman"/>
          <w:bCs/>
          <w:color w:val="000000"/>
          <w:sz w:val="24"/>
          <w:szCs w:val="24"/>
        </w:rPr>
        <w:t>is a</w:t>
      </w:r>
      <w:r>
        <w:rPr>
          <w:rFonts w:ascii="Times New Roman" w:hAnsi="Times New Roman" w:cs="Times New Roman"/>
          <w:bCs/>
          <w:color w:val="000000"/>
          <w:sz w:val="24"/>
          <w:szCs w:val="24"/>
        </w:rPr>
        <w:t xml:space="preserve"> percentage change form</w:t>
      </w:r>
      <w:r w:rsidR="00C913FB">
        <w:rPr>
          <w:rFonts w:ascii="Times New Roman" w:hAnsi="Times New Roman" w:cs="Times New Roman"/>
          <w:bCs/>
          <w:color w:val="000000"/>
          <w:sz w:val="24"/>
          <w:szCs w:val="24"/>
        </w:rPr>
        <w:t xml:space="preserve"> for the current rate of return.  It can be derived from the following levels equation</w:t>
      </w:r>
      <w:r w:rsidR="00252E10">
        <w:rPr>
          <w:rFonts w:ascii="Times New Roman" w:hAnsi="Times New Roman" w:cs="Times New Roman"/>
          <w:bCs/>
          <w:color w:val="000000"/>
          <w:sz w:val="24"/>
          <w:szCs w:val="24"/>
        </w:rPr>
        <w:t>:</w:t>
      </w:r>
    </w:p>
    <w:p w:rsidR="00BA7F20" w:rsidRDefault="00BA7F20" w:rsidP="00F65A26">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130579" w:rsidRPr="001E6808">
        <w:rPr>
          <w:rFonts w:ascii="Times New Roman" w:hAnsi="Times New Roman" w:cs="Times New Roman"/>
          <w:bCs/>
          <w:color w:val="000000"/>
          <w:position w:val="-28"/>
          <w:sz w:val="24"/>
          <w:szCs w:val="24"/>
        </w:rPr>
        <w:object w:dxaOrig="3700" w:dyaOrig="660">
          <v:shape id="_x0000_i1055" type="#_x0000_t75" style="width:184.7pt;height:32.55pt" o:ole="">
            <v:imagedata r:id="rId67" o:title=""/>
          </v:shape>
          <o:OLEObject Type="Embed" ProgID="Equation.DSMT4" ShapeID="_x0000_i1055" DrawAspect="Content" ObjectID="_1616394675" r:id="rId68"/>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(2.4.1</w:t>
      </w:r>
      <w:r w:rsidR="00822234">
        <w:rPr>
          <w:rFonts w:ascii="Times New Roman" w:hAnsi="Times New Roman" w:cs="Times New Roman"/>
          <w:bCs/>
          <w:color w:val="000000"/>
          <w:sz w:val="24"/>
          <w:szCs w:val="24"/>
        </w:rPr>
        <w:t>4</w:t>
      </w:r>
      <w:r>
        <w:rPr>
          <w:rFonts w:ascii="Times New Roman" w:hAnsi="Times New Roman" w:cs="Times New Roman"/>
          <w:bCs/>
          <w:color w:val="000000"/>
          <w:sz w:val="24"/>
          <w:szCs w:val="24"/>
        </w:rPr>
        <w:t>)</w:t>
      </w:r>
    </w:p>
    <w:p w:rsidR="00C913FB" w:rsidRDefault="00C913FB" w:rsidP="00C913FB">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Equation (2.4.14) specifies the current rate of return as the ratio the post-income-tax rental price of capital in industry j,r to the cost of a unit of capital in region r </w:t>
      </w:r>
      <w:r w:rsidRPr="006B3E94">
        <w:rPr>
          <w:rFonts w:ascii="Times New Roman" w:hAnsi="Times New Roman" w:cs="Times New Roman"/>
          <w:bCs/>
          <w:i/>
          <w:color w:val="000000"/>
          <w:sz w:val="24"/>
          <w:szCs w:val="24"/>
        </w:rPr>
        <w:t>less</w:t>
      </w:r>
      <w:r>
        <w:rPr>
          <w:rFonts w:ascii="Times New Roman" w:hAnsi="Times New Roman" w:cs="Times New Roman"/>
          <w:bCs/>
          <w:color w:val="000000"/>
          <w:sz w:val="24"/>
          <w:szCs w:val="24"/>
        </w:rPr>
        <w:t xml:space="preserve"> the rate of depreciation.  For example, if the owner of a unit of capital in industry j,r receives a post-tax </w:t>
      </w:r>
      <w:r>
        <w:rPr>
          <w:rFonts w:ascii="Times New Roman" w:hAnsi="Times New Roman" w:cs="Times New Roman"/>
          <w:bCs/>
          <w:color w:val="000000"/>
          <w:sz w:val="24"/>
          <w:szCs w:val="24"/>
        </w:rPr>
        <w:lastRenderedPageBreak/>
        <w:t xml:space="preserve">income of $12 on a unit of capital worth $100 (the asset price) and units of capital depreciate at 5 per cent a year , then we say that the current rate of return in industry j,r is 7 per cent.  </w:t>
      </w:r>
    </w:p>
    <w:p w:rsidR="001E6808" w:rsidRDefault="00C913FB" w:rsidP="00F65A26">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Equation (2.4.10) is a percentage change form </w:t>
      </w:r>
      <w:r w:rsidR="00333301">
        <w:rPr>
          <w:rFonts w:ascii="Times New Roman" w:hAnsi="Times New Roman" w:cs="Times New Roman"/>
          <w:bCs/>
          <w:color w:val="000000"/>
          <w:sz w:val="24"/>
          <w:szCs w:val="24"/>
        </w:rPr>
        <w:t>for the post-tax rental rate on units of capital in industry j,r.  It can be derived directly from the levels equation:</w:t>
      </w:r>
      <w:r w:rsidR="001E6808">
        <w:rPr>
          <w:rFonts w:ascii="Times New Roman" w:hAnsi="Times New Roman" w:cs="Times New Roman"/>
          <w:bCs/>
          <w:color w:val="000000"/>
          <w:sz w:val="24"/>
          <w:szCs w:val="24"/>
        </w:rPr>
        <w:t xml:space="preserve"> </w:t>
      </w:r>
    </w:p>
    <w:p w:rsidR="00333301" w:rsidRDefault="00333301" w:rsidP="00333301">
      <w:pPr>
        <w:tabs>
          <w:tab w:val="left" w:pos="567"/>
          <w:tab w:val="right" w:pos="8931"/>
        </w:tabs>
        <w:spacing w:before="120" w:after="0" w:line="240" w:lineRule="auto"/>
        <w:rPr>
          <w:rFonts w:ascii="Times New Roman" w:hAnsi="Times New Roman" w:cs="Times New Roman"/>
          <w:bCs/>
          <w:color w:val="000000"/>
          <w:sz w:val="24"/>
          <w:szCs w:val="24"/>
        </w:rPr>
      </w:pPr>
      <w:r w:rsidRPr="00333301">
        <w:rPr>
          <w:rFonts w:ascii="Times New Roman" w:hAnsi="Times New Roman" w:cs="Times New Roman"/>
          <w:bCs/>
          <w:color w:val="000000"/>
          <w:position w:val="-10"/>
          <w:sz w:val="24"/>
          <w:szCs w:val="24"/>
        </w:rPr>
        <w:object w:dxaOrig="8080" w:dyaOrig="320">
          <v:shape id="_x0000_i1056" type="#_x0000_t75" style="width:403.85pt;height:16.3pt" o:ole="">
            <v:imagedata r:id="rId69" o:title=""/>
          </v:shape>
          <o:OLEObject Type="Embed" ProgID="Equation.DSMT4" ShapeID="_x0000_i1056" DrawAspect="Content" ObjectID="_1616394676" r:id="rId70"/>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(2.4.15)</w:t>
      </w:r>
    </w:p>
    <w:p w:rsidR="00333301" w:rsidRDefault="00333301" w:rsidP="005D7DBF">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To see </w:t>
      </w:r>
      <w:r w:rsidR="00E9343F">
        <w:rPr>
          <w:rFonts w:ascii="Times New Roman" w:hAnsi="Times New Roman" w:cs="Times New Roman"/>
          <w:bCs/>
          <w:color w:val="000000"/>
          <w:sz w:val="24"/>
          <w:szCs w:val="24"/>
        </w:rPr>
        <w:t>why (2.4.15) is a legitimate specification of the post-income-tax rental price of units of capital in industry j,r, it is helpful to re-arrange it as:</w:t>
      </w:r>
    </w:p>
    <w:p w:rsidR="005D7DBF" w:rsidRDefault="005D7DBF" w:rsidP="005D7DBF">
      <w:pPr>
        <w:tabs>
          <w:tab w:val="left" w:pos="567"/>
          <w:tab w:val="right" w:pos="8931"/>
        </w:tabs>
        <w:spacing w:before="120" w:after="0" w:line="240" w:lineRule="auto"/>
        <w:rPr>
          <w:rFonts w:ascii="Times New Roman" w:hAnsi="Times New Roman" w:cs="Times New Roman"/>
          <w:bCs/>
          <w:color w:val="000000"/>
          <w:sz w:val="24"/>
          <w:szCs w:val="24"/>
        </w:rPr>
      </w:pPr>
      <w:r w:rsidRPr="005D7DBF">
        <w:rPr>
          <w:rFonts w:ascii="Times New Roman" w:hAnsi="Times New Roman" w:cs="Times New Roman"/>
          <w:bCs/>
          <w:color w:val="000000"/>
          <w:position w:val="-48"/>
          <w:sz w:val="24"/>
          <w:szCs w:val="24"/>
        </w:rPr>
        <w:object w:dxaOrig="8580" w:dyaOrig="1080">
          <v:shape id="_x0000_i1057" type="#_x0000_t75" style="width:429.5pt;height:54.45pt" o:ole="">
            <v:imagedata r:id="rId71" o:title=""/>
          </v:shape>
          <o:OLEObject Type="Embed" ProgID="Equation.DSMT4" ShapeID="_x0000_i1057" DrawAspect="Content" ObjectID="_1616394677" r:id="rId72"/>
        </w:objec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(2.4.1</w:t>
      </w:r>
      <w:r w:rsidR="00E9343F">
        <w:rPr>
          <w:rFonts w:ascii="Times New Roman" w:hAnsi="Times New Roman" w:cs="Times New Roman"/>
          <w:bCs/>
          <w:color w:val="000000"/>
          <w:sz w:val="24"/>
          <w:szCs w:val="24"/>
        </w:rPr>
        <w:t>6</w:t>
      </w:r>
      <w:r>
        <w:rPr>
          <w:rFonts w:ascii="Times New Roman" w:hAnsi="Times New Roman" w:cs="Times New Roman"/>
          <w:bCs/>
          <w:color w:val="000000"/>
          <w:sz w:val="24"/>
          <w:szCs w:val="24"/>
        </w:rPr>
        <w:t>)</w:t>
      </w:r>
    </w:p>
    <w:p w:rsidR="00204D0C" w:rsidRDefault="006B3E94" w:rsidP="00DF47C3">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Equation (2.4.1</w:t>
      </w:r>
      <w:r w:rsidR="00E9343F">
        <w:rPr>
          <w:rFonts w:ascii="Times New Roman" w:hAnsi="Times New Roman" w:cs="Times New Roman"/>
          <w:bCs/>
          <w:color w:val="000000"/>
          <w:sz w:val="24"/>
          <w:szCs w:val="24"/>
        </w:rPr>
        <w:t>6</w:t>
      </w:r>
      <w:r>
        <w:rPr>
          <w:rFonts w:ascii="Times New Roman" w:hAnsi="Times New Roman" w:cs="Times New Roman"/>
          <w:bCs/>
          <w:color w:val="000000"/>
          <w:sz w:val="24"/>
          <w:szCs w:val="24"/>
        </w:rPr>
        <w:t>) calculates the</w:t>
      </w:r>
      <w:r w:rsidR="00DF47C3">
        <w:rPr>
          <w:rFonts w:ascii="Times New Roman" w:hAnsi="Times New Roman" w:cs="Times New Roman"/>
          <w:bCs/>
          <w:color w:val="000000"/>
          <w:sz w:val="24"/>
          <w:szCs w:val="24"/>
        </w:rPr>
        <w:t xml:space="preserve"> post-income-tax rental price</w:t>
      </w:r>
      <w:r>
        <w:rPr>
          <w:rFonts w:ascii="Times New Roman" w:hAnsi="Times New Roman" w:cs="Times New Roman"/>
          <w:bCs/>
          <w:color w:val="000000"/>
          <w:sz w:val="24"/>
          <w:szCs w:val="24"/>
        </w:rPr>
        <w:t xml:space="preserve"> of capital in industry j,r as </w:t>
      </w:r>
      <w:r w:rsidR="00204D0C">
        <w:rPr>
          <w:rFonts w:ascii="Times New Roman" w:hAnsi="Times New Roman" w:cs="Times New Roman"/>
          <w:bCs/>
          <w:color w:val="000000"/>
          <w:sz w:val="24"/>
          <w:szCs w:val="24"/>
        </w:rPr>
        <w:t xml:space="preserve">the product of two terms.  The first term in curly brackets is the pre-tax rental received per unit by owners of capital in industry j,r.  The second term is the fraction of this income that is retained after payment by capital owners of income tax, that is the ratio of the average supply price in region r </w:t>
      </w:r>
      <w:r w:rsidR="00BB720D">
        <w:rPr>
          <w:rFonts w:ascii="Times New Roman" w:hAnsi="Times New Roman" w:cs="Times New Roman"/>
          <w:bCs/>
          <w:color w:val="000000"/>
          <w:sz w:val="24"/>
          <w:szCs w:val="24"/>
        </w:rPr>
        <w:t xml:space="preserve">[PS(“capital,r)] </w:t>
      </w:r>
      <w:r w:rsidR="00204D0C">
        <w:rPr>
          <w:rFonts w:ascii="Times New Roman" w:hAnsi="Times New Roman" w:cs="Times New Roman"/>
          <w:bCs/>
          <w:color w:val="000000"/>
          <w:sz w:val="24"/>
          <w:szCs w:val="24"/>
        </w:rPr>
        <w:t>to the average market price</w:t>
      </w:r>
      <w:r w:rsidR="00BB720D">
        <w:rPr>
          <w:rFonts w:ascii="Times New Roman" w:hAnsi="Times New Roman" w:cs="Times New Roman"/>
          <w:bCs/>
          <w:color w:val="000000"/>
          <w:sz w:val="24"/>
          <w:szCs w:val="24"/>
        </w:rPr>
        <w:t xml:space="preserve"> [PM(“capital,r)].</w:t>
      </w:r>
      <w:r w:rsidR="00204D0C">
        <w:rPr>
          <w:rFonts w:ascii="Times New Roman" w:hAnsi="Times New Roman" w:cs="Times New Roman"/>
          <w:bCs/>
          <w:color w:val="000000"/>
          <w:sz w:val="24"/>
          <w:szCs w:val="24"/>
        </w:rPr>
        <w:t xml:space="preserve"> </w:t>
      </w:r>
    </w:p>
    <w:p w:rsidR="00BA7F20" w:rsidRDefault="00204D0C" w:rsidP="00DF47C3">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Pre-tax rental received per unit is calculated as </w:t>
      </w:r>
      <w:r w:rsidR="006B3E94">
        <w:rPr>
          <w:rFonts w:ascii="Times New Roman" w:hAnsi="Times New Roman" w:cs="Times New Roman"/>
          <w:bCs/>
          <w:color w:val="000000"/>
          <w:sz w:val="24"/>
          <w:szCs w:val="24"/>
        </w:rPr>
        <w:t>th</w:t>
      </w:r>
      <w:r w:rsidR="00DF47C3">
        <w:rPr>
          <w:rFonts w:ascii="Times New Roman" w:hAnsi="Times New Roman" w:cs="Times New Roman"/>
          <w:bCs/>
          <w:color w:val="000000"/>
          <w:sz w:val="24"/>
          <w:szCs w:val="24"/>
        </w:rPr>
        <w:t>e</w:t>
      </w:r>
      <w:r w:rsidR="006B3E94">
        <w:rPr>
          <w:rFonts w:ascii="Times New Roman" w:hAnsi="Times New Roman" w:cs="Times New Roman"/>
          <w:bCs/>
          <w:color w:val="000000"/>
          <w:sz w:val="24"/>
          <w:szCs w:val="24"/>
        </w:rPr>
        <w:t xml:space="preserve"> average </w:t>
      </w:r>
      <w:r>
        <w:rPr>
          <w:rFonts w:ascii="Times New Roman" w:hAnsi="Times New Roman" w:cs="Times New Roman"/>
          <w:bCs/>
          <w:color w:val="000000"/>
          <w:sz w:val="24"/>
          <w:szCs w:val="24"/>
        </w:rPr>
        <w:t xml:space="preserve">market </w:t>
      </w:r>
      <w:r w:rsidR="006B3E94">
        <w:rPr>
          <w:rFonts w:ascii="Times New Roman" w:hAnsi="Times New Roman" w:cs="Times New Roman"/>
          <w:bCs/>
          <w:color w:val="000000"/>
          <w:sz w:val="24"/>
          <w:szCs w:val="24"/>
        </w:rPr>
        <w:t xml:space="preserve"> price of capital in region r </w:t>
      </w:r>
      <w:r w:rsidR="00DF47C3">
        <w:rPr>
          <w:rFonts w:ascii="Times New Roman" w:hAnsi="Times New Roman" w:cs="Times New Roman"/>
          <w:bCs/>
          <w:color w:val="000000"/>
          <w:sz w:val="24"/>
          <w:szCs w:val="24"/>
        </w:rPr>
        <w:t xml:space="preserve">plus the phantom tax revenue per unit of capital in industry j,r.  Phantom tax revenue per unit is the difference between total tax revenue per unit charged to users of capital in industry j,r and genuine tax revenue per unit charged to users of capital in industry j,r.  Why do we add phantom-tax-revenue per unit to the average </w:t>
      </w:r>
      <w:r>
        <w:rPr>
          <w:rFonts w:ascii="Times New Roman" w:hAnsi="Times New Roman" w:cs="Times New Roman"/>
          <w:bCs/>
          <w:color w:val="000000"/>
          <w:sz w:val="24"/>
          <w:szCs w:val="24"/>
        </w:rPr>
        <w:t xml:space="preserve">market </w:t>
      </w:r>
      <w:r w:rsidR="00DF47C3">
        <w:rPr>
          <w:rFonts w:ascii="Times New Roman" w:hAnsi="Times New Roman" w:cs="Times New Roman"/>
          <w:bCs/>
          <w:color w:val="000000"/>
          <w:sz w:val="24"/>
          <w:szCs w:val="24"/>
        </w:rPr>
        <w:t>price to arrive at the p</w:t>
      </w:r>
      <w:r>
        <w:rPr>
          <w:rFonts w:ascii="Times New Roman" w:hAnsi="Times New Roman" w:cs="Times New Roman"/>
          <w:bCs/>
          <w:color w:val="000000"/>
          <w:sz w:val="24"/>
          <w:szCs w:val="24"/>
        </w:rPr>
        <w:t>re</w:t>
      </w:r>
      <w:r w:rsidR="00DF47C3">
        <w:rPr>
          <w:rFonts w:ascii="Times New Roman" w:hAnsi="Times New Roman" w:cs="Times New Roman"/>
          <w:bCs/>
          <w:color w:val="000000"/>
          <w:sz w:val="24"/>
          <w:szCs w:val="24"/>
        </w:rPr>
        <w:t>-income-tax rental price?</w:t>
      </w:r>
    </w:p>
    <w:p w:rsidR="00BA7F20" w:rsidRDefault="004C20CC" w:rsidP="00287B62">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We </w:t>
      </w:r>
      <w:r w:rsidR="00BB720D">
        <w:rPr>
          <w:rFonts w:ascii="Times New Roman" w:hAnsi="Times New Roman" w:cs="Times New Roman"/>
          <w:bCs/>
          <w:color w:val="000000"/>
          <w:sz w:val="24"/>
          <w:szCs w:val="24"/>
        </w:rPr>
        <w:t xml:space="preserve">can </w:t>
      </w:r>
      <w:r>
        <w:rPr>
          <w:rFonts w:ascii="Times New Roman" w:hAnsi="Times New Roman" w:cs="Times New Roman"/>
          <w:bCs/>
          <w:color w:val="000000"/>
          <w:sz w:val="24"/>
          <w:szCs w:val="24"/>
        </w:rPr>
        <w:t>think of users of capital in industry j,r as making two separate payments to owners.  First, they pay the average market price for capital in region r [PM(“capital”,r)]</w:t>
      </w:r>
      <w:r w:rsidR="00822234">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The second payment by users to owners is the phantom tax.  </w:t>
      </w:r>
      <w:r w:rsidR="00287B62">
        <w:rPr>
          <w:rFonts w:ascii="Times New Roman" w:hAnsi="Times New Roman" w:cs="Times New Roman"/>
          <w:bCs/>
          <w:color w:val="000000"/>
          <w:sz w:val="24"/>
          <w:szCs w:val="24"/>
        </w:rPr>
        <w:t>If capital in industry j,r is scarce, then this tax will be positive giving owners of j,r’s capital a rental receipt that is above the average for region r.  This high rental will produce a high current rate of return which, as we will see shortly, will stimulate investment in industry j,r relative to that in other industries.  If capital in industry j,r is abundant, then the  phantom tax will be negative.  The rental receipt for owners of j,r’s capital will be below the average for region r.  This low rental will produce a low current rate of return which will damp investment in industry j,r</w:t>
      </w:r>
      <w:r w:rsidR="00837D67">
        <w:rPr>
          <w:rFonts w:ascii="Times New Roman" w:hAnsi="Times New Roman" w:cs="Times New Roman"/>
          <w:bCs/>
          <w:color w:val="000000"/>
          <w:sz w:val="24"/>
          <w:szCs w:val="24"/>
        </w:rPr>
        <w:t>.</w:t>
      </w:r>
      <w:r w:rsidR="00287B62">
        <w:rPr>
          <w:rFonts w:ascii="Times New Roman" w:hAnsi="Times New Roman" w:cs="Times New Roman"/>
          <w:bCs/>
          <w:color w:val="000000"/>
          <w:sz w:val="24"/>
          <w:szCs w:val="24"/>
        </w:rPr>
        <w:t xml:space="preserve">  </w:t>
      </w:r>
      <w:r w:rsidR="00E9343F">
        <w:rPr>
          <w:rFonts w:ascii="Times New Roman" w:hAnsi="Times New Roman" w:cs="Times New Roman"/>
          <w:bCs/>
          <w:color w:val="000000"/>
          <w:sz w:val="24"/>
          <w:szCs w:val="24"/>
        </w:rPr>
        <w:t xml:space="preserve">Another way </w:t>
      </w:r>
      <w:r w:rsidR="00C20024">
        <w:rPr>
          <w:rFonts w:ascii="Times New Roman" w:hAnsi="Times New Roman" w:cs="Times New Roman"/>
          <w:bCs/>
          <w:color w:val="000000"/>
          <w:sz w:val="24"/>
          <w:szCs w:val="24"/>
        </w:rPr>
        <w:t xml:space="preserve">of understanding (2.4.16) is to derive it by subtracting genuine taxes (both income taxes and </w:t>
      </w:r>
      <w:r w:rsidR="00452659">
        <w:rPr>
          <w:rFonts w:ascii="Times New Roman" w:hAnsi="Times New Roman" w:cs="Times New Roman"/>
          <w:bCs/>
          <w:color w:val="000000"/>
          <w:sz w:val="24"/>
          <w:szCs w:val="24"/>
        </w:rPr>
        <w:t xml:space="preserve">user taxes) from the price paid by industry j,r to use a unit of capital.  </w:t>
      </w:r>
    </w:p>
    <w:p w:rsidR="00E9343F" w:rsidRDefault="00452659" w:rsidP="00E9343F">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E</w:t>
      </w:r>
      <w:r w:rsidR="00E9343F">
        <w:rPr>
          <w:rFonts w:ascii="Times New Roman" w:hAnsi="Times New Roman" w:cs="Times New Roman"/>
          <w:bCs/>
          <w:color w:val="000000"/>
          <w:sz w:val="24"/>
          <w:szCs w:val="24"/>
        </w:rPr>
        <w:t>quation (2.4.1</w:t>
      </w:r>
      <w:r w:rsidR="00A46F0A">
        <w:rPr>
          <w:rFonts w:ascii="Times New Roman" w:hAnsi="Times New Roman" w:cs="Times New Roman"/>
          <w:bCs/>
          <w:color w:val="000000"/>
          <w:sz w:val="24"/>
          <w:szCs w:val="24"/>
        </w:rPr>
        <w:t>1</w:t>
      </w:r>
      <w:r w:rsidR="00E9343F">
        <w:rPr>
          <w:rFonts w:ascii="Times New Roman" w:hAnsi="Times New Roman" w:cs="Times New Roman"/>
          <w:bCs/>
          <w:color w:val="000000"/>
          <w:sz w:val="24"/>
          <w:szCs w:val="24"/>
        </w:rPr>
        <w:t xml:space="preserve">) defines the percentage change in aggregate end-of-year capital stock in region r [ke(r)] as a weighted average of the percentage changes in the end-of-year capital stocks of the industries in region r [ke_i(j,r)].  </w:t>
      </w:r>
    </w:p>
    <w:p w:rsidR="00E9343F" w:rsidRDefault="00E9343F" w:rsidP="00E9343F">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Equation (2.4.1</w:t>
      </w:r>
      <w:r w:rsidR="00A46F0A">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 is a percentage change version of the accounting identity that determines the aggregate value of end-of-year capital stocks in region r as the aggregate value </w:t>
      </w:r>
      <w:r w:rsidR="00452659">
        <w:rPr>
          <w:rFonts w:ascii="Times New Roman" w:hAnsi="Times New Roman" w:cs="Times New Roman"/>
          <w:bCs/>
          <w:color w:val="000000"/>
          <w:sz w:val="24"/>
          <w:szCs w:val="24"/>
        </w:rPr>
        <w:t>in</w:t>
      </w:r>
      <w:r>
        <w:rPr>
          <w:rFonts w:ascii="Times New Roman" w:hAnsi="Times New Roman" w:cs="Times New Roman"/>
          <w:bCs/>
          <w:color w:val="000000"/>
          <w:sz w:val="24"/>
          <w:szCs w:val="24"/>
        </w:rPr>
        <w:t xml:space="preserve"> end</w:t>
      </w:r>
      <w:r w:rsidR="00452659">
        <w:rPr>
          <w:rFonts w:ascii="Times New Roman" w:hAnsi="Times New Roman" w:cs="Times New Roman"/>
          <w:bCs/>
          <w:color w:val="000000"/>
          <w:sz w:val="24"/>
          <w:szCs w:val="24"/>
        </w:rPr>
        <w:t>-</w:t>
      </w:r>
      <w:r>
        <w:rPr>
          <w:rFonts w:ascii="Times New Roman" w:hAnsi="Times New Roman" w:cs="Times New Roman"/>
          <w:bCs/>
          <w:color w:val="000000"/>
          <w:sz w:val="24"/>
          <w:szCs w:val="24"/>
        </w:rPr>
        <w:t>of</w:t>
      </w:r>
      <w:r w:rsidR="00452659">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year </w:t>
      </w:r>
      <w:r w:rsidR="00452659">
        <w:rPr>
          <w:rFonts w:ascii="Times New Roman" w:hAnsi="Times New Roman" w:cs="Times New Roman"/>
          <w:bCs/>
          <w:color w:val="000000"/>
          <w:sz w:val="24"/>
          <w:szCs w:val="24"/>
        </w:rPr>
        <w:t xml:space="preserve">prices </w:t>
      </w:r>
      <w:r>
        <w:rPr>
          <w:rFonts w:ascii="Times New Roman" w:hAnsi="Times New Roman" w:cs="Times New Roman"/>
          <w:bCs/>
          <w:color w:val="000000"/>
          <w:sz w:val="24"/>
          <w:szCs w:val="24"/>
        </w:rPr>
        <w:t xml:space="preserve">of the start-of-year capital stocks in region r </w:t>
      </w:r>
      <w:r>
        <w:rPr>
          <w:rFonts w:ascii="Times New Roman" w:hAnsi="Times New Roman" w:cs="Times New Roman"/>
          <w:bCs/>
          <w:i/>
          <w:color w:val="000000"/>
          <w:sz w:val="24"/>
          <w:szCs w:val="24"/>
        </w:rPr>
        <w:t>plus</w:t>
      </w:r>
      <w:r>
        <w:rPr>
          <w:rFonts w:ascii="Times New Roman" w:hAnsi="Times New Roman" w:cs="Times New Roman"/>
          <w:bCs/>
          <w:color w:val="000000"/>
          <w:sz w:val="24"/>
          <w:szCs w:val="24"/>
        </w:rPr>
        <w:t xml:space="preserve"> gross investment </w:t>
      </w:r>
      <w:r>
        <w:rPr>
          <w:rFonts w:ascii="Times New Roman" w:hAnsi="Times New Roman" w:cs="Times New Roman"/>
          <w:bCs/>
          <w:i/>
          <w:color w:val="000000"/>
          <w:sz w:val="24"/>
          <w:szCs w:val="24"/>
        </w:rPr>
        <w:t xml:space="preserve">less </w:t>
      </w:r>
      <w:r>
        <w:rPr>
          <w:rFonts w:ascii="Times New Roman" w:hAnsi="Times New Roman" w:cs="Times New Roman"/>
          <w:bCs/>
          <w:color w:val="000000"/>
          <w:sz w:val="24"/>
          <w:szCs w:val="24"/>
        </w:rPr>
        <w:t xml:space="preserve">depreciation.  In equations that we retain in GTAP-MVH, standard GTAP ensures that the percentage change in aggregate start-of-year capital stock in region r is a weighted average of the percentage changes in the start-of-year capital stocks of the industries in region r </w:t>
      </w:r>
      <w:r>
        <w:rPr>
          <w:rFonts w:ascii="Times New Roman" w:hAnsi="Times New Roman" w:cs="Times New Roman"/>
          <w:bCs/>
          <w:color w:val="000000"/>
          <w:sz w:val="24"/>
          <w:szCs w:val="24"/>
        </w:rPr>
        <w:lastRenderedPageBreak/>
        <w:t>[kb_i(j,r)].</w:t>
      </w:r>
      <w:r>
        <w:rPr>
          <w:rStyle w:val="FootnoteReference"/>
          <w:rFonts w:ascii="Times New Roman" w:hAnsi="Times New Roman" w:cs="Times New Roman"/>
          <w:bCs/>
          <w:color w:val="000000"/>
          <w:szCs w:val="24"/>
        </w:rPr>
        <w:footnoteReference w:id="7"/>
      </w:r>
      <w:r>
        <w:rPr>
          <w:rFonts w:ascii="Times New Roman" w:hAnsi="Times New Roman" w:cs="Times New Roman"/>
          <w:bCs/>
          <w:color w:val="000000"/>
          <w:sz w:val="24"/>
          <w:szCs w:val="24"/>
        </w:rPr>
        <w:t xml:space="preserve">  This ties down kb(r) via the predetermination in (2.4.1) of start-of-year industry capital stocks.  Given that we have determined ke(r) in (2.4.11) and that movements in capital goods prices [pcgds(r)] are determined elsewhere in our model via wage rates and other input prices, we can think of (2.4.12) as determining the percentage change in aggregate investment in region r [qcgds(r)].  </w:t>
      </w:r>
    </w:p>
    <w:p w:rsidR="00822234" w:rsidRPr="00524FED" w:rsidRDefault="00822234" w:rsidP="00822234">
      <w:pPr>
        <w:tabs>
          <w:tab w:val="left" w:pos="567"/>
        </w:tabs>
        <w:spacing w:before="20" w:after="20" w:line="240" w:lineRule="auto"/>
        <w:ind w:left="567" w:hanging="283"/>
        <w:jc w:val="center"/>
        <w:rPr>
          <w:rFonts w:ascii="Times New Roman" w:hAnsi="Times New Roman" w:cs="Times New Roman"/>
          <w:b/>
          <w:i/>
          <w:sz w:val="24"/>
          <w:szCs w:val="24"/>
        </w:rPr>
      </w:pPr>
      <w:r>
        <w:rPr>
          <w:rFonts w:ascii="Times New Roman" w:hAnsi="Times New Roman" w:cs="Times New Roman"/>
          <w:b/>
          <w:i/>
          <w:sz w:val="24"/>
          <w:szCs w:val="24"/>
        </w:rPr>
        <w:t xml:space="preserve">Figure </w:t>
      </w:r>
      <w:r w:rsidR="00342D2E">
        <w:rPr>
          <w:rFonts w:ascii="Times New Roman" w:hAnsi="Times New Roman" w:cs="Times New Roman"/>
          <w:b/>
          <w:i/>
          <w:sz w:val="24"/>
          <w:szCs w:val="24"/>
        </w:rPr>
        <w:t>2.</w:t>
      </w:r>
      <w:r>
        <w:rPr>
          <w:rFonts w:ascii="Times New Roman" w:hAnsi="Times New Roman" w:cs="Times New Roman"/>
          <w:b/>
          <w:i/>
          <w:sz w:val="24"/>
          <w:szCs w:val="24"/>
        </w:rPr>
        <w:t xml:space="preserve">1.  Price paths </w:t>
      </w:r>
    </w:p>
    <w:p w:rsidR="00822234" w:rsidRDefault="00822234" w:rsidP="00822234">
      <w:pPr>
        <w:tabs>
          <w:tab w:val="left" w:pos="567"/>
        </w:tabs>
        <w:spacing w:before="20" w:after="20" w:line="240" w:lineRule="auto"/>
        <w:ind w:left="567" w:hanging="283"/>
        <w:rPr>
          <w:rFonts w:ascii="Times New Roman" w:hAnsi="Times New Roman" w:cs="Times New Roman"/>
          <w:sz w:val="24"/>
          <w:szCs w:val="24"/>
        </w:rPr>
      </w:pPr>
      <w:r w:rsidRPr="00524FED">
        <w:rPr>
          <w:noProof/>
          <w:lang w:eastAsia="en-AU"/>
        </w:rPr>
        <w:drawing>
          <wp:inline distT="0" distB="0" distL="0" distR="0" wp14:anchorId="597622DE" wp14:editId="242477D1">
            <wp:extent cx="5731510" cy="296304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2963042"/>
                    </a:xfrm>
                    <a:prstGeom prst="rect">
                      <a:avLst/>
                    </a:prstGeom>
                    <a:noFill/>
                    <a:ln>
                      <a:noFill/>
                    </a:ln>
                  </pic:spPr>
                </pic:pic>
              </a:graphicData>
            </a:graphic>
          </wp:inline>
        </w:drawing>
      </w:r>
    </w:p>
    <w:p w:rsidR="00822234" w:rsidRPr="00CE61C2" w:rsidRDefault="00822234" w:rsidP="00822234">
      <w:pPr>
        <w:tabs>
          <w:tab w:val="left" w:pos="567"/>
        </w:tabs>
        <w:spacing w:before="20" w:after="20" w:line="240" w:lineRule="auto"/>
        <w:ind w:left="567" w:hanging="283"/>
        <w:rPr>
          <w:rFonts w:ascii="Times New Roman" w:hAnsi="Times New Roman" w:cs="Times New Roman"/>
          <w:sz w:val="24"/>
          <w:szCs w:val="24"/>
        </w:rPr>
      </w:pPr>
    </w:p>
    <w:p w:rsidR="00F65A26" w:rsidRPr="00F65A26" w:rsidRDefault="00F65A26" w:rsidP="00F65A26">
      <w:pPr>
        <w:tabs>
          <w:tab w:val="left" w:pos="567"/>
        </w:tabs>
        <w:spacing w:before="20" w:after="20" w:line="240" w:lineRule="auto"/>
        <w:ind w:left="567" w:hanging="283"/>
        <w:jc w:val="center"/>
        <w:rPr>
          <w:rFonts w:ascii="Times New Roman" w:hAnsi="Times New Roman" w:cs="Times New Roman"/>
          <w:b/>
          <w:i/>
          <w:sz w:val="24"/>
          <w:szCs w:val="24"/>
        </w:rPr>
      </w:pPr>
      <w:r>
        <w:rPr>
          <w:rFonts w:ascii="Times New Roman" w:hAnsi="Times New Roman" w:cs="Times New Roman"/>
          <w:b/>
          <w:i/>
          <w:sz w:val="24"/>
          <w:szCs w:val="24"/>
        </w:rPr>
        <w:t xml:space="preserve">Figure </w:t>
      </w:r>
      <w:r w:rsidR="00342D2E">
        <w:rPr>
          <w:rFonts w:ascii="Times New Roman" w:hAnsi="Times New Roman" w:cs="Times New Roman"/>
          <w:b/>
          <w:i/>
          <w:sz w:val="24"/>
          <w:szCs w:val="24"/>
        </w:rPr>
        <w:t>2.</w:t>
      </w:r>
      <w:r>
        <w:rPr>
          <w:rFonts w:ascii="Times New Roman" w:hAnsi="Times New Roman" w:cs="Times New Roman"/>
          <w:b/>
          <w:i/>
          <w:sz w:val="24"/>
          <w:szCs w:val="24"/>
        </w:rPr>
        <w:t>2.  Expected rate of return schedule for industry j,r</w:t>
      </w:r>
    </w:p>
    <w:p w:rsidR="002472D4" w:rsidRDefault="00F65A26" w:rsidP="007042C4">
      <w:pPr>
        <w:tabs>
          <w:tab w:val="left" w:pos="567"/>
        </w:tabs>
        <w:spacing w:before="20" w:after="20" w:line="240" w:lineRule="auto"/>
        <w:ind w:left="567" w:hanging="283"/>
        <w:rPr>
          <w:rFonts w:ascii="Times New Roman" w:hAnsi="Times New Roman" w:cs="Times New Roman"/>
          <w:sz w:val="24"/>
          <w:szCs w:val="24"/>
        </w:rPr>
      </w:pPr>
      <w:r w:rsidRPr="00F65A26">
        <w:rPr>
          <w:noProof/>
          <w:lang w:eastAsia="en-AU"/>
        </w:rPr>
        <w:drawing>
          <wp:inline distT="0" distB="0" distL="0" distR="0">
            <wp:extent cx="5731510" cy="3204141"/>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3204141"/>
                    </a:xfrm>
                    <a:prstGeom prst="rect">
                      <a:avLst/>
                    </a:prstGeom>
                    <a:noFill/>
                    <a:ln>
                      <a:noFill/>
                    </a:ln>
                  </pic:spPr>
                </pic:pic>
              </a:graphicData>
            </a:graphic>
          </wp:inline>
        </w:drawing>
      </w:r>
    </w:p>
    <w:p w:rsidR="00F8367E" w:rsidRDefault="00F8367E">
      <w:pPr>
        <w:rPr>
          <w:rFonts w:ascii="Times New Roman" w:hAnsi="Times New Roman" w:cs="Times New Roman"/>
          <w:b/>
          <w:i/>
          <w:sz w:val="24"/>
          <w:szCs w:val="24"/>
        </w:rPr>
      </w:pPr>
      <w:r>
        <w:rPr>
          <w:rFonts w:ascii="Times New Roman" w:hAnsi="Times New Roman" w:cs="Times New Roman"/>
          <w:b/>
          <w:i/>
          <w:sz w:val="24"/>
          <w:szCs w:val="24"/>
        </w:rPr>
        <w:br w:type="page"/>
      </w:r>
    </w:p>
    <w:p w:rsidR="00F8367E" w:rsidRDefault="00DD5252" w:rsidP="00F8367E">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While (2.4.12) determines aggregate investment in region r, it raises the question of whether we should be concerned with investment by industry in region r.  </w:t>
      </w:r>
      <w:r w:rsidR="00306CE2">
        <w:rPr>
          <w:rFonts w:ascii="Times New Roman" w:hAnsi="Times New Roman" w:cs="Times New Roman"/>
          <w:bCs/>
          <w:color w:val="000000"/>
          <w:sz w:val="24"/>
          <w:szCs w:val="24"/>
        </w:rPr>
        <w:t xml:space="preserve">The percentage change in investment in industry j,r could be deduced from results for the percentage changes in start-and end-of-year capital in industry j,r [kb_i(j,r) and ke_i(j,r)].  However this is not necessary even though we are developing a model with industry-specific capital.  We can avoid explicitly modelling investment at the industry level because we assume that the input composition of capital creation is the same for every industry in region r.  Thus the industry composition of aggregate investment in a simulation year has no effect on results for GDP, employment, industry output or any other variable of policy interest.  </w:t>
      </w:r>
    </w:p>
    <w:p w:rsidR="00387293" w:rsidRDefault="00306CE2" w:rsidP="00F8367E">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Equation (2.4.13) </w:t>
      </w:r>
      <w:r w:rsidR="00252E10">
        <w:rPr>
          <w:rFonts w:ascii="Times New Roman" w:hAnsi="Times New Roman" w:cs="Times New Roman"/>
          <w:bCs/>
          <w:color w:val="000000"/>
          <w:sz w:val="24"/>
          <w:szCs w:val="24"/>
        </w:rPr>
        <w:t xml:space="preserve">gives us the expected rate of return on investment in industry j,r.  We should think of this equation as determining the rate of interest at which industry j,r can obtain </w:t>
      </w:r>
      <w:r w:rsidR="00550121">
        <w:rPr>
          <w:rFonts w:ascii="Times New Roman" w:hAnsi="Times New Roman" w:cs="Times New Roman"/>
          <w:bCs/>
          <w:color w:val="000000"/>
          <w:sz w:val="24"/>
          <w:szCs w:val="24"/>
        </w:rPr>
        <w:t>finance</w:t>
      </w:r>
      <w:r w:rsidR="00252E10">
        <w:rPr>
          <w:rFonts w:ascii="Times New Roman" w:hAnsi="Times New Roman" w:cs="Times New Roman"/>
          <w:bCs/>
          <w:color w:val="000000"/>
          <w:sz w:val="24"/>
          <w:szCs w:val="24"/>
        </w:rPr>
        <w:t xml:space="preserve"> for investment.  </w:t>
      </w:r>
      <w:r w:rsidR="00881ACC">
        <w:rPr>
          <w:rFonts w:ascii="Times New Roman" w:hAnsi="Times New Roman" w:cs="Times New Roman"/>
          <w:bCs/>
          <w:color w:val="000000"/>
          <w:sz w:val="24"/>
          <w:szCs w:val="24"/>
        </w:rPr>
        <w:t xml:space="preserve">With this interpretation of rore_i(j,r) in mind, we return to equation (2.4.8).  </w:t>
      </w:r>
      <w:r w:rsidR="003A3309">
        <w:rPr>
          <w:rFonts w:ascii="Times New Roman" w:hAnsi="Times New Roman" w:cs="Times New Roman"/>
          <w:bCs/>
          <w:color w:val="000000"/>
          <w:sz w:val="24"/>
          <w:szCs w:val="24"/>
        </w:rPr>
        <w:t xml:space="preserve">In </w:t>
      </w:r>
      <w:r w:rsidR="00A46F0A">
        <w:rPr>
          <w:rFonts w:ascii="Times New Roman" w:hAnsi="Times New Roman" w:cs="Times New Roman"/>
          <w:bCs/>
          <w:color w:val="000000"/>
          <w:sz w:val="24"/>
          <w:szCs w:val="24"/>
        </w:rPr>
        <w:t>(2.4.8)</w:t>
      </w:r>
      <w:r w:rsidR="003A3309">
        <w:rPr>
          <w:rFonts w:ascii="Times New Roman" w:hAnsi="Times New Roman" w:cs="Times New Roman"/>
          <w:bCs/>
          <w:color w:val="000000"/>
          <w:sz w:val="24"/>
          <w:szCs w:val="24"/>
        </w:rPr>
        <w:t>, kb_i(j,r) is predetermined and we can think of rorc_i(j,r) as being determined</w:t>
      </w:r>
      <w:r w:rsidR="00550121">
        <w:rPr>
          <w:rFonts w:ascii="Times New Roman" w:hAnsi="Times New Roman" w:cs="Times New Roman"/>
          <w:bCs/>
          <w:color w:val="000000"/>
          <w:sz w:val="24"/>
          <w:szCs w:val="24"/>
        </w:rPr>
        <w:t>,</w:t>
      </w:r>
      <w:r w:rsidR="003A3309">
        <w:rPr>
          <w:rFonts w:ascii="Times New Roman" w:hAnsi="Times New Roman" w:cs="Times New Roman"/>
          <w:bCs/>
          <w:color w:val="000000"/>
          <w:sz w:val="24"/>
          <w:szCs w:val="24"/>
        </w:rPr>
        <w:t xml:space="preserve"> </w:t>
      </w:r>
      <w:r w:rsidR="00550121">
        <w:rPr>
          <w:rFonts w:ascii="Times New Roman" w:hAnsi="Times New Roman" w:cs="Times New Roman"/>
          <w:bCs/>
          <w:color w:val="000000"/>
          <w:sz w:val="24"/>
          <w:szCs w:val="24"/>
        </w:rPr>
        <w:t xml:space="preserve">largely independently of finance costs, </w:t>
      </w:r>
      <w:r w:rsidR="003A3309">
        <w:rPr>
          <w:rFonts w:ascii="Times New Roman" w:hAnsi="Times New Roman" w:cs="Times New Roman"/>
          <w:bCs/>
          <w:color w:val="000000"/>
          <w:sz w:val="24"/>
          <w:szCs w:val="24"/>
        </w:rPr>
        <w:t xml:space="preserve">by the current scarcity of capital in industry j,r relative to demand.  With rore_i(j,r) being set by equation (2.4.13), we </w:t>
      </w:r>
      <w:r w:rsidR="00881ACC">
        <w:rPr>
          <w:rFonts w:ascii="Times New Roman" w:hAnsi="Times New Roman" w:cs="Times New Roman"/>
          <w:bCs/>
          <w:color w:val="000000"/>
          <w:sz w:val="24"/>
          <w:szCs w:val="24"/>
        </w:rPr>
        <w:t>now see that (2.4.8) determin</w:t>
      </w:r>
      <w:r w:rsidR="003A3309">
        <w:rPr>
          <w:rFonts w:ascii="Times New Roman" w:hAnsi="Times New Roman" w:cs="Times New Roman"/>
          <w:bCs/>
          <w:color w:val="000000"/>
          <w:sz w:val="24"/>
          <w:szCs w:val="24"/>
        </w:rPr>
        <w:t>es</w:t>
      </w:r>
      <w:r w:rsidR="00881ACC">
        <w:rPr>
          <w:rFonts w:ascii="Times New Roman" w:hAnsi="Times New Roman" w:cs="Times New Roman"/>
          <w:bCs/>
          <w:color w:val="000000"/>
          <w:sz w:val="24"/>
          <w:szCs w:val="24"/>
        </w:rPr>
        <w:t xml:space="preserve"> the percentage change in the end-of-year capital stock </w:t>
      </w:r>
      <w:r w:rsidR="003A3309">
        <w:rPr>
          <w:rFonts w:ascii="Times New Roman" w:hAnsi="Times New Roman" w:cs="Times New Roman"/>
          <w:bCs/>
          <w:color w:val="000000"/>
          <w:sz w:val="24"/>
          <w:szCs w:val="24"/>
        </w:rPr>
        <w:t xml:space="preserve">[ke_i(j,r)] </w:t>
      </w:r>
      <w:r w:rsidR="00881ACC">
        <w:rPr>
          <w:rFonts w:ascii="Times New Roman" w:hAnsi="Times New Roman" w:cs="Times New Roman"/>
          <w:bCs/>
          <w:color w:val="000000"/>
          <w:sz w:val="24"/>
          <w:szCs w:val="24"/>
        </w:rPr>
        <w:t>in industry j,r</w:t>
      </w:r>
      <w:r w:rsidR="003A3309">
        <w:rPr>
          <w:rFonts w:ascii="Times New Roman" w:hAnsi="Times New Roman" w:cs="Times New Roman"/>
          <w:bCs/>
          <w:color w:val="000000"/>
          <w:sz w:val="24"/>
          <w:szCs w:val="24"/>
        </w:rPr>
        <w:t>.  B</w:t>
      </w:r>
      <w:r w:rsidR="00881ACC">
        <w:rPr>
          <w:rFonts w:ascii="Times New Roman" w:hAnsi="Times New Roman" w:cs="Times New Roman"/>
          <w:bCs/>
          <w:color w:val="000000"/>
          <w:sz w:val="24"/>
          <w:szCs w:val="24"/>
        </w:rPr>
        <w:t xml:space="preserve">etween the start and end of </w:t>
      </w:r>
      <w:r w:rsidR="00387293">
        <w:rPr>
          <w:rFonts w:ascii="Times New Roman" w:hAnsi="Times New Roman" w:cs="Times New Roman"/>
          <w:bCs/>
          <w:color w:val="000000"/>
          <w:sz w:val="24"/>
          <w:szCs w:val="24"/>
        </w:rPr>
        <w:t>a</w:t>
      </w:r>
      <w:r w:rsidR="00881ACC">
        <w:rPr>
          <w:rFonts w:ascii="Times New Roman" w:hAnsi="Times New Roman" w:cs="Times New Roman"/>
          <w:bCs/>
          <w:color w:val="000000"/>
          <w:sz w:val="24"/>
          <w:szCs w:val="24"/>
        </w:rPr>
        <w:t xml:space="preserve"> simulation year capital creators expand or contract the capital stock in industry j,r so that the expected rate of return on capital in the industry is equal to the cost of finance given by forces external </w:t>
      </w:r>
      <w:r w:rsidR="00B91817">
        <w:rPr>
          <w:rFonts w:ascii="Times New Roman" w:hAnsi="Times New Roman" w:cs="Times New Roman"/>
          <w:bCs/>
          <w:color w:val="000000"/>
          <w:sz w:val="24"/>
          <w:szCs w:val="24"/>
        </w:rPr>
        <w:t xml:space="preserve">to the industry’s capital creators.  </w:t>
      </w:r>
      <w:r w:rsidR="004069EB">
        <w:rPr>
          <w:rFonts w:ascii="Times New Roman" w:hAnsi="Times New Roman" w:cs="Times New Roman"/>
          <w:bCs/>
          <w:color w:val="000000"/>
          <w:sz w:val="24"/>
          <w:szCs w:val="24"/>
        </w:rPr>
        <w:t xml:space="preserve">These forces include changes in </w:t>
      </w:r>
      <w:r w:rsidR="00550121">
        <w:rPr>
          <w:rFonts w:ascii="Times New Roman" w:hAnsi="Times New Roman" w:cs="Times New Roman"/>
          <w:bCs/>
          <w:color w:val="000000"/>
          <w:sz w:val="24"/>
          <w:szCs w:val="24"/>
        </w:rPr>
        <w:t>region</w:t>
      </w:r>
      <w:r w:rsidR="004069EB">
        <w:rPr>
          <w:rFonts w:ascii="Times New Roman" w:hAnsi="Times New Roman" w:cs="Times New Roman"/>
          <w:bCs/>
          <w:color w:val="000000"/>
          <w:sz w:val="24"/>
          <w:szCs w:val="24"/>
        </w:rPr>
        <w:t xml:space="preserve"> and industry-specific risks that can introduced by shocks to the exogenous shift variables </w:t>
      </w:r>
      <w:r w:rsidR="003A3309">
        <w:rPr>
          <w:rFonts w:ascii="Times New Roman" w:hAnsi="Times New Roman" w:cs="Times New Roman"/>
          <w:bCs/>
          <w:color w:val="000000"/>
          <w:sz w:val="24"/>
          <w:szCs w:val="24"/>
        </w:rPr>
        <w:t xml:space="preserve">in (2.4.13), </w:t>
      </w:r>
      <w:r w:rsidR="004069EB">
        <w:rPr>
          <w:rFonts w:ascii="Times New Roman" w:hAnsi="Times New Roman" w:cs="Times New Roman"/>
          <w:bCs/>
          <w:color w:val="000000"/>
          <w:sz w:val="24"/>
          <w:szCs w:val="24"/>
        </w:rPr>
        <w:t xml:space="preserve">cgdsack(r) and f_rore_i(j,r).  </w:t>
      </w:r>
      <w:r w:rsidR="00550121">
        <w:rPr>
          <w:rFonts w:ascii="Times New Roman" w:hAnsi="Times New Roman" w:cs="Times New Roman"/>
          <w:bCs/>
          <w:color w:val="000000"/>
          <w:sz w:val="24"/>
          <w:szCs w:val="24"/>
        </w:rPr>
        <w:t xml:space="preserve">In terms of Figure </w:t>
      </w:r>
      <w:r w:rsidR="00342D2E">
        <w:rPr>
          <w:rFonts w:ascii="Times New Roman" w:hAnsi="Times New Roman" w:cs="Times New Roman"/>
          <w:bCs/>
          <w:color w:val="000000"/>
          <w:sz w:val="24"/>
          <w:szCs w:val="24"/>
        </w:rPr>
        <w:t>2.</w:t>
      </w:r>
      <w:r w:rsidR="00550121">
        <w:rPr>
          <w:rFonts w:ascii="Times New Roman" w:hAnsi="Times New Roman" w:cs="Times New Roman"/>
          <w:bCs/>
          <w:color w:val="000000"/>
          <w:sz w:val="24"/>
          <w:szCs w:val="24"/>
        </w:rPr>
        <w:t>2, a</w:t>
      </w:r>
      <w:r w:rsidR="003A3309">
        <w:rPr>
          <w:rFonts w:ascii="Times New Roman" w:hAnsi="Times New Roman" w:cs="Times New Roman"/>
          <w:bCs/>
          <w:color w:val="000000"/>
          <w:sz w:val="24"/>
          <w:szCs w:val="24"/>
        </w:rPr>
        <w:t xml:space="preserve"> positive shock to cgdsack(r) </w:t>
      </w:r>
      <w:r w:rsidR="00550121">
        <w:rPr>
          <w:rFonts w:ascii="Times New Roman" w:hAnsi="Times New Roman" w:cs="Times New Roman"/>
          <w:bCs/>
          <w:color w:val="000000"/>
          <w:sz w:val="24"/>
          <w:szCs w:val="24"/>
        </w:rPr>
        <w:t xml:space="preserve">causes a north-west movement along the expected rates of return schedules for all industries in region r with consequent reductions in end-of-year capital stocks and investment for these industries.  A positive shock to f_rore_i(j,r) restricts the direct investment contraction to industry j in region r.    </w:t>
      </w:r>
    </w:p>
    <w:p w:rsidR="00306CE2" w:rsidRDefault="00B91817" w:rsidP="00F8367E">
      <w:pPr>
        <w:tabs>
          <w:tab w:val="left" w:pos="567"/>
          <w:tab w:val="right" w:pos="8931"/>
        </w:tabs>
        <w:spacing w:before="120"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 addition to </w:t>
      </w:r>
      <w:r w:rsidR="00A46F0A">
        <w:rPr>
          <w:rFonts w:ascii="Times New Roman" w:hAnsi="Times New Roman" w:cs="Times New Roman"/>
          <w:bCs/>
          <w:color w:val="000000"/>
          <w:sz w:val="24"/>
          <w:szCs w:val="24"/>
        </w:rPr>
        <w:t xml:space="preserve">exogenous </w:t>
      </w:r>
      <w:r>
        <w:rPr>
          <w:rFonts w:ascii="Times New Roman" w:hAnsi="Times New Roman" w:cs="Times New Roman"/>
          <w:bCs/>
          <w:color w:val="000000"/>
          <w:sz w:val="24"/>
          <w:szCs w:val="24"/>
        </w:rPr>
        <w:t xml:space="preserve">region and industry/region shift variables, the right-hand side of (2.4.13) contains a scalar variable, rorg.  This variable </w:t>
      </w:r>
      <w:r w:rsidR="00724429">
        <w:rPr>
          <w:rFonts w:ascii="Times New Roman" w:hAnsi="Times New Roman" w:cs="Times New Roman"/>
          <w:bCs/>
          <w:color w:val="000000"/>
          <w:sz w:val="24"/>
          <w:szCs w:val="24"/>
        </w:rPr>
        <w:t xml:space="preserve">is almost always </w:t>
      </w:r>
      <w:r>
        <w:rPr>
          <w:rFonts w:ascii="Times New Roman" w:hAnsi="Times New Roman" w:cs="Times New Roman"/>
          <w:bCs/>
          <w:color w:val="000000"/>
          <w:sz w:val="24"/>
          <w:szCs w:val="24"/>
        </w:rPr>
        <w:t>endogenous</w:t>
      </w:r>
      <w:r w:rsidR="00724429">
        <w:rPr>
          <w:rFonts w:ascii="Times New Roman" w:hAnsi="Times New Roman" w:cs="Times New Roman"/>
          <w:bCs/>
          <w:color w:val="000000"/>
          <w:sz w:val="24"/>
          <w:szCs w:val="24"/>
        </w:rPr>
        <w:t xml:space="preserve">.  Its role </w:t>
      </w:r>
      <w:r>
        <w:rPr>
          <w:rFonts w:ascii="Times New Roman" w:hAnsi="Times New Roman" w:cs="Times New Roman"/>
          <w:bCs/>
          <w:color w:val="000000"/>
          <w:sz w:val="24"/>
          <w:szCs w:val="24"/>
        </w:rPr>
        <w:t xml:space="preserve">in </w:t>
      </w:r>
      <w:r w:rsidR="00724429">
        <w:rPr>
          <w:rFonts w:ascii="Times New Roman" w:hAnsi="Times New Roman" w:cs="Times New Roman"/>
          <w:bCs/>
          <w:color w:val="000000"/>
          <w:sz w:val="24"/>
          <w:szCs w:val="24"/>
        </w:rPr>
        <w:t xml:space="preserve">both </w:t>
      </w:r>
      <w:r>
        <w:rPr>
          <w:rFonts w:ascii="Times New Roman" w:hAnsi="Times New Roman" w:cs="Times New Roman"/>
          <w:bCs/>
          <w:color w:val="000000"/>
          <w:sz w:val="24"/>
          <w:szCs w:val="24"/>
        </w:rPr>
        <w:t>year-on-year and long-run simulations</w:t>
      </w:r>
      <w:r w:rsidR="00724429">
        <w:rPr>
          <w:rFonts w:ascii="Times New Roman" w:hAnsi="Times New Roman" w:cs="Times New Roman"/>
          <w:bCs/>
          <w:color w:val="000000"/>
          <w:sz w:val="24"/>
          <w:szCs w:val="24"/>
        </w:rPr>
        <w:t xml:space="preserve"> is to ensure that global investment in any simulation year equals global saving.  A region’s saving in a simulation year is normally determined primarily by its income, largely independently of its investment.  Through rorg, expected rates of return (cost of finance) in industries world-wide are adjusted positively or negatively.  Via (2.4.8) this causes negative or positive adjustments in end-of-year capital stocks by industry and region with consequent negative or positive adjustments in global investment.  </w:t>
      </w:r>
      <w:r w:rsidR="004069EB">
        <w:rPr>
          <w:rFonts w:ascii="Times New Roman" w:hAnsi="Times New Roman" w:cs="Times New Roman"/>
          <w:bCs/>
          <w:color w:val="000000"/>
          <w:sz w:val="24"/>
          <w:szCs w:val="24"/>
        </w:rPr>
        <w:t xml:space="preserve">In this way, rorg brings global investment into line with income-determined global saving.  </w:t>
      </w:r>
    </w:p>
    <w:p w:rsidR="00F76AAD" w:rsidRDefault="00F76AAD" w:rsidP="00F76AAD">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2.5.  Introducing sticky real wages</w:t>
      </w:r>
    </w:p>
    <w:p w:rsidR="00AB6FB4" w:rsidRPr="00AB6FB4" w:rsidRDefault="00AB6FB4" w:rsidP="00AB6FB4">
      <w:pPr>
        <w:spacing w:before="120" w:after="0" w:line="240" w:lineRule="auto"/>
        <w:rPr>
          <w:rFonts w:ascii="Times New Roman" w:hAnsi="Times New Roman" w:cs="Times New Roman"/>
          <w:sz w:val="24"/>
          <w:szCs w:val="24"/>
        </w:rPr>
      </w:pPr>
      <w:r w:rsidRPr="00AB6FB4">
        <w:rPr>
          <w:rFonts w:ascii="Times New Roman" w:hAnsi="Times New Roman" w:cs="Times New Roman"/>
          <w:sz w:val="24"/>
          <w:szCs w:val="24"/>
        </w:rPr>
        <w:t xml:space="preserve">In most general equilibrium analyses of the effects of changes in policy instruments and other changes in </w:t>
      </w:r>
      <w:r w:rsidR="00396EE6">
        <w:rPr>
          <w:rFonts w:ascii="Times New Roman" w:hAnsi="Times New Roman" w:cs="Times New Roman"/>
          <w:sz w:val="24"/>
          <w:szCs w:val="24"/>
        </w:rPr>
        <w:t>the economic environment (e.g. changes in MVH tariffs)</w:t>
      </w:r>
      <w:r w:rsidRPr="00AB6FB4">
        <w:rPr>
          <w:rFonts w:ascii="Times New Roman" w:hAnsi="Times New Roman" w:cs="Times New Roman"/>
          <w:sz w:val="24"/>
          <w:szCs w:val="24"/>
        </w:rPr>
        <w:t>, one of the following two assumptions is made:</w:t>
      </w:r>
    </w:p>
    <w:p w:rsidR="00AB6FB4" w:rsidRPr="00AB6FB4" w:rsidRDefault="00AB6FB4" w:rsidP="00AB6FB4">
      <w:pPr>
        <w:spacing w:after="0" w:line="240" w:lineRule="auto"/>
        <w:rPr>
          <w:rFonts w:ascii="Times New Roman" w:hAnsi="Times New Roman" w:cs="Times New Roman"/>
          <w:sz w:val="24"/>
          <w:szCs w:val="24"/>
        </w:rPr>
      </w:pPr>
      <w:r w:rsidRPr="00AB6FB4">
        <w:rPr>
          <w:rFonts w:ascii="Times New Roman" w:hAnsi="Times New Roman" w:cs="Times New Roman"/>
          <w:sz w:val="24"/>
          <w:szCs w:val="24"/>
        </w:rPr>
        <w:tab/>
        <w:t>a.</w:t>
      </w:r>
      <w:r w:rsidRPr="00AB6FB4">
        <w:rPr>
          <w:rFonts w:ascii="Times New Roman" w:hAnsi="Times New Roman" w:cs="Times New Roman"/>
          <w:sz w:val="24"/>
          <w:szCs w:val="24"/>
        </w:rPr>
        <w:tab/>
        <w:t>real wages adjust so there is no effect on employment; or</w:t>
      </w:r>
    </w:p>
    <w:p w:rsidR="00AB6FB4" w:rsidRPr="00AB6FB4" w:rsidRDefault="00AB6FB4" w:rsidP="00AB6FB4">
      <w:pPr>
        <w:spacing w:after="0" w:line="240" w:lineRule="auto"/>
        <w:rPr>
          <w:rFonts w:ascii="Times New Roman" w:hAnsi="Times New Roman" w:cs="Times New Roman"/>
          <w:sz w:val="24"/>
          <w:szCs w:val="24"/>
        </w:rPr>
      </w:pPr>
      <w:r w:rsidRPr="00AB6FB4">
        <w:rPr>
          <w:rFonts w:ascii="Times New Roman" w:hAnsi="Times New Roman" w:cs="Times New Roman"/>
          <w:sz w:val="24"/>
          <w:szCs w:val="24"/>
        </w:rPr>
        <w:tab/>
        <w:t>b.</w:t>
      </w:r>
      <w:r w:rsidRPr="00AB6FB4">
        <w:rPr>
          <w:rFonts w:ascii="Times New Roman" w:hAnsi="Times New Roman" w:cs="Times New Roman"/>
          <w:sz w:val="24"/>
          <w:szCs w:val="24"/>
        </w:rPr>
        <w:tab/>
        <w:t>real wages remain unaffected and employment adjusts.</w:t>
      </w:r>
    </w:p>
    <w:p w:rsidR="00AB6FB4" w:rsidRPr="00AB6FB4" w:rsidRDefault="00396EE6" w:rsidP="00AB6FB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Models built by the Centre of Policy studies (CoPS) over the last 20 years allow for intermediate positions between </w:t>
      </w:r>
      <w:r w:rsidR="00AB6FB4" w:rsidRPr="00AB6FB4">
        <w:rPr>
          <w:rFonts w:ascii="Times New Roman" w:hAnsi="Times New Roman" w:cs="Times New Roman"/>
          <w:sz w:val="24"/>
          <w:szCs w:val="24"/>
        </w:rPr>
        <w:t>a and b.</w:t>
      </w:r>
      <w:r>
        <w:rPr>
          <w:rStyle w:val="FootnoteReference"/>
          <w:rFonts w:ascii="Times New Roman" w:hAnsi="Times New Roman" w:cs="Times New Roman"/>
          <w:szCs w:val="24"/>
        </w:rPr>
        <w:footnoteReference w:id="8"/>
      </w:r>
      <w:r w:rsidR="00AB6FB4" w:rsidRPr="00AB6FB4">
        <w:rPr>
          <w:rFonts w:ascii="Times New Roman" w:hAnsi="Times New Roman" w:cs="Times New Roman"/>
          <w:sz w:val="24"/>
          <w:szCs w:val="24"/>
        </w:rPr>
        <w:t xml:space="preserve"> </w:t>
      </w:r>
      <w:r w:rsidR="00172AC2">
        <w:rPr>
          <w:rFonts w:ascii="Times New Roman" w:hAnsi="Times New Roman" w:cs="Times New Roman"/>
          <w:sz w:val="24"/>
          <w:szCs w:val="24"/>
        </w:rPr>
        <w:t xml:space="preserve"> In these models it can be assumed </w:t>
      </w:r>
      <w:r w:rsidR="00AB6FB4" w:rsidRPr="00AB6FB4">
        <w:rPr>
          <w:rFonts w:ascii="Times New Roman" w:hAnsi="Times New Roman" w:cs="Times New Roman"/>
          <w:sz w:val="24"/>
          <w:szCs w:val="24"/>
        </w:rPr>
        <w:t xml:space="preserve">that real wages are sticky in the short run and flexible in the long run. </w:t>
      </w:r>
      <w:r w:rsidR="00172AC2">
        <w:rPr>
          <w:rFonts w:ascii="Times New Roman" w:hAnsi="Times New Roman" w:cs="Times New Roman"/>
          <w:sz w:val="24"/>
          <w:szCs w:val="24"/>
        </w:rPr>
        <w:t xml:space="preserve"> </w:t>
      </w:r>
      <w:r w:rsidR="00EF6F1B">
        <w:rPr>
          <w:rFonts w:ascii="Times New Roman" w:hAnsi="Times New Roman" w:cs="Times New Roman"/>
          <w:sz w:val="24"/>
          <w:szCs w:val="24"/>
        </w:rPr>
        <w:t xml:space="preserve">Then </w:t>
      </w:r>
      <w:r w:rsidR="00AB6FB4" w:rsidRPr="00AB6FB4">
        <w:rPr>
          <w:rFonts w:ascii="Times New Roman" w:hAnsi="Times New Roman" w:cs="Times New Roman"/>
          <w:sz w:val="24"/>
          <w:szCs w:val="24"/>
        </w:rPr>
        <w:t>favourable shocks generate short-run gains in aggregate employment and long-run gains in real wages.</w:t>
      </w:r>
    </w:p>
    <w:p w:rsidR="00AB6FB4" w:rsidRPr="00AB6FB4" w:rsidRDefault="00EF6F1B" w:rsidP="00AB6FB4">
      <w:pPr>
        <w:spacing w:before="120"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In the simplest CoPS models, </w:t>
      </w:r>
      <w:r w:rsidR="00C75576">
        <w:rPr>
          <w:rFonts w:ascii="Times New Roman" w:hAnsi="Times New Roman" w:cs="Times New Roman"/>
          <w:sz w:val="24"/>
          <w:szCs w:val="24"/>
        </w:rPr>
        <w:t>labor</w:t>
      </w:r>
      <w:r>
        <w:rPr>
          <w:rFonts w:ascii="Times New Roman" w:hAnsi="Times New Roman" w:cs="Times New Roman"/>
          <w:sz w:val="24"/>
          <w:szCs w:val="24"/>
        </w:rPr>
        <w:t xml:space="preserve"> supply in each occupation is fixed on its basecase forecast path.  In these models we usually assume in policy simulations</w:t>
      </w:r>
      <w:r w:rsidR="00AB6FB4" w:rsidRPr="00AB6FB4">
        <w:rPr>
          <w:rFonts w:ascii="Times New Roman" w:hAnsi="Times New Roman" w:cs="Times New Roman"/>
          <w:sz w:val="24"/>
          <w:szCs w:val="24"/>
        </w:rPr>
        <w:t xml:space="preserve"> that the deviation</w:t>
      </w:r>
      <w:r>
        <w:rPr>
          <w:rFonts w:ascii="Times New Roman" w:hAnsi="Times New Roman" w:cs="Times New Roman"/>
          <w:sz w:val="24"/>
          <w:szCs w:val="24"/>
        </w:rPr>
        <w:t xml:space="preserve"> </w:t>
      </w:r>
      <w:r w:rsidR="00AB6FB4" w:rsidRPr="00AB6FB4">
        <w:rPr>
          <w:rFonts w:ascii="Times New Roman" w:hAnsi="Times New Roman" w:cs="Times New Roman"/>
          <w:sz w:val="24"/>
          <w:szCs w:val="24"/>
        </w:rPr>
        <w:t xml:space="preserve">in the real wage rate </w:t>
      </w:r>
      <w:r>
        <w:rPr>
          <w:rFonts w:ascii="Times New Roman" w:hAnsi="Times New Roman" w:cs="Times New Roman"/>
          <w:sz w:val="24"/>
          <w:szCs w:val="24"/>
        </w:rPr>
        <w:t xml:space="preserve">for an occupation </w:t>
      </w:r>
      <w:r w:rsidR="00AB6FB4" w:rsidRPr="00AB6FB4">
        <w:rPr>
          <w:rFonts w:ascii="Times New Roman" w:hAnsi="Times New Roman" w:cs="Times New Roman"/>
          <w:sz w:val="24"/>
          <w:szCs w:val="24"/>
        </w:rPr>
        <w:t xml:space="preserve">from its basecase forecast level increases at a rate which is proportional to the deviation in employment from its basecase forecast level. </w:t>
      </w:r>
      <w:r w:rsidR="00172AC2">
        <w:rPr>
          <w:rFonts w:ascii="Times New Roman" w:hAnsi="Times New Roman" w:cs="Times New Roman"/>
          <w:sz w:val="24"/>
          <w:szCs w:val="24"/>
        </w:rPr>
        <w:t xml:space="preserve"> </w:t>
      </w:r>
      <w:r w:rsidR="00AB6FB4" w:rsidRPr="00AB6FB4">
        <w:rPr>
          <w:rFonts w:ascii="Times New Roman" w:hAnsi="Times New Roman" w:cs="Times New Roman"/>
          <w:sz w:val="24"/>
          <w:szCs w:val="24"/>
        </w:rPr>
        <w:t xml:space="preserve">The coefficient of proportionality is chosen so that the employment effects of a shock to the economy are largely eliminated after 5 years. </w:t>
      </w:r>
      <w:r w:rsidR="00172AC2">
        <w:rPr>
          <w:rFonts w:ascii="Times New Roman" w:hAnsi="Times New Roman" w:cs="Times New Roman"/>
          <w:sz w:val="24"/>
          <w:szCs w:val="24"/>
        </w:rPr>
        <w:t xml:space="preserve"> </w:t>
      </w:r>
      <w:r w:rsidR="00AB6FB4" w:rsidRPr="00AB6FB4">
        <w:rPr>
          <w:rFonts w:ascii="Times New Roman" w:hAnsi="Times New Roman" w:cs="Times New Roman"/>
          <w:sz w:val="24"/>
          <w:szCs w:val="24"/>
        </w:rPr>
        <w:t xml:space="preserve">In other words, after about 5 years, the benefits of favourable shocks, such as </w:t>
      </w:r>
      <w:r w:rsidR="003D5A40">
        <w:rPr>
          <w:rFonts w:ascii="Times New Roman" w:hAnsi="Times New Roman" w:cs="Times New Roman"/>
          <w:sz w:val="24"/>
          <w:szCs w:val="24"/>
        </w:rPr>
        <w:t>technological improvements</w:t>
      </w:r>
      <w:r w:rsidR="00AB6FB4" w:rsidRPr="00AB6FB4">
        <w:rPr>
          <w:rFonts w:ascii="Times New Roman" w:hAnsi="Times New Roman" w:cs="Times New Roman"/>
          <w:sz w:val="24"/>
          <w:szCs w:val="24"/>
        </w:rPr>
        <w:t xml:space="preserve">, are realized almost entirely as increases in real wage rates. </w:t>
      </w:r>
      <w:r w:rsidR="00172AC2">
        <w:rPr>
          <w:rFonts w:ascii="Times New Roman" w:hAnsi="Times New Roman" w:cs="Times New Roman"/>
          <w:sz w:val="24"/>
          <w:szCs w:val="24"/>
        </w:rPr>
        <w:t xml:space="preserve"> </w:t>
      </w:r>
      <w:r w:rsidR="00AB6FB4" w:rsidRPr="00AB6FB4">
        <w:rPr>
          <w:rFonts w:ascii="Times New Roman" w:hAnsi="Times New Roman" w:cs="Times New Roman"/>
          <w:sz w:val="24"/>
          <w:szCs w:val="24"/>
        </w:rPr>
        <w:t xml:space="preserve">This </w:t>
      </w:r>
      <w:r w:rsidR="00C75576">
        <w:rPr>
          <w:rFonts w:ascii="Times New Roman" w:hAnsi="Times New Roman" w:cs="Times New Roman"/>
          <w:sz w:val="24"/>
          <w:szCs w:val="24"/>
        </w:rPr>
        <w:t>labor</w:t>
      </w:r>
      <w:r w:rsidR="00AB6FB4" w:rsidRPr="00AB6FB4">
        <w:rPr>
          <w:rFonts w:ascii="Times New Roman" w:hAnsi="Times New Roman" w:cs="Times New Roman"/>
          <w:sz w:val="24"/>
          <w:szCs w:val="24"/>
        </w:rPr>
        <w:t xml:space="preserve"> market assumption is consistent with conventional macro-economic modelling in which the NAIRU is either exogenous or only weakly dependent on real wage rates. </w:t>
      </w:r>
    </w:p>
    <w:p w:rsidR="00AB6FB4" w:rsidRPr="00AB6FB4" w:rsidRDefault="003D5A40" w:rsidP="00AB6FB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2F137F">
        <w:rPr>
          <w:rFonts w:ascii="Times New Roman" w:hAnsi="Times New Roman" w:cs="Times New Roman"/>
          <w:sz w:val="24"/>
          <w:szCs w:val="24"/>
        </w:rPr>
        <w:t xml:space="preserve">more elaborate CoPS models, the wage specification takes account not only of deviations in demand for </w:t>
      </w:r>
      <w:r w:rsidR="00C75576">
        <w:rPr>
          <w:rFonts w:ascii="Times New Roman" w:hAnsi="Times New Roman" w:cs="Times New Roman"/>
          <w:sz w:val="24"/>
          <w:szCs w:val="24"/>
        </w:rPr>
        <w:t>labor</w:t>
      </w:r>
      <w:r w:rsidR="002F137F">
        <w:rPr>
          <w:rFonts w:ascii="Times New Roman" w:hAnsi="Times New Roman" w:cs="Times New Roman"/>
          <w:sz w:val="24"/>
          <w:szCs w:val="24"/>
        </w:rPr>
        <w:t xml:space="preserve"> but also deviations in supply. In </w:t>
      </w:r>
      <w:r>
        <w:rPr>
          <w:rFonts w:ascii="Times New Roman" w:hAnsi="Times New Roman" w:cs="Times New Roman"/>
          <w:sz w:val="24"/>
          <w:szCs w:val="24"/>
        </w:rPr>
        <w:t xml:space="preserve">building GTAP-MVH we adopted </w:t>
      </w:r>
      <w:r w:rsidR="002F137F">
        <w:rPr>
          <w:rFonts w:ascii="Times New Roman" w:hAnsi="Times New Roman" w:cs="Times New Roman"/>
          <w:sz w:val="24"/>
          <w:szCs w:val="24"/>
        </w:rPr>
        <w:t xml:space="preserve">a </w:t>
      </w:r>
      <w:r>
        <w:rPr>
          <w:rFonts w:ascii="Times New Roman" w:hAnsi="Times New Roman" w:cs="Times New Roman"/>
          <w:sz w:val="24"/>
          <w:szCs w:val="24"/>
        </w:rPr>
        <w:t xml:space="preserve">CoPS </w:t>
      </w:r>
      <w:r w:rsidR="002F137F">
        <w:rPr>
          <w:rFonts w:ascii="Times New Roman" w:hAnsi="Times New Roman" w:cs="Times New Roman"/>
          <w:sz w:val="24"/>
          <w:szCs w:val="24"/>
        </w:rPr>
        <w:t>demand/supply approach</w:t>
      </w:r>
      <w:r w:rsidR="00E42F0E">
        <w:rPr>
          <w:rFonts w:ascii="Times New Roman" w:hAnsi="Times New Roman" w:cs="Times New Roman"/>
          <w:sz w:val="24"/>
          <w:szCs w:val="24"/>
        </w:rPr>
        <w:t xml:space="preserve">.  </w:t>
      </w:r>
      <w:r w:rsidR="002F137F">
        <w:rPr>
          <w:rFonts w:ascii="Times New Roman" w:hAnsi="Times New Roman" w:cs="Times New Roman"/>
          <w:sz w:val="24"/>
          <w:szCs w:val="24"/>
        </w:rPr>
        <w:t>T</w:t>
      </w:r>
      <w:r w:rsidR="00E42F0E">
        <w:rPr>
          <w:rFonts w:ascii="Times New Roman" w:hAnsi="Times New Roman" w:cs="Times New Roman"/>
          <w:sz w:val="24"/>
          <w:szCs w:val="24"/>
        </w:rPr>
        <w:t xml:space="preserve">he labor-market specification that we included in GTAP-MVH for use in policy simulations </w:t>
      </w:r>
      <w:r w:rsidR="002F137F">
        <w:rPr>
          <w:rFonts w:ascii="Times New Roman" w:hAnsi="Times New Roman" w:cs="Times New Roman"/>
          <w:sz w:val="24"/>
          <w:szCs w:val="24"/>
        </w:rPr>
        <w:t>has the form</w:t>
      </w:r>
      <w:r w:rsidR="00AB6FB4" w:rsidRPr="00AB6FB4">
        <w:rPr>
          <w:rFonts w:ascii="Times New Roman" w:hAnsi="Times New Roman" w:cs="Times New Roman"/>
          <w:sz w:val="24"/>
          <w:szCs w:val="24"/>
        </w:rPr>
        <w:t>:</w:t>
      </w:r>
    </w:p>
    <w:p w:rsidR="003D5A40" w:rsidRDefault="00277E49" w:rsidP="00D2431C">
      <w:pPr>
        <w:tabs>
          <w:tab w:val="right" w:pos="8931"/>
        </w:tabs>
        <w:spacing w:before="120" w:after="0" w:line="240" w:lineRule="auto"/>
        <w:rPr>
          <w:rFonts w:ascii="Times New Roman" w:hAnsi="Times New Roman" w:cs="Times New Roman"/>
          <w:sz w:val="24"/>
          <w:szCs w:val="24"/>
        </w:rPr>
      </w:pPr>
      <w:r w:rsidRPr="000A030C">
        <w:rPr>
          <w:rFonts w:ascii="Times New Roman" w:hAnsi="Times New Roman" w:cs="Times New Roman"/>
          <w:position w:val="-30"/>
          <w:sz w:val="24"/>
          <w:szCs w:val="24"/>
        </w:rPr>
        <w:object w:dxaOrig="8180" w:dyaOrig="720">
          <v:shape id="_x0000_i1058" type="#_x0000_t75" style="width:408.85pt;height:36.3pt" o:ole="">
            <v:imagedata r:id="rId75" o:title=""/>
          </v:shape>
          <o:OLEObject Type="Embed" ProgID="Equation.DSMT4" ShapeID="_x0000_i1058" DrawAspect="Content" ObjectID="_1616394678" r:id="rId76"/>
        </w:object>
      </w:r>
      <w:r w:rsidR="003D5A40">
        <w:rPr>
          <w:rFonts w:ascii="Times New Roman" w:hAnsi="Times New Roman" w:cs="Times New Roman"/>
          <w:sz w:val="24"/>
          <w:szCs w:val="24"/>
        </w:rPr>
        <w:t xml:space="preserve"> </w:t>
      </w:r>
      <w:r w:rsidR="00D2431C">
        <w:rPr>
          <w:rFonts w:ascii="Times New Roman" w:hAnsi="Times New Roman" w:cs="Times New Roman"/>
          <w:sz w:val="24"/>
          <w:szCs w:val="24"/>
        </w:rPr>
        <w:tab/>
        <w:t>(2.5.1)</w:t>
      </w:r>
    </w:p>
    <w:p w:rsidR="00E42F0E" w:rsidRDefault="00D2431C" w:rsidP="00AB6FB4">
      <w:pPr>
        <w:spacing w:before="120" w:after="0" w:line="240" w:lineRule="auto"/>
        <w:rPr>
          <w:rFonts w:ascii="Times New Roman" w:hAnsi="Times New Roman" w:cs="Times New Roman"/>
          <w:sz w:val="24"/>
          <w:szCs w:val="24"/>
        </w:rPr>
      </w:pPr>
      <w:r>
        <w:rPr>
          <w:rFonts w:ascii="Times New Roman" w:hAnsi="Times New Roman" w:cs="Times New Roman"/>
          <w:sz w:val="24"/>
          <w:szCs w:val="24"/>
        </w:rPr>
        <w:t>In this equation</w:t>
      </w:r>
      <w:r w:rsidR="00E42F0E">
        <w:rPr>
          <w:rFonts w:ascii="Times New Roman" w:hAnsi="Times New Roman" w:cs="Times New Roman"/>
          <w:sz w:val="24"/>
          <w:szCs w:val="24"/>
        </w:rPr>
        <w:t>:</w:t>
      </w:r>
    </w:p>
    <w:p w:rsidR="00E42F0E" w:rsidRDefault="00E42F0E" w:rsidP="00E42F0E">
      <w:pPr>
        <w:tabs>
          <w:tab w:val="left" w:pos="567"/>
        </w:tabs>
        <w:spacing w:after="0" w:line="240" w:lineRule="auto"/>
        <w:ind w:left="568" w:hanging="284"/>
        <w:rPr>
          <w:rFonts w:ascii="Times New Roman" w:hAnsi="Times New Roman" w:cs="Times New Roman"/>
          <w:sz w:val="24"/>
          <w:szCs w:val="24"/>
        </w:rPr>
      </w:pPr>
      <w:r>
        <w:rPr>
          <w:rFonts w:ascii="Times New Roman" w:hAnsi="Times New Roman" w:cs="Times New Roman"/>
          <w:sz w:val="24"/>
          <w:szCs w:val="24"/>
        </w:rPr>
        <w:t>underscore F (_F)</w:t>
      </w:r>
      <w:r w:rsidR="00D2431C">
        <w:rPr>
          <w:rFonts w:ascii="Times New Roman" w:hAnsi="Times New Roman" w:cs="Times New Roman"/>
          <w:sz w:val="24"/>
          <w:szCs w:val="24"/>
        </w:rPr>
        <w:t xml:space="preserve"> i</w:t>
      </w:r>
      <w:r w:rsidR="00AB6FB4" w:rsidRPr="00AB6FB4">
        <w:rPr>
          <w:rFonts w:ascii="Times New Roman" w:hAnsi="Times New Roman" w:cs="Times New Roman"/>
          <w:sz w:val="24"/>
          <w:szCs w:val="24"/>
        </w:rPr>
        <w:t>ndicates a basecase forecast value, that is, a value in the simulation without the policy or other shock under consideration</w:t>
      </w:r>
      <w:r>
        <w:rPr>
          <w:rFonts w:ascii="Times New Roman" w:hAnsi="Times New Roman" w:cs="Times New Roman"/>
          <w:sz w:val="24"/>
          <w:szCs w:val="24"/>
        </w:rPr>
        <w:t>.</w:t>
      </w:r>
    </w:p>
    <w:p w:rsidR="00E42F0E" w:rsidRDefault="00E42F0E" w:rsidP="00E42F0E">
      <w:pPr>
        <w:tabs>
          <w:tab w:val="left" w:pos="567"/>
        </w:tabs>
        <w:spacing w:after="0" w:line="240" w:lineRule="auto"/>
        <w:ind w:left="568" w:hanging="284"/>
        <w:rPr>
          <w:rFonts w:ascii="Times New Roman" w:hAnsi="Times New Roman" w:cs="Times New Roman"/>
          <w:sz w:val="24"/>
          <w:szCs w:val="24"/>
        </w:rPr>
      </w:pPr>
      <w:r>
        <w:rPr>
          <w:rFonts w:ascii="Times New Roman" w:hAnsi="Times New Roman" w:cs="Times New Roman"/>
          <w:sz w:val="24"/>
          <w:szCs w:val="24"/>
        </w:rPr>
        <w:t>underscore L (_L)</w:t>
      </w:r>
      <w:r w:rsidR="00D2431C">
        <w:rPr>
          <w:rFonts w:ascii="Times New Roman" w:hAnsi="Times New Roman" w:cs="Times New Roman"/>
          <w:sz w:val="24"/>
          <w:szCs w:val="24"/>
        </w:rPr>
        <w:t xml:space="preserve"> denotes lagged value. </w:t>
      </w:r>
    </w:p>
    <w:p w:rsidR="00E42F0E" w:rsidRDefault="000A030C" w:rsidP="00E42F0E">
      <w:pPr>
        <w:tabs>
          <w:tab w:val="left" w:pos="567"/>
        </w:tabs>
        <w:spacing w:after="0" w:line="240" w:lineRule="auto"/>
        <w:ind w:left="568" w:hanging="284"/>
        <w:rPr>
          <w:rFonts w:ascii="Times New Roman" w:hAnsi="Times New Roman" w:cs="Times New Roman"/>
          <w:sz w:val="24"/>
          <w:szCs w:val="24"/>
        </w:rPr>
      </w:pPr>
      <w:r>
        <w:rPr>
          <w:rFonts w:ascii="Times New Roman" w:hAnsi="Times New Roman" w:cs="Times New Roman"/>
          <w:sz w:val="24"/>
          <w:szCs w:val="24"/>
        </w:rPr>
        <w:t>W</w:t>
      </w:r>
      <w:r w:rsidR="00E42F0E">
        <w:rPr>
          <w:rFonts w:ascii="Times New Roman" w:hAnsi="Times New Roman" w:cs="Times New Roman"/>
          <w:sz w:val="24"/>
          <w:szCs w:val="24"/>
        </w:rPr>
        <w:t>_F(a,r)</w:t>
      </w:r>
      <w:r w:rsidR="00277E49">
        <w:rPr>
          <w:rFonts w:ascii="Times New Roman" w:hAnsi="Times New Roman" w:cs="Times New Roman"/>
          <w:sz w:val="24"/>
          <w:szCs w:val="24"/>
        </w:rPr>
        <w:t>,</w:t>
      </w:r>
      <w:r w:rsidR="00E42F0E">
        <w:rPr>
          <w:rFonts w:ascii="Times New Roman" w:hAnsi="Times New Roman" w:cs="Times New Roman"/>
          <w:sz w:val="24"/>
          <w:szCs w:val="24"/>
        </w:rPr>
        <w:t xml:space="preserve"> </w:t>
      </w:r>
      <w:r>
        <w:rPr>
          <w:rFonts w:ascii="Times New Roman" w:hAnsi="Times New Roman" w:cs="Times New Roman"/>
          <w:sz w:val="24"/>
          <w:szCs w:val="24"/>
        </w:rPr>
        <w:t>E</w:t>
      </w:r>
      <w:r w:rsidR="00E42F0E">
        <w:rPr>
          <w:rFonts w:ascii="Times New Roman" w:hAnsi="Times New Roman" w:cs="Times New Roman"/>
          <w:sz w:val="24"/>
          <w:szCs w:val="24"/>
        </w:rPr>
        <w:t>_F(a,r)</w:t>
      </w:r>
      <w:r w:rsidR="00277E49">
        <w:rPr>
          <w:rFonts w:ascii="Times New Roman" w:hAnsi="Times New Roman" w:cs="Times New Roman"/>
          <w:sz w:val="24"/>
          <w:szCs w:val="24"/>
        </w:rPr>
        <w:t xml:space="preserve"> and L_F(a,r)</w:t>
      </w:r>
      <w:r w:rsidR="00E42F0E">
        <w:rPr>
          <w:rFonts w:ascii="Times New Roman" w:hAnsi="Times New Roman" w:cs="Times New Roman"/>
          <w:sz w:val="24"/>
          <w:szCs w:val="24"/>
        </w:rPr>
        <w:t xml:space="preserve"> are </w:t>
      </w:r>
      <w:r w:rsidR="00AB6FB4" w:rsidRPr="00AB6FB4">
        <w:rPr>
          <w:rFonts w:ascii="Times New Roman" w:hAnsi="Times New Roman" w:cs="Times New Roman"/>
          <w:sz w:val="24"/>
          <w:szCs w:val="24"/>
        </w:rPr>
        <w:t xml:space="preserve">the real </w:t>
      </w:r>
      <w:r w:rsidR="00E42F0E">
        <w:rPr>
          <w:rFonts w:ascii="Times New Roman" w:hAnsi="Times New Roman" w:cs="Times New Roman"/>
          <w:sz w:val="24"/>
          <w:szCs w:val="24"/>
        </w:rPr>
        <w:t xml:space="preserve">post-tax </w:t>
      </w:r>
      <w:r w:rsidR="00AB6FB4" w:rsidRPr="00AB6FB4">
        <w:rPr>
          <w:rFonts w:ascii="Times New Roman" w:hAnsi="Times New Roman" w:cs="Times New Roman"/>
          <w:sz w:val="24"/>
          <w:szCs w:val="24"/>
        </w:rPr>
        <w:t>wage rate</w:t>
      </w:r>
      <w:r w:rsidR="00277E49">
        <w:rPr>
          <w:rFonts w:ascii="Times New Roman" w:hAnsi="Times New Roman" w:cs="Times New Roman"/>
          <w:sz w:val="24"/>
          <w:szCs w:val="24"/>
        </w:rPr>
        <w:t>,</w:t>
      </w:r>
      <w:r w:rsidR="00AB6FB4" w:rsidRPr="00AB6FB4">
        <w:rPr>
          <w:rFonts w:ascii="Times New Roman" w:hAnsi="Times New Roman" w:cs="Times New Roman"/>
          <w:sz w:val="24"/>
          <w:szCs w:val="24"/>
        </w:rPr>
        <w:t xml:space="preserve"> </w:t>
      </w:r>
      <w:r>
        <w:rPr>
          <w:rFonts w:ascii="Times New Roman" w:hAnsi="Times New Roman" w:cs="Times New Roman"/>
          <w:sz w:val="24"/>
          <w:szCs w:val="24"/>
        </w:rPr>
        <w:t xml:space="preserve">employment </w:t>
      </w:r>
      <w:r w:rsidR="00277E49">
        <w:rPr>
          <w:rFonts w:ascii="Times New Roman" w:hAnsi="Times New Roman" w:cs="Times New Roman"/>
          <w:sz w:val="24"/>
          <w:szCs w:val="24"/>
        </w:rPr>
        <w:t xml:space="preserve">and </w:t>
      </w:r>
      <w:r w:rsidR="00C75576">
        <w:rPr>
          <w:rFonts w:ascii="Times New Roman" w:hAnsi="Times New Roman" w:cs="Times New Roman"/>
          <w:sz w:val="24"/>
          <w:szCs w:val="24"/>
        </w:rPr>
        <w:t>labor</w:t>
      </w:r>
      <w:r w:rsidR="00277E49">
        <w:rPr>
          <w:rFonts w:ascii="Times New Roman" w:hAnsi="Times New Roman" w:cs="Times New Roman"/>
          <w:sz w:val="24"/>
          <w:szCs w:val="24"/>
        </w:rPr>
        <w:t xml:space="preserve"> supply </w:t>
      </w:r>
      <w:r w:rsidR="00E42F0E">
        <w:rPr>
          <w:rFonts w:ascii="Times New Roman" w:hAnsi="Times New Roman" w:cs="Times New Roman"/>
          <w:sz w:val="24"/>
          <w:szCs w:val="24"/>
        </w:rPr>
        <w:t>in occupation a in region</w:t>
      </w:r>
      <w:r>
        <w:rPr>
          <w:rFonts w:ascii="Times New Roman" w:hAnsi="Times New Roman" w:cs="Times New Roman"/>
          <w:sz w:val="24"/>
          <w:szCs w:val="24"/>
        </w:rPr>
        <w:t xml:space="preserve"> r</w:t>
      </w:r>
      <w:r w:rsidR="00E42F0E">
        <w:rPr>
          <w:rFonts w:ascii="Times New Roman" w:hAnsi="Times New Roman" w:cs="Times New Roman"/>
          <w:sz w:val="24"/>
          <w:szCs w:val="24"/>
        </w:rPr>
        <w:t xml:space="preserve"> </w:t>
      </w:r>
      <w:r w:rsidR="00471D60">
        <w:rPr>
          <w:rFonts w:ascii="Times New Roman" w:hAnsi="Times New Roman" w:cs="Times New Roman"/>
          <w:sz w:val="24"/>
          <w:szCs w:val="24"/>
        </w:rPr>
        <w:t xml:space="preserve">in </w:t>
      </w:r>
      <w:r w:rsidR="00AB6FB4" w:rsidRPr="00AB6FB4">
        <w:rPr>
          <w:rFonts w:ascii="Times New Roman" w:hAnsi="Times New Roman" w:cs="Times New Roman"/>
          <w:sz w:val="24"/>
          <w:szCs w:val="24"/>
        </w:rPr>
        <w:t xml:space="preserve">the basecase forecast. </w:t>
      </w:r>
      <w:r w:rsidR="00E42F0E">
        <w:rPr>
          <w:rFonts w:ascii="Times New Roman" w:hAnsi="Times New Roman" w:cs="Times New Roman"/>
          <w:sz w:val="24"/>
          <w:szCs w:val="24"/>
        </w:rPr>
        <w:t xml:space="preserve"> </w:t>
      </w:r>
    </w:p>
    <w:p w:rsidR="00471D60" w:rsidRDefault="00277E49" w:rsidP="00E42F0E">
      <w:pPr>
        <w:tabs>
          <w:tab w:val="left" w:pos="567"/>
        </w:tabs>
        <w:spacing w:after="0" w:line="240" w:lineRule="auto"/>
        <w:ind w:left="568" w:hanging="284"/>
        <w:rPr>
          <w:rFonts w:ascii="Times New Roman" w:hAnsi="Times New Roman" w:cs="Times New Roman"/>
          <w:sz w:val="24"/>
          <w:szCs w:val="24"/>
        </w:rPr>
      </w:pPr>
      <w:r>
        <w:rPr>
          <w:rFonts w:ascii="Times New Roman" w:hAnsi="Times New Roman" w:cs="Times New Roman"/>
          <w:sz w:val="24"/>
          <w:szCs w:val="24"/>
        </w:rPr>
        <w:t>W</w:t>
      </w:r>
      <w:r w:rsidR="00E42F0E">
        <w:rPr>
          <w:rFonts w:ascii="Times New Roman" w:hAnsi="Times New Roman" w:cs="Times New Roman"/>
          <w:sz w:val="24"/>
          <w:szCs w:val="24"/>
        </w:rPr>
        <w:t>(a,r)</w:t>
      </w:r>
      <w:r>
        <w:rPr>
          <w:rFonts w:ascii="Times New Roman" w:hAnsi="Times New Roman" w:cs="Times New Roman"/>
          <w:sz w:val="24"/>
          <w:szCs w:val="24"/>
        </w:rPr>
        <w:t>,</w:t>
      </w:r>
      <w:r w:rsidR="00E42F0E">
        <w:rPr>
          <w:rFonts w:ascii="Times New Roman" w:hAnsi="Times New Roman" w:cs="Times New Roman"/>
          <w:sz w:val="24"/>
          <w:szCs w:val="24"/>
        </w:rPr>
        <w:t xml:space="preserve"> E(a,r)</w:t>
      </w:r>
      <w:r w:rsidR="00AB6FB4" w:rsidRPr="00AB6FB4">
        <w:rPr>
          <w:rFonts w:ascii="Times New Roman" w:hAnsi="Times New Roman" w:cs="Times New Roman"/>
          <w:sz w:val="24"/>
          <w:szCs w:val="24"/>
        </w:rPr>
        <w:t xml:space="preserve"> </w:t>
      </w:r>
      <w:r>
        <w:rPr>
          <w:rFonts w:ascii="Times New Roman" w:hAnsi="Times New Roman" w:cs="Times New Roman"/>
          <w:sz w:val="24"/>
          <w:szCs w:val="24"/>
        </w:rPr>
        <w:t xml:space="preserve">and L(a,r) </w:t>
      </w:r>
      <w:r w:rsidR="00AB6FB4" w:rsidRPr="00AB6FB4">
        <w:rPr>
          <w:rFonts w:ascii="Times New Roman" w:hAnsi="Times New Roman" w:cs="Times New Roman"/>
          <w:sz w:val="24"/>
          <w:szCs w:val="24"/>
        </w:rPr>
        <w:t>are t</w:t>
      </w:r>
      <w:r w:rsidRPr="00AB6FB4">
        <w:rPr>
          <w:rFonts w:ascii="Times New Roman" w:hAnsi="Times New Roman" w:cs="Times New Roman"/>
          <w:sz w:val="24"/>
          <w:szCs w:val="24"/>
        </w:rPr>
        <w:t xml:space="preserve">he real </w:t>
      </w:r>
      <w:r>
        <w:rPr>
          <w:rFonts w:ascii="Times New Roman" w:hAnsi="Times New Roman" w:cs="Times New Roman"/>
          <w:sz w:val="24"/>
          <w:szCs w:val="24"/>
        </w:rPr>
        <w:t xml:space="preserve">post-tax </w:t>
      </w:r>
      <w:r w:rsidRPr="00AB6FB4">
        <w:rPr>
          <w:rFonts w:ascii="Times New Roman" w:hAnsi="Times New Roman" w:cs="Times New Roman"/>
          <w:sz w:val="24"/>
          <w:szCs w:val="24"/>
        </w:rPr>
        <w:t>wage rate</w:t>
      </w:r>
      <w:r>
        <w:rPr>
          <w:rFonts w:ascii="Times New Roman" w:hAnsi="Times New Roman" w:cs="Times New Roman"/>
          <w:sz w:val="24"/>
          <w:szCs w:val="24"/>
        </w:rPr>
        <w:t>,</w:t>
      </w:r>
      <w:r w:rsidRPr="00AB6FB4">
        <w:rPr>
          <w:rFonts w:ascii="Times New Roman" w:hAnsi="Times New Roman" w:cs="Times New Roman"/>
          <w:sz w:val="24"/>
          <w:szCs w:val="24"/>
        </w:rPr>
        <w:t xml:space="preserve"> </w:t>
      </w:r>
      <w:r>
        <w:rPr>
          <w:rFonts w:ascii="Times New Roman" w:hAnsi="Times New Roman" w:cs="Times New Roman"/>
          <w:sz w:val="24"/>
          <w:szCs w:val="24"/>
        </w:rPr>
        <w:t xml:space="preserve">employment </w:t>
      </w:r>
      <w:r w:rsidR="00EF6F1B">
        <w:rPr>
          <w:rFonts w:ascii="Times New Roman" w:hAnsi="Times New Roman" w:cs="Times New Roman"/>
          <w:sz w:val="24"/>
          <w:szCs w:val="24"/>
        </w:rPr>
        <w:t xml:space="preserve">and </w:t>
      </w:r>
      <w:r w:rsidR="00C75576">
        <w:rPr>
          <w:rFonts w:ascii="Times New Roman" w:hAnsi="Times New Roman" w:cs="Times New Roman"/>
          <w:sz w:val="24"/>
          <w:szCs w:val="24"/>
        </w:rPr>
        <w:t>labor</w:t>
      </w:r>
      <w:r w:rsidR="00EF6F1B">
        <w:rPr>
          <w:rFonts w:ascii="Times New Roman" w:hAnsi="Times New Roman" w:cs="Times New Roman"/>
          <w:sz w:val="24"/>
          <w:szCs w:val="24"/>
        </w:rPr>
        <w:t xml:space="preserve"> supply </w:t>
      </w:r>
      <w:r>
        <w:rPr>
          <w:rFonts w:ascii="Times New Roman" w:hAnsi="Times New Roman" w:cs="Times New Roman"/>
          <w:sz w:val="24"/>
          <w:szCs w:val="24"/>
        </w:rPr>
        <w:t xml:space="preserve">in </w:t>
      </w:r>
      <w:r w:rsidR="00EF6F1B">
        <w:rPr>
          <w:rFonts w:ascii="Times New Roman" w:hAnsi="Times New Roman" w:cs="Times New Roman"/>
          <w:sz w:val="24"/>
          <w:szCs w:val="24"/>
        </w:rPr>
        <w:t>(a,r)</w:t>
      </w:r>
      <w:r>
        <w:rPr>
          <w:rFonts w:ascii="Times New Roman" w:hAnsi="Times New Roman" w:cs="Times New Roman"/>
          <w:sz w:val="24"/>
          <w:szCs w:val="24"/>
        </w:rPr>
        <w:t xml:space="preserve"> in </w:t>
      </w:r>
      <w:r w:rsidR="00AB6FB4" w:rsidRPr="00AB6FB4">
        <w:rPr>
          <w:rFonts w:ascii="Times New Roman" w:hAnsi="Times New Roman" w:cs="Times New Roman"/>
          <w:sz w:val="24"/>
          <w:szCs w:val="24"/>
        </w:rPr>
        <w:t xml:space="preserve">the policy simulation, that is the simulation with the shock. </w:t>
      </w:r>
      <w:r w:rsidR="00E42F0E">
        <w:rPr>
          <w:rFonts w:ascii="Times New Roman" w:hAnsi="Times New Roman" w:cs="Times New Roman"/>
          <w:sz w:val="24"/>
          <w:szCs w:val="24"/>
        </w:rPr>
        <w:t xml:space="preserve"> </w:t>
      </w:r>
    </w:p>
    <w:p w:rsidR="00471D60" w:rsidRDefault="00AB6FB4" w:rsidP="00E42F0E">
      <w:pPr>
        <w:tabs>
          <w:tab w:val="left" w:pos="567"/>
        </w:tabs>
        <w:spacing w:after="0" w:line="240" w:lineRule="auto"/>
        <w:ind w:left="568" w:hanging="284"/>
        <w:rPr>
          <w:rFonts w:ascii="Times New Roman" w:hAnsi="Times New Roman" w:cs="Times New Roman"/>
          <w:sz w:val="24"/>
          <w:szCs w:val="24"/>
          <w:lang w:val="en-US"/>
        </w:rPr>
      </w:pPr>
      <w:r w:rsidRPr="00AB6FB4">
        <w:rPr>
          <w:rFonts w:ascii="Times New Roman" w:hAnsi="Times New Roman" w:cs="Times New Roman"/>
          <w:sz w:val="24"/>
          <w:szCs w:val="24"/>
          <w:lang w:val="en-US"/>
        </w:rPr>
        <w:sym w:font="Symbol" w:char="F061"/>
      </w:r>
      <w:r w:rsidR="00277E49">
        <w:rPr>
          <w:rFonts w:ascii="Times New Roman" w:hAnsi="Times New Roman" w:cs="Times New Roman"/>
          <w:sz w:val="24"/>
          <w:szCs w:val="24"/>
          <w:lang w:val="en-US"/>
        </w:rPr>
        <w:t xml:space="preserve"> is a positive parameter, </w:t>
      </w:r>
      <w:r w:rsidR="00471D60">
        <w:rPr>
          <w:rFonts w:ascii="Times New Roman" w:hAnsi="Times New Roman" w:cs="Times New Roman"/>
          <w:sz w:val="24"/>
          <w:szCs w:val="24"/>
          <w:lang w:val="en-US"/>
        </w:rPr>
        <w:t>set (as mentioned earlier) so that employment</w:t>
      </w:r>
      <w:r w:rsidR="00EF6F1B">
        <w:rPr>
          <w:rFonts w:ascii="Times New Roman" w:hAnsi="Times New Roman" w:cs="Times New Roman"/>
          <w:sz w:val="24"/>
          <w:szCs w:val="24"/>
          <w:lang w:val="en-US"/>
        </w:rPr>
        <w:t xml:space="preserve"> and </w:t>
      </w:r>
      <w:r w:rsidR="00C75576">
        <w:rPr>
          <w:rFonts w:ascii="Times New Roman" w:hAnsi="Times New Roman" w:cs="Times New Roman"/>
          <w:sz w:val="24"/>
          <w:szCs w:val="24"/>
          <w:lang w:val="en-US"/>
        </w:rPr>
        <w:t>labor</w:t>
      </w:r>
      <w:r w:rsidR="00EF6F1B">
        <w:rPr>
          <w:rFonts w:ascii="Times New Roman" w:hAnsi="Times New Roman" w:cs="Times New Roman"/>
          <w:sz w:val="24"/>
          <w:szCs w:val="24"/>
          <w:lang w:val="en-US"/>
        </w:rPr>
        <w:t>-supply deviations from basecase induced by the policy shock are approximately equal a</w:t>
      </w:r>
      <w:r w:rsidR="00471D60">
        <w:rPr>
          <w:rFonts w:ascii="Times New Roman" w:hAnsi="Times New Roman" w:cs="Times New Roman"/>
          <w:sz w:val="24"/>
          <w:szCs w:val="24"/>
          <w:lang w:val="en-US"/>
        </w:rPr>
        <w:t xml:space="preserve">fter about 5 years.  </w:t>
      </w:r>
    </w:p>
    <w:p w:rsidR="00AB6FB4" w:rsidRPr="00AB6FB4" w:rsidRDefault="00E42F0E" w:rsidP="00471D60">
      <w:pPr>
        <w:tabs>
          <w:tab w:val="left" w:pos="567"/>
        </w:tabs>
        <w:spacing w:after="0" w:line="240" w:lineRule="auto"/>
        <w:ind w:left="568" w:hanging="284"/>
        <w:rPr>
          <w:rFonts w:ascii="Times New Roman" w:hAnsi="Times New Roman" w:cs="Times New Roman"/>
          <w:sz w:val="24"/>
          <w:szCs w:val="24"/>
        </w:rPr>
      </w:pPr>
      <w:r>
        <w:rPr>
          <w:rFonts w:ascii="Times New Roman" w:hAnsi="Times New Roman" w:cs="Times New Roman"/>
          <w:sz w:val="24"/>
          <w:szCs w:val="24"/>
          <w:lang w:val="en-US"/>
        </w:rPr>
        <w:t>SHIFT</w:t>
      </w:r>
      <w:r w:rsidR="00AB6FB4" w:rsidRPr="00AB6FB4">
        <w:rPr>
          <w:rFonts w:ascii="Times New Roman" w:hAnsi="Times New Roman" w:cs="Times New Roman"/>
          <w:sz w:val="24"/>
          <w:szCs w:val="24"/>
          <w:lang w:val="en-US"/>
        </w:rPr>
        <w:t>(</w:t>
      </w:r>
      <w:r>
        <w:rPr>
          <w:rFonts w:ascii="Times New Roman" w:hAnsi="Times New Roman" w:cs="Times New Roman"/>
          <w:sz w:val="24"/>
          <w:szCs w:val="24"/>
          <w:lang w:val="en-US"/>
        </w:rPr>
        <w:t>a,r</w:t>
      </w:r>
      <w:r w:rsidR="00AB6FB4" w:rsidRPr="00AB6FB4">
        <w:rPr>
          <w:rFonts w:ascii="Times New Roman" w:hAnsi="Times New Roman" w:cs="Times New Roman"/>
          <w:sz w:val="24"/>
          <w:szCs w:val="24"/>
          <w:lang w:val="en-US"/>
        </w:rPr>
        <w:t xml:space="preserve">) is a shift variable set exogenously </w:t>
      </w:r>
      <w:r w:rsidR="00471D60">
        <w:rPr>
          <w:rFonts w:ascii="Times New Roman" w:hAnsi="Times New Roman" w:cs="Times New Roman"/>
          <w:sz w:val="24"/>
          <w:szCs w:val="24"/>
          <w:lang w:val="en-US"/>
        </w:rPr>
        <w:t>on</w:t>
      </w:r>
      <w:r w:rsidR="00AB6FB4" w:rsidRPr="00AB6FB4">
        <w:rPr>
          <w:rFonts w:ascii="Times New Roman" w:hAnsi="Times New Roman" w:cs="Times New Roman"/>
          <w:sz w:val="24"/>
          <w:szCs w:val="24"/>
          <w:lang w:val="en-US"/>
        </w:rPr>
        <w:t xml:space="preserve"> zero</w:t>
      </w:r>
      <w:r w:rsidR="00471D60">
        <w:rPr>
          <w:rFonts w:ascii="Times New Roman" w:hAnsi="Times New Roman" w:cs="Times New Roman"/>
          <w:sz w:val="24"/>
          <w:szCs w:val="24"/>
          <w:lang w:val="en-US"/>
        </w:rPr>
        <w:t xml:space="preserve"> in policy simulations and left endogenous in forecast simulations</w:t>
      </w:r>
      <w:r w:rsidR="00AB6FB4" w:rsidRPr="00AB6FB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89730F" w:rsidRDefault="002F137F" w:rsidP="00AB6FB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With SHIFT(a,r) set on zero, (2.5.1) means that in </w:t>
      </w:r>
      <w:r w:rsidR="009D32BB">
        <w:rPr>
          <w:rFonts w:ascii="Times New Roman" w:hAnsi="Times New Roman" w:cs="Times New Roman"/>
          <w:sz w:val="24"/>
          <w:szCs w:val="24"/>
        </w:rPr>
        <w:t xml:space="preserve">a </w:t>
      </w:r>
      <w:r>
        <w:rPr>
          <w:rFonts w:ascii="Times New Roman" w:hAnsi="Times New Roman" w:cs="Times New Roman"/>
          <w:sz w:val="24"/>
          <w:szCs w:val="24"/>
        </w:rPr>
        <w:t>policy simulatio</w:t>
      </w:r>
      <w:r w:rsidR="009D32BB">
        <w:rPr>
          <w:rFonts w:ascii="Times New Roman" w:hAnsi="Times New Roman" w:cs="Times New Roman"/>
          <w:sz w:val="24"/>
          <w:szCs w:val="24"/>
        </w:rPr>
        <w:t>n</w:t>
      </w:r>
      <w:r>
        <w:rPr>
          <w:rFonts w:ascii="Times New Roman" w:hAnsi="Times New Roman" w:cs="Times New Roman"/>
          <w:sz w:val="24"/>
          <w:szCs w:val="24"/>
        </w:rPr>
        <w:t xml:space="preserve"> </w:t>
      </w:r>
      <w:r w:rsidR="009D32BB">
        <w:rPr>
          <w:rFonts w:ascii="Times New Roman" w:hAnsi="Times New Roman" w:cs="Times New Roman"/>
          <w:sz w:val="24"/>
          <w:szCs w:val="24"/>
        </w:rPr>
        <w:t xml:space="preserve">with a favourable shock, </w:t>
      </w:r>
      <w:r>
        <w:rPr>
          <w:rFonts w:ascii="Times New Roman" w:hAnsi="Times New Roman" w:cs="Times New Roman"/>
          <w:sz w:val="24"/>
          <w:szCs w:val="24"/>
        </w:rPr>
        <w:t xml:space="preserve">(a,r)’s post-tax real wage rate </w:t>
      </w:r>
      <w:r w:rsidR="0089730F">
        <w:rPr>
          <w:rFonts w:ascii="Times New Roman" w:hAnsi="Times New Roman" w:cs="Times New Roman"/>
          <w:sz w:val="24"/>
          <w:szCs w:val="24"/>
        </w:rPr>
        <w:t>continue</w:t>
      </w:r>
      <w:r w:rsidR="009D32BB">
        <w:rPr>
          <w:rFonts w:ascii="Times New Roman" w:hAnsi="Times New Roman" w:cs="Times New Roman"/>
          <w:sz w:val="24"/>
          <w:szCs w:val="24"/>
        </w:rPr>
        <w:t>s</w:t>
      </w:r>
      <w:r w:rsidR="0089730F">
        <w:rPr>
          <w:rFonts w:ascii="Times New Roman" w:hAnsi="Times New Roman" w:cs="Times New Roman"/>
          <w:sz w:val="24"/>
          <w:szCs w:val="24"/>
        </w:rPr>
        <w:t xml:space="preserve"> to </w:t>
      </w:r>
      <w:r>
        <w:rPr>
          <w:rFonts w:ascii="Times New Roman" w:hAnsi="Times New Roman" w:cs="Times New Roman"/>
          <w:sz w:val="24"/>
          <w:szCs w:val="24"/>
        </w:rPr>
        <w:t xml:space="preserve">move further above its basecase path </w:t>
      </w:r>
      <w:r w:rsidR="0089730F">
        <w:rPr>
          <w:rFonts w:ascii="Times New Roman" w:hAnsi="Times New Roman" w:cs="Times New Roman"/>
          <w:sz w:val="24"/>
          <w:szCs w:val="24"/>
        </w:rPr>
        <w:t xml:space="preserve">in every year in which the deviation in employment from </w:t>
      </w:r>
      <w:r w:rsidR="009D32BB">
        <w:rPr>
          <w:rFonts w:ascii="Times New Roman" w:hAnsi="Times New Roman" w:cs="Times New Roman"/>
          <w:sz w:val="24"/>
          <w:szCs w:val="24"/>
        </w:rPr>
        <w:t xml:space="preserve">its </w:t>
      </w:r>
      <w:r w:rsidR="0089730F">
        <w:rPr>
          <w:rFonts w:ascii="Times New Roman" w:hAnsi="Times New Roman" w:cs="Times New Roman"/>
          <w:sz w:val="24"/>
          <w:szCs w:val="24"/>
        </w:rPr>
        <w:t>base</w:t>
      </w:r>
      <w:r w:rsidR="009D32BB">
        <w:rPr>
          <w:rFonts w:ascii="Times New Roman" w:hAnsi="Times New Roman" w:cs="Times New Roman"/>
          <w:sz w:val="24"/>
          <w:szCs w:val="24"/>
        </w:rPr>
        <w:t>case path</w:t>
      </w:r>
      <w:r w:rsidR="0089730F">
        <w:rPr>
          <w:rFonts w:ascii="Times New Roman" w:hAnsi="Times New Roman" w:cs="Times New Roman"/>
          <w:sz w:val="24"/>
          <w:szCs w:val="24"/>
        </w:rPr>
        <w:t xml:space="preserve"> exceeds the deviation in </w:t>
      </w:r>
      <w:r w:rsidR="00C75576">
        <w:rPr>
          <w:rFonts w:ascii="Times New Roman" w:hAnsi="Times New Roman" w:cs="Times New Roman"/>
          <w:sz w:val="24"/>
          <w:szCs w:val="24"/>
        </w:rPr>
        <w:t>labor</w:t>
      </w:r>
      <w:r w:rsidR="0089730F">
        <w:rPr>
          <w:rFonts w:ascii="Times New Roman" w:hAnsi="Times New Roman" w:cs="Times New Roman"/>
          <w:sz w:val="24"/>
          <w:szCs w:val="24"/>
        </w:rPr>
        <w:t xml:space="preserve"> supply from </w:t>
      </w:r>
      <w:r w:rsidR="009D32BB">
        <w:rPr>
          <w:rFonts w:ascii="Times New Roman" w:hAnsi="Times New Roman" w:cs="Times New Roman"/>
          <w:sz w:val="24"/>
          <w:szCs w:val="24"/>
        </w:rPr>
        <w:t xml:space="preserve">its </w:t>
      </w:r>
      <w:r w:rsidR="0089730F">
        <w:rPr>
          <w:rFonts w:ascii="Times New Roman" w:hAnsi="Times New Roman" w:cs="Times New Roman"/>
          <w:sz w:val="24"/>
          <w:szCs w:val="24"/>
        </w:rPr>
        <w:t>base</w:t>
      </w:r>
      <w:r w:rsidR="009D32BB">
        <w:rPr>
          <w:rFonts w:ascii="Times New Roman" w:hAnsi="Times New Roman" w:cs="Times New Roman"/>
          <w:sz w:val="24"/>
          <w:szCs w:val="24"/>
        </w:rPr>
        <w:t>case path</w:t>
      </w:r>
      <w:r w:rsidR="0089730F">
        <w:rPr>
          <w:rFonts w:ascii="Times New Roman" w:hAnsi="Times New Roman" w:cs="Times New Roman"/>
          <w:sz w:val="24"/>
          <w:szCs w:val="24"/>
        </w:rPr>
        <w:t>.  In a well-behaved simulation</w:t>
      </w:r>
      <w:r w:rsidR="009D32BB">
        <w:rPr>
          <w:rFonts w:ascii="Times New Roman" w:hAnsi="Times New Roman" w:cs="Times New Roman"/>
          <w:sz w:val="24"/>
          <w:szCs w:val="24"/>
        </w:rPr>
        <w:t>,</w:t>
      </w:r>
      <w:r w:rsidR="0089730F">
        <w:rPr>
          <w:rFonts w:ascii="Times New Roman" w:hAnsi="Times New Roman" w:cs="Times New Roman"/>
          <w:sz w:val="24"/>
          <w:szCs w:val="24"/>
        </w:rPr>
        <w:t xml:space="preserve"> the increases in (a,r)’s wage will eventually close the gap between the deviations </w:t>
      </w:r>
      <w:r w:rsidR="009D32BB">
        <w:rPr>
          <w:rFonts w:ascii="Times New Roman" w:hAnsi="Times New Roman" w:cs="Times New Roman"/>
          <w:sz w:val="24"/>
          <w:szCs w:val="24"/>
        </w:rPr>
        <w:t xml:space="preserve">in </w:t>
      </w:r>
      <w:r w:rsidR="0089730F">
        <w:rPr>
          <w:rFonts w:ascii="Times New Roman" w:hAnsi="Times New Roman" w:cs="Times New Roman"/>
          <w:sz w:val="24"/>
          <w:szCs w:val="24"/>
        </w:rPr>
        <w:t xml:space="preserve">employment and </w:t>
      </w:r>
      <w:r w:rsidR="00C75576">
        <w:rPr>
          <w:rFonts w:ascii="Times New Roman" w:hAnsi="Times New Roman" w:cs="Times New Roman"/>
          <w:sz w:val="24"/>
          <w:szCs w:val="24"/>
        </w:rPr>
        <w:t>labor</w:t>
      </w:r>
      <w:r w:rsidR="0089730F">
        <w:rPr>
          <w:rFonts w:ascii="Times New Roman" w:hAnsi="Times New Roman" w:cs="Times New Roman"/>
          <w:sz w:val="24"/>
          <w:szCs w:val="24"/>
        </w:rPr>
        <w:t xml:space="preserve"> supply, stabilizing the wage rate.  </w:t>
      </w:r>
      <w:r w:rsidR="009D32BB">
        <w:rPr>
          <w:rFonts w:ascii="Times New Roman" w:hAnsi="Times New Roman" w:cs="Times New Roman"/>
          <w:sz w:val="24"/>
          <w:szCs w:val="24"/>
        </w:rPr>
        <w:t>Similarly, in a policy simulation with an unfavourable shock,</w:t>
      </w:r>
      <w:r w:rsidR="009D32BB" w:rsidRPr="009D32BB">
        <w:rPr>
          <w:rFonts w:ascii="Times New Roman" w:hAnsi="Times New Roman" w:cs="Times New Roman"/>
          <w:sz w:val="24"/>
          <w:szCs w:val="24"/>
        </w:rPr>
        <w:t xml:space="preserve"> </w:t>
      </w:r>
      <w:r w:rsidR="009D32BB">
        <w:rPr>
          <w:rFonts w:ascii="Times New Roman" w:hAnsi="Times New Roman" w:cs="Times New Roman"/>
          <w:sz w:val="24"/>
          <w:szCs w:val="24"/>
        </w:rPr>
        <w:t xml:space="preserve">(a,r)’s post-tax real wage rate moves below its basecase path in every year in which the employment deviation is below the </w:t>
      </w:r>
      <w:r w:rsidR="00C75576">
        <w:rPr>
          <w:rFonts w:ascii="Times New Roman" w:hAnsi="Times New Roman" w:cs="Times New Roman"/>
          <w:sz w:val="24"/>
          <w:szCs w:val="24"/>
        </w:rPr>
        <w:t>labor</w:t>
      </w:r>
      <w:r w:rsidR="009D32BB">
        <w:rPr>
          <w:rFonts w:ascii="Times New Roman" w:hAnsi="Times New Roman" w:cs="Times New Roman"/>
          <w:sz w:val="24"/>
          <w:szCs w:val="24"/>
        </w:rPr>
        <w:t xml:space="preserve"> supply deviation.  </w:t>
      </w:r>
    </w:p>
    <w:p w:rsidR="004C64AB" w:rsidRPr="004C64AB" w:rsidRDefault="004C64AB" w:rsidP="006E783E">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In GTAP-MVH we follow standard GTAP in assuming that </w:t>
      </w:r>
      <w:r w:rsidR="00155F6D">
        <w:rPr>
          <w:rFonts w:ascii="Times New Roman" w:hAnsi="Times New Roman" w:cs="Times New Roman"/>
          <w:sz w:val="24"/>
          <w:szCs w:val="24"/>
        </w:rPr>
        <w:t xml:space="preserve">employment in </w:t>
      </w:r>
      <w:r>
        <w:rPr>
          <w:rFonts w:ascii="Times New Roman" w:hAnsi="Times New Roman" w:cs="Times New Roman"/>
          <w:sz w:val="24"/>
          <w:szCs w:val="24"/>
        </w:rPr>
        <w:t xml:space="preserve">(a,r) </w:t>
      </w:r>
      <w:r w:rsidR="00155F6D">
        <w:rPr>
          <w:rFonts w:ascii="Times New Roman" w:hAnsi="Times New Roman" w:cs="Times New Roman"/>
          <w:sz w:val="24"/>
          <w:szCs w:val="24"/>
        </w:rPr>
        <w:t>is determined by demand for (a,r) and that demand reflects industry outputs, technologies and (a,r)’s pre-tax wage rate relative to the costs</w:t>
      </w:r>
      <w:r w:rsidR="00C75417">
        <w:rPr>
          <w:rFonts w:ascii="Times New Roman" w:hAnsi="Times New Roman" w:cs="Times New Roman"/>
          <w:sz w:val="24"/>
          <w:szCs w:val="24"/>
        </w:rPr>
        <w:t xml:space="preserve"> to industries </w:t>
      </w:r>
      <w:r w:rsidR="00155F6D">
        <w:rPr>
          <w:rFonts w:ascii="Times New Roman" w:hAnsi="Times New Roman" w:cs="Times New Roman"/>
          <w:sz w:val="24"/>
          <w:szCs w:val="24"/>
        </w:rPr>
        <w:t>of using other primary factors.  On the supply side we assume in policy simulations</w:t>
      </w:r>
      <w:r w:rsidR="00C75417">
        <w:rPr>
          <w:rFonts w:ascii="Times New Roman" w:hAnsi="Times New Roman" w:cs="Times New Roman"/>
          <w:sz w:val="24"/>
          <w:szCs w:val="24"/>
        </w:rPr>
        <w:t xml:space="preserve"> without </w:t>
      </w:r>
      <w:r w:rsidR="00155F6D">
        <w:rPr>
          <w:rFonts w:ascii="Times New Roman" w:hAnsi="Times New Roman" w:cs="Times New Roman"/>
          <w:sz w:val="24"/>
          <w:szCs w:val="24"/>
        </w:rPr>
        <w:t>a labor-supply policy shock</w:t>
      </w:r>
      <w:r w:rsidR="00C75417">
        <w:rPr>
          <w:rFonts w:ascii="Times New Roman" w:hAnsi="Times New Roman" w:cs="Times New Roman"/>
          <w:sz w:val="24"/>
          <w:szCs w:val="24"/>
        </w:rPr>
        <w:t xml:space="preserve"> that</w:t>
      </w:r>
      <w:r w:rsidR="00155F6D">
        <w:rPr>
          <w:rFonts w:ascii="Times New Roman" w:hAnsi="Times New Roman" w:cs="Times New Roman"/>
          <w:sz w:val="24"/>
          <w:szCs w:val="24"/>
        </w:rPr>
        <w:t xml:space="preserve"> aggregate labor supply for region r follows its basecase forecast path.  However, we allow a policy shock to </w:t>
      </w:r>
      <w:r w:rsidR="00C75417">
        <w:rPr>
          <w:rFonts w:ascii="Times New Roman" w:hAnsi="Times New Roman" w:cs="Times New Roman"/>
          <w:sz w:val="24"/>
          <w:szCs w:val="24"/>
        </w:rPr>
        <w:t>generate</w:t>
      </w:r>
      <w:r w:rsidR="00155F6D">
        <w:rPr>
          <w:rFonts w:ascii="Times New Roman" w:hAnsi="Times New Roman" w:cs="Times New Roman"/>
          <w:sz w:val="24"/>
          <w:szCs w:val="24"/>
        </w:rPr>
        <w:t xml:space="preserve"> movement</w:t>
      </w:r>
      <w:r w:rsidR="00C75417">
        <w:rPr>
          <w:rFonts w:ascii="Times New Roman" w:hAnsi="Times New Roman" w:cs="Times New Roman"/>
          <w:sz w:val="24"/>
          <w:szCs w:val="24"/>
        </w:rPr>
        <w:t>s</w:t>
      </w:r>
      <w:r w:rsidR="00155F6D">
        <w:rPr>
          <w:rFonts w:ascii="Times New Roman" w:hAnsi="Times New Roman" w:cs="Times New Roman"/>
          <w:sz w:val="24"/>
          <w:szCs w:val="24"/>
        </w:rPr>
        <w:t xml:space="preserve"> in labor supply between occupations.  If a policy induces an increase in the wage rate of </w:t>
      </w:r>
      <w:r w:rsidR="00C75417">
        <w:rPr>
          <w:rFonts w:ascii="Times New Roman" w:hAnsi="Times New Roman" w:cs="Times New Roman"/>
          <w:sz w:val="24"/>
          <w:szCs w:val="24"/>
        </w:rPr>
        <w:t>skilled labor relative to unskilled (the only 2 occupations in standard GTAP and GTAP-MVH)</w:t>
      </w:r>
      <w:r w:rsidR="00155F6D">
        <w:rPr>
          <w:rFonts w:ascii="Times New Roman" w:hAnsi="Times New Roman" w:cs="Times New Roman"/>
          <w:sz w:val="24"/>
          <w:szCs w:val="24"/>
        </w:rPr>
        <w:t xml:space="preserve"> then we allow for an increase in </w:t>
      </w:r>
      <w:r w:rsidR="00C75417">
        <w:rPr>
          <w:rFonts w:ascii="Times New Roman" w:hAnsi="Times New Roman" w:cs="Times New Roman"/>
          <w:sz w:val="24"/>
          <w:szCs w:val="24"/>
        </w:rPr>
        <w:t>skilled labor</w:t>
      </w:r>
      <w:r w:rsidR="00155F6D">
        <w:rPr>
          <w:rFonts w:ascii="Times New Roman" w:hAnsi="Times New Roman" w:cs="Times New Roman"/>
          <w:sz w:val="24"/>
          <w:szCs w:val="24"/>
        </w:rPr>
        <w:t xml:space="preserve"> supply </w:t>
      </w:r>
      <w:r w:rsidR="00C75417">
        <w:rPr>
          <w:rFonts w:ascii="Times New Roman" w:hAnsi="Times New Roman" w:cs="Times New Roman"/>
          <w:sz w:val="24"/>
          <w:szCs w:val="24"/>
        </w:rPr>
        <w:t>with</w:t>
      </w:r>
      <w:r w:rsidR="00155F6D">
        <w:rPr>
          <w:rFonts w:ascii="Times New Roman" w:hAnsi="Times New Roman" w:cs="Times New Roman"/>
          <w:sz w:val="24"/>
          <w:szCs w:val="24"/>
        </w:rPr>
        <w:t xml:space="preserve"> a corresponding reduction in </w:t>
      </w:r>
      <w:r w:rsidR="00C75417">
        <w:rPr>
          <w:rFonts w:ascii="Times New Roman" w:hAnsi="Times New Roman" w:cs="Times New Roman"/>
          <w:sz w:val="24"/>
          <w:szCs w:val="24"/>
        </w:rPr>
        <w:t xml:space="preserve">unskilled supply.  In the tariff experiment described in section 3, these labor-supply movements are extremely small for two reasons.  </w:t>
      </w:r>
      <w:r w:rsidR="00C75417">
        <w:rPr>
          <w:rFonts w:ascii="Times New Roman" w:hAnsi="Times New Roman" w:cs="Times New Roman"/>
          <w:sz w:val="24"/>
          <w:szCs w:val="24"/>
        </w:rPr>
        <w:lastRenderedPageBreak/>
        <w:t>First, the shocks do not have strong effects on relative wages and second we assume a low value for the transformation elasticity between skilled and unskilled</w:t>
      </w:r>
      <w:r w:rsidR="001E7560">
        <w:rPr>
          <w:rFonts w:ascii="Times New Roman" w:hAnsi="Times New Roman" w:cs="Times New Roman"/>
          <w:sz w:val="24"/>
          <w:szCs w:val="24"/>
        </w:rPr>
        <w:t>.</w:t>
      </w:r>
      <w:r w:rsidR="00C75417">
        <w:rPr>
          <w:rFonts w:ascii="Times New Roman" w:hAnsi="Times New Roman" w:cs="Times New Roman"/>
          <w:sz w:val="24"/>
          <w:szCs w:val="24"/>
        </w:rPr>
        <w:t xml:space="preserve"> </w:t>
      </w:r>
    </w:p>
    <w:p w:rsidR="006E783E" w:rsidRDefault="006E783E" w:rsidP="006E783E">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F76AAD">
        <w:rPr>
          <w:rFonts w:ascii="Times New Roman" w:hAnsi="Times New Roman" w:cs="Times New Roman"/>
          <w:b/>
          <w:i/>
          <w:sz w:val="24"/>
          <w:szCs w:val="24"/>
        </w:rPr>
        <w:t>6</w:t>
      </w:r>
      <w:r>
        <w:rPr>
          <w:rFonts w:ascii="Times New Roman" w:hAnsi="Times New Roman" w:cs="Times New Roman"/>
          <w:b/>
          <w:i/>
          <w:sz w:val="24"/>
          <w:szCs w:val="24"/>
        </w:rPr>
        <w:t xml:space="preserve">.  Rates of return in the baseline forecast and capital-labor substitution </w:t>
      </w:r>
    </w:p>
    <w:p w:rsidR="006E783E" w:rsidRDefault="006E783E" w:rsidP="006E783E">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As explained in </w:t>
      </w:r>
      <w:r w:rsidRPr="00C64706">
        <w:rPr>
          <w:rFonts w:ascii="Times New Roman" w:hAnsi="Times New Roman" w:cs="Times New Roman"/>
          <w:sz w:val="24"/>
          <w:szCs w:val="24"/>
        </w:rPr>
        <w:t xml:space="preserve">Appendix </w:t>
      </w:r>
      <w:r w:rsidR="00342D2E">
        <w:rPr>
          <w:rFonts w:ascii="Times New Roman" w:hAnsi="Times New Roman" w:cs="Times New Roman"/>
          <w:sz w:val="24"/>
          <w:szCs w:val="24"/>
        </w:rPr>
        <w:t>1</w:t>
      </w:r>
      <w:r>
        <w:rPr>
          <w:rFonts w:ascii="Times New Roman" w:hAnsi="Times New Roman" w:cs="Times New Roman"/>
          <w:sz w:val="24"/>
          <w:szCs w:val="24"/>
        </w:rPr>
        <w:t xml:space="preserve">, our baseline forecasts for GDP and employment were derived from the IMF </w:t>
      </w:r>
      <w:r w:rsidR="00C64706">
        <w:rPr>
          <w:rFonts w:ascii="Times New Roman" w:hAnsi="Times New Roman" w:cs="Times New Roman"/>
          <w:sz w:val="24"/>
          <w:szCs w:val="24"/>
        </w:rPr>
        <w:t xml:space="preserve">and World Bank </w:t>
      </w:r>
      <w:r>
        <w:rPr>
          <w:rFonts w:ascii="Times New Roman" w:hAnsi="Times New Roman" w:cs="Times New Roman"/>
          <w:sz w:val="24"/>
          <w:szCs w:val="24"/>
        </w:rPr>
        <w:t>publication</w:t>
      </w:r>
      <w:r w:rsidR="00C64706">
        <w:rPr>
          <w:rFonts w:ascii="Times New Roman" w:hAnsi="Times New Roman" w:cs="Times New Roman"/>
          <w:sz w:val="24"/>
          <w:szCs w:val="24"/>
        </w:rPr>
        <w:t>s</w:t>
      </w:r>
      <w:r>
        <w:rPr>
          <w:rFonts w:ascii="Times New Roman" w:hAnsi="Times New Roman" w:cs="Times New Roman"/>
          <w:sz w:val="24"/>
          <w:szCs w:val="24"/>
        </w:rPr>
        <w:t>.  Initially we assumed that each country’s propensity to save out of net national product (NNP) remained constant between 2015 and 202</w:t>
      </w:r>
      <w:r w:rsidR="00867D30">
        <w:rPr>
          <w:rFonts w:ascii="Times New Roman" w:hAnsi="Times New Roman" w:cs="Times New Roman"/>
          <w:sz w:val="24"/>
          <w:szCs w:val="24"/>
        </w:rPr>
        <w:t>3</w:t>
      </w:r>
      <w:r>
        <w:rPr>
          <w:rFonts w:ascii="Times New Roman" w:hAnsi="Times New Roman" w:cs="Times New Roman"/>
          <w:sz w:val="24"/>
          <w:szCs w:val="24"/>
        </w:rPr>
        <w:t xml:space="preserve">.  This produced results showing a strong increase over the period in global capital relative to global GDP.  The increase in the K/GDP ratio arose from a combination of two factors: (a) the high savings propensity of China; and (b) the rapid increase in China’s share of global NNP.  With a large increase in K/GDP, our model projected large decreases in rates of return on capital.  This effect was exacerbated by a decision we took to revise the GTAP capital-labor substitution elasticities from their standard values, which for many industries are as high as 1.26, to more normal values in CGE models of 0.5.  With the increase in the global K/GDP ratio and reduced capital-labor substitution elasticities, our simulations initially showed reductions in rates of return of the order of </w:t>
      </w:r>
      <w:r w:rsidR="00EA0EF4">
        <w:rPr>
          <w:rFonts w:ascii="Times New Roman" w:hAnsi="Times New Roman" w:cs="Times New Roman"/>
          <w:sz w:val="24"/>
          <w:szCs w:val="24"/>
        </w:rPr>
        <w:t>3</w:t>
      </w:r>
      <w:r>
        <w:rPr>
          <w:rFonts w:ascii="Times New Roman" w:hAnsi="Times New Roman" w:cs="Times New Roman"/>
          <w:sz w:val="24"/>
          <w:szCs w:val="24"/>
        </w:rPr>
        <w:t xml:space="preserve">0 per cent, say from 10 per cent to </w:t>
      </w:r>
      <w:r w:rsidR="00EA0EF4">
        <w:rPr>
          <w:rFonts w:ascii="Times New Roman" w:hAnsi="Times New Roman" w:cs="Times New Roman"/>
          <w:sz w:val="24"/>
          <w:szCs w:val="24"/>
        </w:rPr>
        <w:t>7</w:t>
      </w:r>
      <w:r>
        <w:rPr>
          <w:rFonts w:ascii="Times New Roman" w:hAnsi="Times New Roman" w:cs="Times New Roman"/>
          <w:sz w:val="24"/>
          <w:szCs w:val="24"/>
        </w:rPr>
        <w:t xml:space="preserve"> per cent.  While we think that an increase in the global K/GDP ratio is realistic, we were worried about projecting such dramatic effects on rates of return.  To damp the implied reduction in rates of return, we introduced two assumptions.  First we assumed that there would be capital-using technical change at </w:t>
      </w:r>
      <w:r w:rsidR="00EA0EF4">
        <w:rPr>
          <w:rFonts w:ascii="Times New Roman" w:hAnsi="Times New Roman" w:cs="Times New Roman"/>
          <w:sz w:val="24"/>
          <w:szCs w:val="24"/>
        </w:rPr>
        <w:t>two</w:t>
      </w:r>
      <w:r>
        <w:rPr>
          <w:rFonts w:ascii="Times New Roman" w:hAnsi="Times New Roman" w:cs="Times New Roman"/>
          <w:sz w:val="24"/>
          <w:szCs w:val="24"/>
        </w:rPr>
        <w:t xml:space="preserve"> per cent per annum throughout the world economy, and second that the savings to NNP ratio would fall by </w:t>
      </w:r>
      <w:r w:rsidR="00EA0EF4">
        <w:rPr>
          <w:rFonts w:ascii="Times New Roman" w:hAnsi="Times New Roman" w:cs="Times New Roman"/>
          <w:sz w:val="24"/>
          <w:szCs w:val="24"/>
        </w:rPr>
        <w:t>two</w:t>
      </w:r>
      <w:r>
        <w:rPr>
          <w:rFonts w:ascii="Times New Roman" w:hAnsi="Times New Roman" w:cs="Times New Roman"/>
          <w:sz w:val="24"/>
          <w:szCs w:val="24"/>
        </w:rPr>
        <w:t xml:space="preserve"> per cent per annum in all countries.  With these assumptions, the projected reductions in global rates of return between 2015 and 202</w:t>
      </w:r>
      <w:r w:rsidR="00EA0EF4">
        <w:rPr>
          <w:rFonts w:ascii="Times New Roman" w:hAnsi="Times New Roman" w:cs="Times New Roman"/>
          <w:sz w:val="24"/>
          <w:szCs w:val="24"/>
        </w:rPr>
        <w:t>3</w:t>
      </w:r>
      <w:r>
        <w:rPr>
          <w:rFonts w:ascii="Times New Roman" w:hAnsi="Times New Roman" w:cs="Times New Roman"/>
          <w:sz w:val="24"/>
          <w:szCs w:val="24"/>
        </w:rPr>
        <w:t xml:space="preserve"> were about </w:t>
      </w:r>
      <w:r w:rsidR="00EA0EF4">
        <w:rPr>
          <w:rFonts w:ascii="Times New Roman" w:hAnsi="Times New Roman" w:cs="Times New Roman"/>
          <w:sz w:val="24"/>
          <w:szCs w:val="24"/>
        </w:rPr>
        <w:t>14</w:t>
      </w:r>
      <w:r>
        <w:rPr>
          <w:rFonts w:ascii="Times New Roman" w:hAnsi="Times New Roman" w:cs="Times New Roman"/>
          <w:sz w:val="24"/>
          <w:szCs w:val="24"/>
        </w:rPr>
        <w:t xml:space="preserve"> per cent, say from 10 to </w:t>
      </w:r>
      <w:r w:rsidR="00EA0EF4">
        <w:rPr>
          <w:rFonts w:ascii="Times New Roman" w:hAnsi="Times New Roman" w:cs="Times New Roman"/>
          <w:sz w:val="24"/>
          <w:szCs w:val="24"/>
        </w:rPr>
        <w:t xml:space="preserve">8.6 </w:t>
      </w:r>
      <w:r>
        <w:rPr>
          <w:rFonts w:ascii="Times New Roman" w:hAnsi="Times New Roman" w:cs="Times New Roman"/>
          <w:sz w:val="24"/>
          <w:szCs w:val="24"/>
        </w:rPr>
        <w:t xml:space="preserve">per cent.   </w:t>
      </w:r>
    </w:p>
    <w:p w:rsidR="00C04674" w:rsidRPr="00A26A1C" w:rsidRDefault="006E783E" w:rsidP="00FF631B">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1E7560">
        <w:rPr>
          <w:rFonts w:ascii="Times New Roman" w:hAnsi="Times New Roman" w:cs="Times New Roman"/>
          <w:b/>
          <w:i/>
          <w:sz w:val="24"/>
          <w:szCs w:val="24"/>
        </w:rPr>
        <w:t>.</w:t>
      </w:r>
      <w:r w:rsidR="00F76AAD">
        <w:rPr>
          <w:rFonts w:ascii="Times New Roman" w:hAnsi="Times New Roman" w:cs="Times New Roman"/>
          <w:b/>
          <w:i/>
          <w:sz w:val="24"/>
          <w:szCs w:val="24"/>
        </w:rPr>
        <w:t>7</w:t>
      </w:r>
      <w:r>
        <w:rPr>
          <w:rFonts w:ascii="Times New Roman" w:hAnsi="Times New Roman" w:cs="Times New Roman"/>
          <w:b/>
          <w:i/>
          <w:sz w:val="24"/>
          <w:szCs w:val="24"/>
        </w:rPr>
        <w:t>.  P</w:t>
      </w:r>
      <w:r w:rsidR="00FF631B" w:rsidRPr="0034602C">
        <w:rPr>
          <w:rFonts w:ascii="Times New Roman" w:hAnsi="Times New Roman" w:cs="Times New Roman"/>
          <w:b/>
          <w:i/>
          <w:sz w:val="24"/>
          <w:szCs w:val="24"/>
        </w:rPr>
        <w:t>rivate consumption, public c</w:t>
      </w:r>
      <w:r w:rsidR="00A26A1C">
        <w:rPr>
          <w:rFonts w:ascii="Times New Roman" w:hAnsi="Times New Roman" w:cs="Times New Roman"/>
          <w:b/>
          <w:i/>
          <w:sz w:val="24"/>
          <w:szCs w:val="24"/>
        </w:rPr>
        <w:t>onsumption and net savings</w:t>
      </w:r>
    </w:p>
    <w:p w:rsidR="00FF631B" w:rsidRPr="0034602C" w:rsidRDefault="00A26A1C" w:rsidP="00FF631B">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Standard </w:t>
      </w:r>
      <w:r w:rsidR="00FF631B" w:rsidRPr="0034602C">
        <w:rPr>
          <w:rFonts w:ascii="Times New Roman" w:hAnsi="Times New Roman" w:cs="Times New Roman"/>
          <w:sz w:val="24"/>
          <w:szCs w:val="24"/>
        </w:rPr>
        <w:t xml:space="preserve">GTAP </w:t>
      </w:r>
      <w:r w:rsidR="0034602C" w:rsidRPr="0034602C">
        <w:rPr>
          <w:rFonts w:ascii="Times New Roman" w:hAnsi="Times New Roman" w:cs="Times New Roman"/>
          <w:sz w:val="24"/>
          <w:szCs w:val="24"/>
        </w:rPr>
        <w:t xml:space="preserve">contains </w:t>
      </w:r>
      <w:r>
        <w:rPr>
          <w:rFonts w:ascii="Times New Roman" w:hAnsi="Times New Roman" w:cs="Times New Roman"/>
          <w:sz w:val="24"/>
          <w:szCs w:val="24"/>
        </w:rPr>
        <w:t xml:space="preserve">an elaborate treatment of the split of regional income (net national product, NNP) between private consumption, public consumption and net savings (see for example, Corong </w:t>
      </w:r>
      <w:r>
        <w:rPr>
          <w:rFonts w:ascii="Times New Roman" w:hAnsi="Times New Roman" w:cs="Times New Roman"/>
          <w:i/>
          <w:sz w:val="24"/>
          <w:szCs w:val="24"/>
        </w:rPr>
        <w:t>et al.</w:t>
      </w:r>
      <w:r>
        <w:rPr>
          <w:rFonts w:ascii="Times New Roman" w:hAnsi="Times New Roman" w:cs="Times New Roman"/>
          <w:sz w:val="24"/>
          <w:szCs w:val="24"/>
        </w:rPr>
        <w:t xml:space="preserve">, section 3.4, 2017).  Under this treatment, </w:t>
      </w:r>
      <w:r w:rsidR="00AF73F2">
        <w:rPr>
          <w:rFonts w:ascii="Times New Roman" w:hAnsi="Times New Roman" w:cs="Times New Roman"/>
          <w:sz w:val="24"/>
          <w:szCs w:val="24"/>
        </w:rPr>
        <w:t>regions</w:t>
      </w:r>
      <w:r>
        <w:rPr>
          <w:rFonts w:ascii="Times New Roman" w:hAnsi="Times New Roman" w:cs="Times New Roman"/>
          <w:sz w:val="24"/>
          <w:szCs w:val="24"/>
        </w:rPr>
        <w:t xml:space="preserve"> are viewed as maximizing a welfare function in which the arguments are utility from private consumption, utility from public consumption and utility from net savings.  We don’t find this treatment helpful.  The welfare function is essentially arbitrary, reflecting the arbitrary units in which the three component utility functions are measured.  Consequently</w:t>
      </w:r>
      <w:r w:rsidR="004E69E1">
        <w:rPr>
          <w:rFonts w:ascii="Times New Roman" w:hAnsi="Times New Roman" w:cs="Times New Roman"/>
          <w:sz w:val="24"/>
          <w:szCs w:val="24"/>
        </w:rPr>
        <w:t xml:space="preserve">, we have slightly modified the GTAP theory by adding a critical shift variable and worked out a closure in which the values of private consumption, public consumption and net savings in </w:t>
      </w:r>
      <w:r w:rsidR="00AF73F2">
        <w:rPr>
          <w:rFonts w:ascii="Times New Roman" w:hAnsi="Times New Roman" w:cs="Times New Roman"/>
          <w:sz w:val="24"/>
          <w:szCs w:val="24"/>
        </w:rPr>
        <w:t>region</w:t>
      </w:r>
      <w:r w:rsidR="004E69E1">
        <w:rPr>
          <w:rFonts w:ascii="Times New Roman" w:hAnsi="Times New Roman" w:cs="Times New Roman"/>
          <w:sz w:val="24"/>
          <w:szCs w:val="24"/>
        </w:rPr>
        <w:t xml:space="preserve"> r can maintain constant shares in the </w:t>
      </w:r>
      <w:r w:rsidR="00AF73F2">
        <w:rPr>
          <w:rFonts w:ascii="Times New Roman" w:hAnsi="Times New Roman" w:cs="Times New Roman"/>
          <w:sz w:val="24"/>
          <w:szCs w:val="24"/>
        </w:rPr>
        <w:t>region</w:t>
      </w:r>
      <w:r w:rsidR="004E69E1">
        <w:rPr>
          <w:rFonts w:ascii="Times New Roman" w:hAnsi="Times New Roman" w:cs="Times New Roman"/>
          <w:sz w:val="24"/>
          <w:szCs w:val="24"/>
        </w:rPr>
        <w:t>’s NNP.  The GTAP approach and our modification can be explained via t</w:t>
      </w:r>
      <w:r w:rsidR="0034602C">
        <w:rPr>
          <w:rFonts w:ascii="Times New Roman" w:hAnsi="Times New Roman" w:cs="Times New Roman"/>
          <w:sz w:val="24"/>
          <w:szCs w:val="24"/>
        </w:rPr>
        <w:t xml:space="preserve">he following </w:t>
      </w:r>
      <w:r w:rsidR="004E69E1">
        <w:rPr>
          <w:rFonts w:ascii="Times New Roman" w:hAnsi="Times New Roman" w:cs="Times New Roman"/>
          <w:sz w:val="24"/>
          <w:szCs w:val="24"/>
        </w:rPr>
        <w:t xml:space="preserve">GTAP </w:t>
      </w:r>
      <w:r w:rsidR="0034602C">
        <w:rPr>
          <w:rFonts w:ascii="Times New Roman" w:hAnsi="Times New Roman" w:cs="Times New Roman"/>
          <w:sz w:val="24"/>
          <w:szCs w:val="24"/>
        </w:rPr>
        <w:t>equations:</w:t>
      </w:r>
    </w:p>
    <w:p w:rsidR="0034602C" w:rsidRPr="001E7560" w:rsidRDefault="0034602C" w:rsidP="0004104F">
      <w:pPr>
        <w:tabs>
          <w:tab w:val="right" w:pos="8789"/>
        </w:tabs>
        <w:spacing w:before="120" w:after="0" w:line="240" w:lineRule="auto"/>
        <w:ind w:left="284"/>
        <w:rPr>
          <w:rFonts w:ascii="Times New Roman" w:hAnsi="Times New Roman" w:cs="Times New Roman"/>
          <w:sz w:val="24"/>
          <w:szCs w:val="24"/>
        </w:rPr>
      </w:pPr>
      <w:r w:rsidRPr="00094F59">
        <w:rPr>
          <w:rFonts w:ascii="Times New Roman" w:hAnsi="Times New Roman" w:cs="Times New Roman"/>
          <w:position w:val="-10"/>
        </w:rPr>
        <w:object w:dxaOrig="6240" w:dyaOrig="320">
          <v:shape id="_x0000_i1059" type="#_x0000_t75" style="width:311.8pt;height:16.3pt" o:ole="">
            <v:imagedata r:id="rId77" o:title=""/>
          </v:shape>
          <o:OLEObject Type="Embed" ProgID="Equation.DSMT4" ShapeID="_x0000_i1059" DrawAspect="Content" ObjectID="_1616394679" r:id="rId78"/>
        </w:object>
      </w:r>
      <w:r w:rsidRPr="00094F59">
        <w:rPr>
          <w:rFonts w:ascii="Times New Roman" w:hAnsi="Times New Roman" w:cs="Times New Roman"/>
        </w:rPr>
        <w:t xml:space="preserve"> </w:t>
      </w:r>
      <w:r w:rsidRPr="00094F59">
        <w:rPr>
          <w:rFonts w:ascii="Times New Roman" w:hAnsi="Times New Roman" w:cs="Times New Roman"/>
        </w:rPr>
        <w:tab/>
      </w:r>
      <w:r w:rsidRPr="001E7560">
        <w:rPr>
          <w:rFonts w:ascii="Times New Roman" w:hAnsi="Times New Roman" w:cs="Times New Roman"/>
          <w:sz w:val="24"/>
          <w:szCs w:val="24"/>
        </w:rPr>
        <w:t>(</w:t>
      </w:r>
      <w:r w:rsidR="001E7560" w:rsidRPr="001E7560">
        <w:rPr>
          <w:rFonts w:ascii="Times New Roman" w:hAnsi="Times New Roman" w:cs="Times New Roman"/>
          <w:sz w:val="24"/>
          <w:szCs w:val="24"/>
        </w:rPr>
        <w:t>2.7.1</w:t>
      </w:r>
      <w:r w:rsidRPr="001E7560">
        <w:rPr>
          <w:rFonts w:ascii="Times New Roman" w:hAnsi="Times New Roman" w:cs="Times New Roman"/>
          <w:sz w:val="24"/>
          <w:szCs w:val="24"/>
        </w:rPr>
        <w:t>)</w:t>
      </w:r>
    </w:p>
    <w:p w:rsidR="0034602C" w:rsidRPr="001E7560" w:rsidRDefault="0034602C" w:rsidP="0004104F">
      <w:pPr>
        <w:tabs>
          <w:tab w:val="right" w:pos="8789"/>
        </w:tabs>
        <w:spacing w:before="120" w:after="0" w:line="240" w:lineRule="auto"/>
        <w:ind w:left="284"/>
        <w:rPr>
          <w:rFonts w:ascii="Times New Roman" w:hAnsi="Times New Roman" w:cs="Times New Roman"/>
          <w:sz w:val="24"/>
          <w:szCs w:val="24"/>
        </w:rPr>
      </w:pPr>
      <w:r w:rsidRPr="001E7560">
        <w:rPr>
          <w:rFonts w:ascii="Times New Roman" w:hAnsi="Times New Roman" w:cs="Times New Roman"/>
          <w:position w:val="-10"/>
          <w:sz w:val="24"/>
          <w:szCs w:val="24"/>
        </w:rPr>
        <w:object w:dxaOrig="3560" w:dyaOrig="320">
          <v:shape id="_x0000_i1060" type="#_x0000_t75" style="width:177.8pt;height:16.3pt" o:ole="">
            <v:imagedata r:id="rId79" o:title=""/>
          </v:shape>
          <o:OLEObject Type="Embed" ProgID="Equation.DSMT4" ShapeID="_x0000_i1060" DrawAspect="Content" ObjectID="_1616394680" r:id="rId80"/>
        </w:object>
      </w:r>
      <w:r w:rsidRPr="001E7560">
        <w:rPr>
          <w:rFonts w:ascii="Times New Roman" w:hAnsi="Times New Roman" w:cs="Times New Roman"/>
          <w:sz w:val="24"/>
          <w:szCs w:val="24"/>
        </w:rPr>
        <w:t xml:space="preserve"> </w:t>
      </w:r>
      <w:r w:rsidRPr="001E7560">
        <w:rPr>
          <w:rFonts w:ascii="Times New Roman" w:hAnsi="Times New Roman" w:cs="Times New Roman"/>
          <w:sz w:val="24"/>
          <w:szCs w:val="24"/>
        </w:rPr>
        <w:tab/>
        <w:t>(</w:t>
      </w:r>
      <w:r w:rsidR="001E7560" w:rsidRPr="001E7560">
        <w:rPr>
          <w:rFonts w:ascii="Times New Roman" w:hAnsi="Times New Roman" w:cs="Times New Roman"/>
          <w:sz w:val="24"/>
          <w:szCs w:val="24"/>
        </w:rPr>
        <w:t>2.7.2</w:t>
      </w:r>
      <w:r w:rsidRPr="001E7560">
        <w:rPr>
          <w:rFonts w:ascii="Times New Roman" w:hAnsi="Times New Roman" w:cs="Times New Roman"/>
          <w:sz w:val="24"/>
          <w:szCs w:val="24"/>
        </w:rPr>
        <w:t>)</w:t>
      </w:r>
    </w:p>
    <w:p w:rsidR="0034602C" w:rsidRPr="001E7560" w:rsidRDefault="0034602C" w:rsidP="0004104F">
      <w:pPr>
        <w:tabs>
          <w:tab w:val="right" w:pos="8789"/>
        </w:tabs>
        <w:spacing w:before="120" w:after="0" w:line="240" w:lineRule="auto"/>
        <w:ind w:left="284"/>
        <w:rPr>
          <w:rFonts w:ascii="Times New Roman" w:hAnsi="Times New Roman" w:cs="Times New Roman"/>
          <w:sz w:val="24"/>
          <w:szCs w:val="24"/>
        </w:rPr>
      </w:pPr>
      <w:r w:rsidRPr="001E7560">
        <w:rPr>
          <w:rFonts w:ascii="Times New Roman" w:hAnsi="Times New Roman" w:cs="Times New Roman"/>
          <w:position w:val="-10"/>
          <w:sz w:val="24"/>
          <w:szCs w:val="24"/>
        </w:rPr>
        <w:object w:dxaOrig="4360" w:dyaOrig="320">
          <v:shape id="_x0000_i1061" type="#_x0000_t75" style="width:218.5pt;height:16.3pt" o:ole="">
            <v:imagedata r:id="rId81" o:title=""/>
          </v:shape>
          <o:OLEObject Type="Embed" ProgID="Equation.DSMT4" ShapeID="_x0000_i1061" DrawAspect="Content" ObjectID="_1616394681" r:id="rId82"/>
        </w:object>
      </w:r>
      <w:r w:rsidRPr="001E7560">
        <w:rPr>
          <w:rFonts w:ascii="Times New Roman" w:hAnsi="Times New Roman" w:cs="Times New Roman"/>
          <w:sz w:val="24"/>
          <w:szCs w:val="24"/>
        </w:rPr>
        <w:t xml:space="preserve"> </w:t>
      </w:r>
      <w:r w:rsidRPr="001E7560">
        <w:rPr>
          <w:rFonts w:ascii="Times New Roman" w:hAnsi="Times New Roman" w:cs="Times New Roman"/>
          <w:sz w:val="24"/>
          <w:szCs w:val="24"/>
        </w:rPr>
        <w:tab/>
        <w:t>(</w:t>
      </w:r>
      <w:r w:rsidR="001E7560" w:rsidRPr="001E7560">
        <w:rPr>
          <w:rFonts w:ascii="Times New Roman" w:hAnsi="Times New Roman" w:cs="Times New Roman"/>
          <w:sz w:val="24"/>
          <w:szCs w:val="24"/>
        </w:rPr>
        <w:t>2.7.3</w:t>
      </w:r>
      <w:r w:rsidRPr="001E7560">
        <w:rPr>
          <w:rFonts w:ascii="Times New Roman" w:hAnsi="Times New Roman" w:cs="Times New Roman"/>
          <w:sz w:val="24"/>
          <w:szCs w:val="24"/>
        </w:rPr>
        <w:t>)</w:t>
      </w:r>
    </w:p>
    <w:p w:rsidR="0034602C" w:rsidRPr="001E7560" w:rsidRDefault="0034602C" w:rsidP="0004104F">
      <w:pPr>
        <w:tabs>
          <w:tab w:val="right" w:pos="8789"/>
        </w:tabs>
        <w:spacing w:before="120" w:after="0" w:line="240" w:lineRule="auto"/>
        <w:ind w:left="284"/>
        <w:rPr>
          <w:rFonts w:ascii="Times New Roman" w:hAnsi="Times New Roman" w:cs="Times New Roman"/>
          <w:sz w:val="24"/>
          <w:szCs w:val="24"/>
        </w:rPr>
      </w:pPr>
      <w:r w:rsidRPr="001E7560">
        <w:rPr>
          <w:rFonts w:ascii="Times New Roman" w:hAnsi="Times New Roman" w:cs="Times New Roman"/>
          <w:position w:val="-10"/>
          <w:sz w:val="24"/>
          <w:szCs w:val="24"/>
        </w:rPr>
        <w:object w:dxaOrig="3240" w:dyaOrig="320">
          <v:shape id="_x0000_i1062" type="#_x0000_t75" style="width:162.8pt;height:16.3pt" o:ole="">
            <v:imagedata r:id="rId83" o:title=""/>
          </v:shape>
          <o:OLEObject Type="Embed" ProgID="Equation.DSMT4" ShapeID="_x0000_i1062" DrawAspect="Content" ObjectID="_1616394682" r:id="rId84"/>
        </w:object>
      </w:r>
      <w:r w:rsidRPr="001E7560">
        <w:rPr>
          <w:rFonts w:ascii="Times New Roman" w:hAnsi="Times New Roman" w:cs="Times New Roman"/>
          <w:sz w:val="24"/>
          <w:szCs w:val="24"/>
        </w:rPr>
        <w:t xml:space="preserve"> </w:t>
      </w:r>
      <w:r w:rsidRPr="001E7560">
        <w:rPr>
          <w:rFonts w:ascii="Times New Roman" w:hAnsi="Times New Roman" w:cs="Times New Roman"/>
          <w:sz w:val="24"/>
          <w:szCs w:val="24"/>
        </w:rPr>
        <w:tab/>
        <w:t>(</w:t>
      </w:r>
      <w:r w:rsidR="001E7560" w:rsidRPr="001E7560">
        <w:rPr>
          <w:rFonts w:ascii="Times New Roman" w:hAnsi="Times New Roman" w:cs="Times New Roman"/>
          <w:sz w:val="24"/>
          <w:szCs w:val="24"/>
        </w:rPr>
        <w:t>2.7.4</w:t>
      </w:r>
      <w:r w:rsidRPr="001E7560">
        <w:rPr>
          <w:rFonts w:ascii="Times New Roman" w:hAnsi="Times New Roman" w:cs="Times New Roman"/>
          <w:sz w:val="24"/>
          <w:szCs w:val="24"/>
        </w:rPr>
        <w:t>)</w:t>
      </w:r>
    </w:p>
    <w:p w:rsidR="0034602C" w:rsidRPr="001E7560" w:rsidRDefault="0034602C" w:rsidP="0004104F">
      <w:pPr>
        <w:tabs>
          <w:tab w:val="right" w:pos="8789"/>
        </w:tabs>
        <w:spacing w:before="120" w:after="0" w:line="240" w:lineRule="auto"/>
        <w:ind w:left="284"/>
        <w:rPr>
          <w:rFonts w:ascii="Times New Roman" w:hAnsi="Times New Roman" w:cs="Times New Roman"/>
          <w:sz w:val="24"/>
          <w:szCs w:val="24"/>
        </w:rPr>
      </w:pPr>
      <w:r w:rsidRPr="001E7560">
        <w:rPr>
          <w:rFonts w:ascii="Times New Roman" w:hAnsi="Times New Roman" w:cs="Times New Roman"/>
          <w:position w:val="-10"/>
          <w:sz w:val="24"/>
          <w:szCs w:val="24"/>
        </w:rPr>
        <w:object w:dxaOrig="3600" w:dyaOrig="320">
          <v:shape id="_x0000_i1063" type="#_x0000_t75" style="width:180.95pt;height:16.3pt" o:ole="">
            <v:imagedata r:id="rId85" o:title=""/>
          </v:shape>
          <o:OLEObject Type="Embed" ProgID="Equation.DSMT4" ShapeID="_x0000_i1063" DrawAspect="Content" ObjectID="_1616394683" r:id="rId86"/>
        </w:object>
      </w:r>
      <w:r w:rsidRPr="001E7560">
        <w:rPr>
          <w:rFonts w:ascii="Times New Roman" w:hAnsi="Times New Roman" w:cs="Times New Roman"/>
          <w:sz w:val="24"/>
          <w:szCs w:val="24"/>
        </w:rPr>
        <w:t xml:space="preserve"> </w:t>
      </w:r>
      <w:r w:rsidRPr="001E7560">
        <w:rPr>
          <w:rFonts w:ascii="Times New Roman" w:hAnsi="Times New Roman" w:cs="Times New Roman"/>
          <w:sz w:val="24"/>
          <w:szCs w:val="24"/>
        </w:rPr>
        <w:tab/>
        <w:t>(</w:t>
      </w:r>
      <w:r w:rsidR="001E7560" w:rsidRPr="001E7560">
        <w:rPr>
          <w:rFonts w:ascii="Times New Roman" w:hAnsi="Times New Roman" w:cs="Times New Roman"/>
          <w:sz w:val="24"/>
          <w:szCs w:val="24"/>
        </w:rPr>
        <w:t>2.7.5</w:t>
      </w:r>
      <w:r w:rsidRPr="001E7560">
        <w:rPr>
          <w:rFonts w:ascii="Times New Roman" w:hAnsi="Times New Roman" w:cs="Times New Roman"/>
          <w:sz w:val="24"/>
          <w:szCs w:val="24"/>
        </w:rPr>
        <w:t>)</w:t>
      </w:r>
    </w:p>
    <w:p w:rsidR="0034602C" w:rsidRDefault="00C20CE3" w:rsidP="0004104F">
      <w:pPr>
        <w:tabs>
          <w:tab w:val="right" w:pos="8789"/>
        </w:tabs>
        <w:spacing w:before="120" w:after="0" w:line="240" w:lineRule="auto"/>
        <w:ind w:left="284"/>
        <w:rPr>
          <w:rFonts w:ascii="Times New Roman" w:hAnsi="Times New Roman" w:cs="Times New Roman"/>
          <w:sz w:val="24"/>
          <w:szCs w:val="24"/>
        </w:rPr>
      </w:pPr>
      <w:r w:rsidRPr="009B5ED0">
        <w:rPr>
          <w:rFonts w:ascii="Times New Roman" w:hAnsi="Times New Roman" w:cs="Times New Roman"/>
          <w:position w:val="-28"/>
          <w:sz w:val="24"/>
          <w:szCs w:val="24"/>
        </w:rPr>
        <w:object w:dxaOrig="7220" w:dyaOrig="540">
          <v:shape id="_x0000_i1064" type="#_x0000_t75" style="width:361.25pt;height:26.9pt" o:ole="">
            <v:imagedata r:id="rId87" o:title=""/>
          </v:shape>
          <o:OLEObject Type="Embed" ProgID="Equation.DSMT4" ShapeID="_x0000_i1064" DrawAspect="Content" ObjectID="_1616394684" r:id="rId88"/>
        </w:object>
      </w:r>
      <w:r w:rsidR="0034602C" w:rsidRPr="009B5ED0">
        <w:rPr>
          <w:rFonts w:ascii="Times New Roman" w:hAnsi="Times New Roman" w:cs="Times New Roman"/>
          <w:sz w:val="24"/>
          <w:szCs w:val="24"/>
        </w:rPr>
        <w:t xml:space="preserve"> </w:t>
      </w:r>
      <w:r w:rsidR="0034602C" w:rsidRPr="009B5ED0">
        <w:rPr>
          <w:rFonts w:ascii="Times New Roman" w:hAnsi="Times New Roman" w:cs="Times New Roman"/>
          <w:sz w:val="24"/>
          <w:szCs w:val="24"/>
        </w:rPr>
        <w:tab/>
        <w:t>(</w:t>
      </w:r>
      <w:r w:rsidR="001E7560">
        <w:rPr>
          <w:rFonts w:ascii="Times New Roman" w:hAnsi="Times New Roman" w:cs="Times New Roman"/>
          <w:sz w:val="24"/>
          <w:szCs w:val="24"/>
        </w:rPr>
        <w:t>2.7.6</w:t>
      </w:r>
      <w:r w:rsidR="0034602C" w:rsidRPr="009B5ED0">
        <w:rPr>
          <w:rFonts w:ascii="Times New Roman" w:hAnsi="Times New Roman" w:cs="Times New Roman"/>
          <w:sz w:val="24"/>
          <w:szCs w:val="24"/>
        </w:rPr>
        <w:t>)</w:t>
      </w:r>
    </w:p>
    <w:p w:rsidR="0004104F" w:rsidRDefault="0004104F" w:rsidP="00C335E8">
      <w:pPr>
        <w:spacing w:after="0" w:line="240" w:lineRule="auto"/>
        <w:rPr>
          <w:rFonts w:ascii="Times New Roman" w:hAnsi="Times New Roman" w:cs="Times New Roman"/>
          <w:sz w:val="24"/>
          <w:szCs w:val="24"/>
        </w:rPr>
      </w:pPr>
      <w:r>
        <w:rPr>
          <w:rFonts w:ascii="Times New Roman" w:hAnsi="Times New Roman" w:cs="Times New Roman"/>
          <w:sz w:val="24"/>
          <w:szCs w:val="24"/>
        </w:rPr>
        <w:t>plus a new equation that we added:</w:t>
      </w:r>
    </w:p>
    <w:p w:rsidR="0004104F" w:rsidRDefault="0004104F" w:rsidP="0004104F">
      <w:pPr>
        <w:tabs>
          <w:tab w:val="right" w:pos="8789"/>
        </w:tabs>
        <w:spacing w:before="120" w:after="0" w:line="240" w:lineRule="auto"/>
        <w:ind w:left="284"/>
        <w:rPr>
          <w:rFonts w:ascii="Times New Roman" w:hAnsi="Times New Roman" w:cs="Times New Roman"/>
          <w:sz w:val="24"/>
          <w:szCs w:val="24"/>
        </w:rPr>
      </w:pPr>
      <w:r w:rsidRPr="0004104F">
        <w:rPr>
          <w:rFonts w:ascii="Times New Roman" w:hAnsi="Times New Roman" w:cs="Times New Roman"/>
          <w:position w:val="-10"/>
          <w:sz w:val="24"/>
          <w:szCs w:val="24"/>
        </w:rPr>
        <w:object w:dxaOrig="2400" w:dyaOrig="320">
          <v:shape id="_x0000_i1065" type="#_x0000_t75" style="width:119.6pt;height:16.3pt" o:ole="">
            <v:imagedata r:id="rId89" o:title=""/>
          </v:shape>
          <o:OLEObject Type="Embed" ProgID="Equation.DSMT4" ShapeID="_x0000_i1065" DrawAspect="Content" ObjectID="_1616394685" r:id="rId90"/>
        </w:object>
      </w:r>
      <w:r w:rsidRPr="009B5ED0">
        <w:rPr>
          <w:rFonts w:ascii="Times New Roman" w:hAnsi="Times New Roman" w:cs="Times New Roman"/>
          <w:sz w:val="24"/>
          <w:szCs w:val="24"/>
        </w:rPr>
        <w:t xml:space="preserve"> </w:t>
      </w:r>
      <w:r w:rsidRPr="009B5ED0">
        <w:rPr>
          <w:rFonts w:ascii="Times New Roman" w:hAnsi="Times New Roman" w:cs="Times New Roman"/>
          <w:sz w:val="24"/>
          <w:szCs w:val="24"/>
        </w:rPr>
        <w:tab/>
        <w:t>(</w:t>
      </w:r>
      <w:r w:rsidR="001E7560">
        <w:rPr>
          <w:rFonts w:ascii="Times New Roman" w:hAnsi="Times New Roman" w:cs="Times New Roman"/>
          <w:sz w:val="24"/>
          <w:szCs w:val="24"/>
        </w:rPr>
        <w:t>2.7.7</w:t>
      </w:r>
      <w:r w:rsidRPr="009B5ED0">
        <w:rPr>
          <w:rFonts w:ascii="Times New Roman" w:hAnsi="Times New Roman" w:cs="Times New Roman"/>
          <w:sz w:val="24"/>
          <w:szCs w:val="24"/>
        </w:rPr>
        <w:t>)</w:t>
      </w:r>
    </w:p>
    <w:p w:rsidR="00C335E8" w:rsidRPr="0034602C" w:rsidRDefault="0004104F" w:rsidP="00C335E8">
      <w:pPr>
        <w:spacing w:after="0" w:line="240" w:lineRule="auto"/>
        <w:rPr>
          <w:rFonts w:ascii="Times New Roman" w:hAnsi="Times New Roman" w:cs="Times New Roman"/>
          <w:sz w:val="24"/>
          <w:szCs w:val="24"/>
        </w:rPr>
      </w:pPr>
      <w:r>
        <w:rPr>
          <w:rFonts w:ascii="Times New Roman" w:hAnsi="Times New Roman" w:cs="Times New Roman"/>
          <w:sz w:val="24"/>
          <w:szCs w:val="24"/>
        </w:rPr>
        <w:t>In these equations</w:t>
      </w:r>
    </w:p>
    <w:p w:rsidR="00C335E8" w:rsidRDefault="00C335E8" w:rsidP="00C335E8">
      <w:pPr>
        <w:spacing w:after="0" w:line="240" w:lineRule="auto"/>
        <w:ind w:left="284"/>
        <w:rPr>
          <w:rFonts w:ascii="Times New Roman" w:hAnsi="Times New Roman" w:cs="Times New Roman"/>
          <w:sz w:val="24"/>
          <w:szCs w:val="24"/>
        </w:rPr>
      </w:pPr>
      <w:r>
        <w:rPr>
          <w:rFonts w:ascii="Times New Roman" w:hAnsi="Times New Roman" w:cs="Times New Roman"/>
          <w:sz w:val="24"/>
          <w:szCs w:val="24"/>
        </w:rPr>
        <w:lastRenderedPageBreak/>
        <w:t>SP</w:t>
      </w:r>
      <w:r w:rsidRPr="0034602C">
        <w:rPr>
          <w:rFonts w:ascii="Times New Roman" w:hAnsi="Times New Roman" w:cs="Times New Roman"/>
          <w:sz w:val="24"/>
          <w:szCs w:val="24"/>
        </w:rPr>
        <w:t>(r)</w:t>
      </w:r>
      <w:r>
        <w:rPr>
          <w:rFonts w:ascii="Times New Roman" w:hAnsi="Times New Roman" w:cs="Times New Roman"/>
          <w:sz w:val="24"/>
          <w:szCs w:val="24"/>
        </w:rPr>
        <w:t>, SG(r) and SS(r) are the shares of private consumption, public consumption and net savings in net national product (NNP) for region r;</w:t>
      </w:r>
    </w:p>
    <w:p w:rsidR="00C335E8" w:rsidRDefault="00C335E8" w:rsidP="00C335E8">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dppriv(r), dpgov(r) and dpsave(r) are percentage changes in </w:t>
      </w:r>
      <w:r w:rsidR="00D50BF9">
        <w:rPr>
          <w:rFonts w:ascii="Times New Roman" w:hAnsi="Times New Roman" w:cs="Times New Roman"/>
          <w:sz w:val="24"/>
          <w:szCs w:val="24"/>
        </w:rPr>
        <w:t xml:space="preserve">variables that govern region r’s preferences between private consumption, public consumption and </w:t>
      </w:r>
      <w:r w:rsidR="00226134">
        <w:rPr>
          <w:rFonts w:ascii="Times New Roman" w:hAnsi="Times New Roman" w:cs="Times New Roman"/>
          <w:sz w:val="24"/>
          <w:szCs w:val="24"/>
        </w:rPr>
        <w:t xml:space="preserve">net </w:t>
      </w:r>
      <w:r w:rsidR="00D50BF9">
        <w:rPr>
          <w:rFonts w:ascii="Times New Roman" w:hAnsi="Times New Roman" w:cs="Times New Roman"/>
          <w:sz w:val="24"/>
          <w:szCs w:val="24"/>
        </w:rPr>
        <w:t>saving</w:t>
      </w:r>
      <w:r w:rsidR="00226134">
        <w:rPr>
          <w:rFonts w:ascii="Times New Roman" w:hAnsi="Times New Roman" w:cs="Times New Roman"/>
          <w:sz w:val="24"/>
          <w:szCs w:val="24"/>
        </w:rPr>
        <w:t>s</w:t>
      </w:r>
      <w:r w:rsidR="00D50BF9">
        <w:rPr>
          <w:rFonts w:ascii="Times New Roman" w:hAnsi="Times New Roman" w:cs="Times New Roman"/>
          <w:sz w:val="24"/>
          <w:szCs w:val="24"/>
        </w:rPr>
        <w:t xml:space="preserve">; </w:t>
      </w:r>
    </w:p>
    <w:p w:rsidR="00D50BF9" w:rsidRDefault="00D50BF9" w:rsidP="00C335E8">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dpav(r) is the average of the percentage changes in the preference variables;</w:t>
      </w:r>
    </w:p>
    <w:p w:rsidR="00D50BF9" w:rsidRDefault="00D50BF9" w:rsidP="00C335E8">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uelas(r) is the percentage change in NNP in region r required to generate a one per cent increase in r’s utility;</w:t>
      </w:r>
    </w:p>
    <w:p w:rsidR="00D50BF9" w:rsidRDefault="00D50BF9" w:rsidP="00D50BF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uepriv(r) is the percentage change in private consumption expenditure </w:t>
      </w:r>
      <w:r w:rsidR="00226134">
        <w:rPr>
          <w:rFonts w:ascii="Times New Roman" w:hAnsi="Times New Roman" w:cs="Times New Roman"/>
          <w:sz w:val="24"/>
          <w:szCs w:val="24"/>
        </w:rPr>
        <w:t>i</w:t>
      </w:r>
      <w:r>
        <w:rPr>
          <w:rFonts w:ascii="Times New Roman" w:hAnsi="Times New Roman" w:cs="Times New Roman"/>
          <w:sz w:val="24"/>
          <w:szCs w:val="24"/>
        </w:rPr>
        <w:t>n region r required to generate a one per cent increase in r’s utility</w:t>
      </w:r>
      <w:r w:rsidR="00226134">
        <w:rPr>
          <w:rFonts w:ascii="Times New Roman" w:hAnsi="Times New Roman" w:cs="Times New Roman"/>
          <w:sz w:val="24"/>
          <w:szCs w:val="24"/>
        </w:rPr>
        <w:t xml:space="preserve"> derived from private consumption</w:t>
      </w:r>
      <w:r>
        <w:rPr>
          <w:rFonts w:ascii="Times New Roman" w:hAnsi="Times New Roman" w:cs="Times New Roman"/>
          <w:sz w:val="24"/>
          <w:szCs w:val="24"/>
        </w:rPr>
        <w:t>;</w:t>
      </w:r>
      <w:r w:rsidR="00226134">
        <w:rPr>
          <w:rFonts w:ascii="Times New Roman" w:hAnsi="Times New Roman" w:cs="Times New Roman"/>
          <w:sz w:val="24"/>
          <w:szCs w:val="24"/>
        </w:rPr>
        <w:t xml:space="preserve"> </w:t>
      </w:r>
    </w:p>
    <w:p w:rsidR="00226134" w:rsidRDefault="00226134" w:rsidP="00D50BF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yp(r), yg(r) and vsave(r) are the percentage changes in the values of private consumption, public consumption and net savings in region r;</w:t>
      </w:r>
    </w:p>
    <w:p w:rsidR="001B27B6" w:rsidRDefault="001B27B6" w:rsidP="00D50BF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cr(r) and gr(r) are the percentage changes in real private and public consumption while f_crgr(r) is the percentage change in the ratio of real private to real public consumption;</w:t>
      </w:r>
    </w:p>
    <w:p w:rsidR="00226134" w:rsidRDefault="00226134" w:rsidP="00D50BF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y(r) is the percentage change in r’s NNP;</w:t>
      </w:r>
    </w:p>
    <w:p w:rsidR="00C20CE3" w:rsidRDefault="00226134" w:rsidP="00D50BF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pp(i,r) and qp(i,r) are percentage changes in </w:t>
      </w:r>
      <w:r w:rsidR="00F551AD">
        <w:rPr>
          <w:rFonts w:ascii="Times New Roman" w:hAnsi="Times New Roman" w:cs="Times New Roman"/>
          <w:sz w:val="24"/>
          <w:szCs w:val="24"/>
        </w:rPr>
        <w:t xml:space="preserve">the price and quantity of </w:t>
      </w:r>
      <w:r>
        <w:rPr>
          <w:rFonts w:ascii="Times New Roman" w:hAnsi="Times New Roman" w:cs="Times New Roman"/>
          <w:sz w:val="24"/>
          <w:szCs w:val="24"/>
        </w:rPr>
        <w:t xml:space="preserve">private consumption of commodity i in region r; </w:t>
      </w:r>
    </w:p>
    <w:p w:rsidR="00226134" w:rsidRDefault="00C20CE3" w:rsidP="00D50BF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f_uepriv(r) is </w:t>
      </w:r>
      <w:r w:rsidR="004E69E1">
        <w:rPr>
          <w:rFonts w:ascii="Times New Roman" w:hAnsi="Times New Roman" w:cs="Times New Roman"/>
          <w:sz w:val="24"/>
          <w:szCs w:val="24"/>
        </w:rPr>
        <w:t xml:space="preserve">the critical </w:t>
      </w:r>
      <w:r>
        <w:rPr>
          <w:rFonts w:ascii="Times New Roman" w:hAnsi="Times New Roman" w:cs="Times New Roman"/>
          <w:sz w:val="24"/>
          <w:szCs w:val="24"/>
        </w:rPr>
        <w:t>shift var</w:t>
      </w:r>
      <w:r w:rsidR="004E69E1">
        <w:rPr>
          <w:rFonts w:ascii="Times New Roman" w:hAnsi="Times New Roman" w:cs="Times New Roman"/>
          <w:sz w:val="24"/>
          <w:szCs w:val="24"/>
        </w:rPr>
        <w:t>i</w:t>
      </w:r>
      <w:r>
        <w:rPr>
          <w:rFonts w:ascii="Times New Roman" w:hAnsi="Times New Roman" w:cs="Times New Roman"/>
          <w:sz w:val="24"/>
          <w:szCs w:val="24"/>
        </w:rPr>
        <w:t xml:space="preserve">able </w:t>
      </w:r>
      <w:r w:rsidR="004E69E1">
        <w:rPr>
          <w:rFonts w:ascii="Times New Roman" w:hAnsi="Times New Roman" w:cs="Times New Roman"/>
          <w:sz w:val="24"/>
          <w:szCs w:val="24"/>
        </w:rPr>
        <w:t xml:space="preserve">mentioned above </w:t>
      </w:r>
      <w:r>
        <w:rPr>
          <w:rFonts w:ascii="Times New Roman" w:hAnsi="Times New Roman" w:cs="Times New Roman"/>
          <w:sz w:val="24"/>
          <w:szCs w:val="24"/>
        </w:rPr>
        <w:t>that allows exogenization of uepriv(r), that is allows (</w:t>
      </w:r>
      <w:r w:rsidR="001E7560">
        <w:rPr>
          <w:rFonts w:ascii="Times New Roman" w:hAnsi="Times New Roman" w:cs="Times New Roman"/>
          <w:sz w:val="24"/>
          <w:szCs w:val="24"/>
        </w:rPr>
        <w:t>2.7.6</w:t>
      </w:r>
      <w:r>
        <w:rPr>
          <w:rFonts w:ascii="Times New Roman" w:hAnsi="Times New Roman" w:cs="Times New Roman"/>
          <w:sz w:val="24"/>
          <w:szCs w:val="24"/>
        </w:rPr>
        <w:t xml:space="preserve">) to be turned off; </w:t>
      </w:r>
      <w:r w:rsidR="00226134">
        <w:rPr>
          <w:rFonts w:ascii="Times New Roman" w:hAnsi="Times New Roman" w:cs="Times New Roman"/>
          <w:sz w:val="24"/>
          <w:szCs w:val="24"/>
        </w:rPr>
        <w:t>and</w:t>
      </w:r>
    </w:p>
    <w:p w:rsidR="00C20CE3" w:rsidRDefault="00226134" w:rsidP="00C335E8">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XWCONSHR(i,r) is a modified share of r’s private consumption accounted for by commodity i.  </w:t>
      </w:r>
      <w:r w:rsidR="00C20CE3">
        <w:rPr>
          <w:rFonts w:ascii="Times New Roman" w:hAnsi="Times New Roman" w:cs="Times New Roman"/>
          <w:sz w:val="24"/>
          <w:szCs w:val="24"/>
        </w:rPr>
        <w:t>If a Cobb Douglas utility function is assumed for r’s private consumption, then this is simply the unmodified share of commodity i in r’s consumption.  In standard GTAP</w:t>
      </w:r>
      <w:r w:rsidR="00C04674">
        <w:rPr>
          <w:rFonts w:ascii="Times New Roman" w:hAnsi="Times New Roman" w:cs="Times New Roman"/>
          <w:sz w:val="24"/>
          <w:szCs w:val="24"/>
        </w:rPr>
        <w:t>,</w:t>
      </w:r>
      <w:r w:rsidR="00C20CE3">
        <w:rPr>
          <w:rFonts w:ascii="Times New Roman" w:hAnsi="Times New Roman" w:cs="Times New Roman"/>
          <w:sz w:val="24"/>
          <w:szCs w:val="24"/>
        </w:rPr>
        <w:t xml:space="preserve"> modifications are made in accordance with a CDE specification of preferences</w:t>
      </w:r>
      <w:r w:rsidR="004E69E1">
        <w:rPr>
          <w:rFonts w:ascii="Times New Roman" w:hAnsi="Times New Roman" w:cs="Times New Roman"/>
          <w:sz w:val="24"/>
          <w:szCs w:val="24"/>
        </w:rPr>
        <w:t xml:space="preserve"> </w:t>
      </w:r>
      <w:r w:rsidR="00515399">
        <w:rPr>
          <w:rFonts w:ascii="Times New Roman" w:hAnsi="Times New Roman" w:cs="Times New Roman"/>
          <w:sz w:val="24"/>
          <w:szCs w:val="24"/>
        </w:rPr>
        <w:t xml:space="preserve">(see for example, Corong </w:t>
      </w:r>
      <w:r w:rsidR="00515399">
        <w:rPr>
          <w:rFonts w:ascii="Times New Roman" w:hAnsi="Times New Roman" w:cs="Times New Roman"/>
          <w:i/>
          <w:sz w:val="24"/>
          <w:szCs w:val="24"/>
        </w:rPr>
        <w:t>et al.</w:t>
      </w:r>
      <w:r w:rsidR="00515399">
        <w:rPr>
          <w:rFonts w:ascii="Times New Roman" w:hAnsi="Times New Roman" w:cs="Times New Roman"/>
          <w:sz w:val="24"/>
          <w:szCs w:val="24"/>
        </w:rPr>
        <w:t>, section 3.5, 2017)</w:t>
      </w:r>
      <w:r w:rsidR="00C20CE3">
        <w:rPr>
          <w:rFonts w:ascii="Times New Roman" w:hAnsi="Times New Roman" w:cs="Times New Roman"/>
          <w:sz w:val="24"/>
          <w:szCs w:val="24"/>
        </w:rPr>
        <w:t xml:space="preserve">.  However, the nature of these modifications is of no importance here.  As explained below, we </w:t>
      </w:r>
      <w:r w:rsidR="00C04674">
        <w:rPr>
          <w:rFonts w:ascii="Times New Roman" w:hAnsi="Times New Roman" w:cs="Times New Roman"/>
          <w:sz w:val="24"/>
          <w:szCs w:val="24"/>
        </w:rPr>
        <w:t xml:space="preserve">exogenize </w:t>
      </w:r>
      <w:r w:rsidR="00C20CE3">
        <w:rPr>
          <w:rFonts w:ascii="Times New Roman" w:hAnsi="Times New Roman" w:cs="Times New Roman"/>
          <w:sz w:val="24"/>
          <w:szCs w:val="24"/>
        </w:rPr>
        <w:t xml:space="preserve">uepriv(r) so that XWCONSHR(i,r) has no role in our simulation results.  </w:t>
      </w:r>
    </w:p>
    <w:p w:rsidR="00C20CE3" w:rsidRDefault="00515399" w:rsidP="00515399">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It is </w:t>
      </w:r>
      <w:r w:rsidR="004B28C4">
        <w:rPr>
          <w:rFonts w:ascii="Times New Roman" w:hAnsi="Times New Roman" w:cs="Times New Roman"/>
          <w:sz w:val="24"/>
          <w:szCs w:val="24"/>
        </w:rPr>
        <w:t xml:space="preserve">reassuring to note that despite the complications of uepriv(r), uelas(r) etc, equations </w:t>
      </w:r>
      <w:r>
        <w:rPr>
          <w:rFonts w:ascii="Times New Roman" w:hAnsi="Times New Roman" w:cs="Times New Roman"/>
          <w:sz w:val="24"/>
          <w:szCs w:val="24"/>
        </w:rPr>
        <w:t>(</w:t>
      </w:r>
      <w:r w:rsidR="001E7560">
        <w:rPr>
          <w:rFonts w:ascii="Times New Roman" w:hAnsi="Times New Roman" w:cs="Times New Roman"/>
          <w:sz w:val="24"/>
          <w:szCs w:val="24"/>
        </w:rPr>
        <w:t>2.7.1</w:t>
      </w:r>
      <w:r>
        <w:rPr>
          <w:rFonts w:ascii="Times New Roman" w:hAnsi="Times New Roman" w:cs="Times New Roman"/>
          <w:sz w:val="24"/>
          <w:szCs w:val="24"/>
        </w:rPr>
        <w:t>) to (</w:t>
      </w:r>
      <w:r w:rsidR="001E7560">
        <w:rPr>
          <w:rFonts w:ascii="Times New Roman" w:hAnsi="Times New Roman" w:cs="Times New Roman"/>
          <w:sz w:val="24"/>
          <w:szCs w:val="24"/>
        </w:rPr>
        <w:t>2.7.5</w:t>
      </w:r>
      <w:r>
        <w:rPr>
          <w:rFonts w:ascii="Times New Roman" w:hAnsi="Times New Roman" w:cs="Times New Roman"/>
          <w:sz w:val="24"/>
          <w:szCs w:val="24"/>
        </w:rPr>
        <w:t xml:space="preserve">) imply that </w:t>
      </w:r>
    </w:p>
    <w:p w:rsidR="00515399" w:rsidRDefault="00D50BF9" w:rsidP="00515399">
      <w:pPr>
        <w:tabs>
          <w:tab w:val="left" w:pos="709"/>
          <w:tab w:val="right" w:pos="8789"/>
        </w:tabs>
        <w:spacing w:before="120" w:after="0" w:line="240" w:lineRule="auto"/>
        <w:rPr>
          <w:rFonts w:ascii="Times New Roman" w:hAnsi="Times New Roman" w:cs="Times New Roman"/>
        </w:rPr>
      </w:pPr>
      <w:r>
        <w:rPr>
          <w:rFonts w:ascii="Times New Roman" w:hAnsi="Times New Roman" w:cs="Times New Roman"/>
          <w:sz w:val="24"/>
          <w:szCs w:val="24"/>
        </w:rPr>
        <w:t xml:space="preserve"> </w:t>
      </w:r>
      <w:r w:rsidR="00515399">
        <w:rPr>
          <w:rFonts w:ascii="Times New Roman" w:hAnsi="Times New Roman" w:cs="Times New Roman"/>
          <w:sz w:val="24"/>
          <w:szCs w:val="24"/>
        </w:rPr>
        <w:tab/>
      </w:r>
      <w:r w:rsidR="00515399" w:rsidRPr="00094F59">
        <w:rPr>
          <w:rFonts w:ascii="Times New Roman" w:hAnsi="Times New Roman" w:cs="Times New Roman"/>
          <w:position w:val="-10"/>
        </w:rPr>
        <w:object w:dxaOrig="5040" w:dyaOrig="320">
          <v:shape id="_x0000_i1066" type="#_x0000_t75" style="width:252.3pt;height:16.3pt" o:ole="">
            <v:imagedata r:id="rId91" o:title=""/>
          </v:shape>
          <o:OLEObject Type="Embed" ProgID="Equation.DSMT4" ShapeID="_x0000_i1066" DrawAspect="Content" ObjectID="_1616394686" r:id="rId92"/>
        </w:object>
      </w:r>
      <w:r w:rsidR="00515399">
        <w:rPr>
          <w:rFonts w:ascii="Times New Roman" w:hAnsi="Times New Roman" w:cs="Times New Roman"/>
        </w:rPr>
        <w:tab/>
      </w:r>
      <w:r w:rsidR="00515399" w:rsidRPr="001E7560">
        <w:rPr>
          <w:rFonts w:ascii="Times New Roman" w:hAnsi="Times New Roman" w:cs="Times New Roman"/>
          <w:sz w:val="24"/>
          <w:szCs w:val="24"/>
        </w:rPr>
        <w:t>(</w:t>
      </w:r>
      <w:r w:rsidR="001E7560" w:rsidRPr="001E7560">
        <w:rPr>
          <w:rFonts w:ascii="Times New Roman" w:hAnsi="Times New Roman" w:cs="Times New Roman"/>
          <w:sz w:val="24"/>
          <w:szCs w:val="24"/>
        </w:rPr>
        <w:t>2.7.8</w:t>
      </w:r>
      <w:r w:rsidR="00515399" w:rsidRPr="001E7560">
        <w:rPr>
          <w:rFonts w:ascii="Times New Roman" w:hAnsi="Times New Roman" w:cs="Times New Roman"/>
          <w:sz w:val="24"/>
          <w:szCs w:val="24"/>
        </w:rPr>
        <w:t>)</w:t>
      </w:r>
    </w:p>
    <w:p w:rsidR="00D50BF9" w:rsidRDefault="00515399" w:rsidP="00515399">
      <w:pPr>
        <w:spacing w:after="0" w:line="240" w:lineRule="auto"/>
        <w:rPr>
          <w:rFonts w:ascii="Times New Roman" w:hAnsi="Times New Roman" w:cs="Times New Roman"/>
          <w:sz w:val="24"/>
          <w:szCs w:val="24"/>
        </w:rPr>
      </w:pPr>
      <w:r>
        <w:rPr>
          <w:rFonts w:ascii="Times New Roman" w:hAnsi="Times New Roman" w:cs="Times New Roman"/>
          <w:sz w:val="24"/>
          <w:szCs w:val="24"/>
        </w:rPr>
        <w:t>Equation (</w:t>
      </w:r>
      <w:r w:rsidR="001E7560">
        <w:rPr>
          <w:rFonts w:ascii="Times New Roman" w:hAnsi="Times New Roman" w:cs="Times New Roman"/>
          <w:sz w:val="24"/>
          <w:szCs w:val="24"/>
        </w:rPr>
        <w:t>2.7.8</w:t>
      </w:r>
      <w:r>
        <w:rPr>
          <w:rFonts w:ascii="Times New Roman" w:hAnsi="Times New Roman" w:cs="Times New Roman"/>
          <w:sz w:val="24"/>
          <w:szCs w:val="24"/>
        </w:rPr>
        <w:t>) can be derived by</w:t>
      </w:r>
      <w:r w:rsidR="004B28C4">
        <w:rPr>
          <w:rFonts w:ascii="Times New Roman" w:hAnsi="Times New Roman" w:cs="Times New Roman"/>
          <w:sz w:val="24"/>
          <w:szCs w:val="24"/>
        </w:rPr>
        <w:t>:</w:t>
      </w:r>
      <w:r>
        <w:rPr>
          <w:rFonts w:ascii="Times New Roman" w:hAnsi="Times New Roman" w:cs="Times New Roman"/>
          <w:sz w:val="24"/>
          <w:szCs w:val="24"/>
        </w:rPr>
        <w:t xml:space="preserve"> multiplying (</w:t>
      </w:r>
      <w:r w:rsidR="001E7560">
        <w:rPr>
          <w:rFonts w:ascii="Times New Roman" w:hAnsi="Times New Roman" w:cs="Times New Roman"/>
          <w:sz w:val="24"/>
          <w:szCs w:val="24"/>
        </w:rPr>
        <w:t>2.7.3</w:t>
      </w:r>
      <w:r>
        <w:rPr>
          <w:rFonts w:ascii="Times New Roman" w:hAnsi="Times New Roman" w:cs="Times New Roman"/>
          <w:sz w:val="24"/>
          <w:szCs w:val="24"/>
        </w:rPr>
        <w:t>), (</w:t>
      </w:r>
      <w:r w:rsidR="001E7560">
        <w:rPr>
          <w:rFonts w:ascii="Times New Roman" w:hAnsi="Times New Roman" w:cs="Times New Roman"/>
          <w:sz w:val="24"/>
          <w:szCs w:val="24"/>
        </w:rPr>
        <w:t>2.7.4</w:t>
      </w:r>
      <w:r>
        <w:rPr>
          <w:rFonts w:ascii="Times New Roman" w:hAnsi="Times New Roman" w:cs="Times New Roman"/>
          <w:sz w:val="24"/>
          <w:szCs w:val="24"/>
        </w:rPr>
        <w:t>) and (</w:t>
      </w:r>
      <w:r w:rsidR="001E7560">
        <w:rPr>
          <w:rFonts w:ascii="Times New Roman" w:hAnsi="Times New Roman" w:cs="Times New Roman"/>
          <w:sz w:val="24"/>
          <w:szCs w:val="24"/>
        </w:rPr>
        <w:t>2.7.5</w:t>
      </w:r>
      <w:r>
        <w:rPr>
          <w:rFonts w:ascii="Times New Roman" w:hAnsi="Times New Roman" w:cs="Times New Roman"/>
          <w:sz w:val="24"/>
          <w:szCs w:val="24"/>
        </w:rPr>
        <w:t xml:space="preserve">) through </w:t>
      </w:r>
      <w:r w:rsidR="004B28C4">
        <w:rPr>
          <w:rFonts w:ascii="Times New Roman" w:hAnsi="Times New Roman" w:cs="Times New Roman"/>
          <w:sz w:val="24"/>
          <w:szCs w:val="24"/>
        </w:rPr>
        <w:t>b</w:t>
      </w:r>
      <w:r>
        <w:rPr>
          <w:rFonts w:ascii="Times New Roman" w:hAnsi="Times New Roman" w:cs="Times New Roman"/>
          <w:sz w:val="24"/>
          <w:szCs w:val="24"/>
        </w:rPr>
        <w:t>y SP(r), SG(r) and SS(r)</w:t>
      </w:r>
      <w:r w:rsidR="004B28C4">
        <w:rPr>
          <w:rFonts w:ascii="Times New Roman" w:hAnsi="Times New Roman" w:cs="Times New Roman"/>
          <w:sz w:val="24"/>
          <w:szCs w:val="24"/>
        </w:rPr>
        <w:t>;</w:t>
      </w:r>
      <w:r>
        <w:rPr>
          <w:rFonts w:ascii="Times New Roman" w:hAnsi="Times New Roman" w:cs="Times New Roman"/>
          <w:sz w:val="24"/>
          <w:szCs w:val="24"/>
        </w:rPr>
        <w:t xml:space="preserve"> adding the three equa</w:t>
      </w:r>
      <w:r w:rsidR="004B28C4">
        <w:rPr>
          <w:rFonts w:ascii="Times New Roman" w:hAnsi="Times New Roman" w:cs="Times New Roman"/>
          <w:sz w:val="24"/>
          <w:szCs w:val="24"/>
        </w:rPr>
        <w:t>t</w:t>
      </w:r>
      <w:r>
        <w:rPr>
          <w:rFonts w:ascii="Times New Roman" w:hAnsi="Times New Roman" w:cs="Times New Roman"/>
          <w:sz w:val="24"/>
          <w:szCs w:val="24"/>
        </w:rPr>
        <w:t>ions</w:t>
      </w:r>
      <w:r w:rsidR="004B28C4">
        <w:rPr>
          <w:rFonts w:ascii="Times New Roman" w:hAnsi="Times New Roman" w:cs="Times New Roman"/>
          <w:sz w:val="24"/>
          <w:szCs w:val="24"/>
        </w:rPr>
        <w:t>;</w:t>
      </w:r>
      <w:r>
        <w:rPr>
          <w:rFonts w:ascii="Times New Roman" w:hAnsi="Times New Roman" w:cs="Times New Roman"/>
          <w:sz w:val="24"/>
          <w:szCs w:val="24"/>
        </w:rPr>
        <w:t xml:space="preserve"> and </w:t>
      </w:r>
      <w:r w:rsidR="004B28C4">
        <w:rPr>
          <w:rFonts w:ascii="Times New Roman" w:hAnsi="Times New Roman" w:cs="Times New Roman"/>
          <w:sz w:val="24"/>
          <w:szCs w:val="24"/>
        </w:rPr>
        <w:t>then</w:t>
      </w:r>
      <w:r>
        <w:rPr>
          <w:rFonts w:ascii="Times New Roman" w:hAnsi="Times New Roman" w:cs="Times New Roman"/>
          <w:sz w:val="24"/>
          <w:szCs w:val="24"/>
        </w:rPr>
        <w:t xml:space="preserve"> using (</w:t>
      </w:r>
      <w:r w:rsidR="001E7560">
        <w:rPr>
          <w:rFonts w:ascii="Times New Roman" w:hAnsi="Times New Roman" w:cs="Times New Roman"/>
          <w:sz w:val="24"/>
          <w:szCs w:val="24"/>
        </w:rPr>
        <w:t>2.7.1</w:t>
      </w:r>
      <w:r>
        <w:rPr>
          <w:rFonts w:ascii="Times New Roman" w:hAnsi="Times New Roman" w:cs="Times New Roman"/>
          <w:sz w:val="24"/>
          <w:szCs w:val="24"/>
        </w:rPr>
        <w:t>) and (</w:t>
      </w:r>
      <w:r w:rsidR="001E7560">
        <w:rPr>
          <w:rFonts w:ascii="Times New Roman" w:hAnsi="Times New Roman" w:cs="Times New Roman"/>
          <w:sz w:val="24"/>
          <w:szCs w:val="24"/>
        </w:rPr>
        <w:t>2.7.2</w:t>
      </w:r>
      <w:r>
        <w:rPr>
          <w:rFonts w:ascii="Times New Roman" w:hAnsi="Times New Roman" w:cs="Times New Roman"/>
          <w:sz w:val="24"/>
          <w:szCs w:val="24"/>
        </w:rPr>
        <w:t>)</w:t>
      </w:r>
      <w:r w:rsidR="004B28C4">
        <w:rPr>
          <w:rFonts w:ascii="Times New Roman" w:hAnsi="Times New Roman" w:cs="Times New Roman"/>
          <w:sz w:val="24"/>
          <w:szCs w:val="24"/>
        </w:rPr>
        <w:t xml:space="preserve">.  </w:t>
      </w:r>
    </w:p>
    <w:p w:rsidR="00C335E8" w:rsidRDefault="004B28C4" w:rsidP="004B28C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To eliminate the effects of uepriv(r), uelas(r) etc, and to conduct simulations in which NNP for region r is split in </w:t>
      </w:r>
      <w:r w:rsidR="001B27B6">
        <w:rPr>
          <w:rFonts w:ascii="Times New Roman" w:hAnsi="Times New Roman" w:cs="Times New Roman"/>
          <w:sz w:val="24"/>
          <w:szCs w:val="24"/>
        </w:rPr>
        <w:t>exogenous</w:t>
      </w:r>
      <w:r>
        <w:rPr>
          <w:rFonts w:ascii="Times New Roman" w:hAnsi="Times New Roman" w:cs="Times New Roman"/>
          <w:sz w:val="24"/>
          <w:szCs w:val="24"/>
        </w:rPr>
        <w:t xml:space="preserve"> shares between</w:t>
      </w:r>
      <w:r w:rsidR="001B27B6">
        <w:rPr>
          <w:rFonts w:ascii="Times New Roman" w:hAnsi="Times New Roman" w:cs="Times New Roman"/>
          <w:sz w:val="24"/>
          <w:szCs w:val="24"/>
        </w:rPr>
        <w:t xml:space="preserve"> saving and consumption while the ratio of real private and public consumption is </w:t>
      </w:r>
      <w:r w:rsidR="00280A5F">
        <w:rPr>
          <w:rFonts w:ascii="Times New Roman" w:hAnsi="Times New Roman" w:cs="Times New Roman"/>
          <w:sz w:val="24"/>
          <w:szCs w:val="24"/>
        </w:rPr>
        <w:t>also e</w:t>
      </w:r>
      <w:r w:rsidR="001B27B6">
        <w:rPr>
          <w:rFonts w:ascii="Times New Roman" w:hAnsi="Times New Roman" w:cs="Times New Roman"/>
          <w:sz w:val="24"/>
          <w:szCs w:val="24"/>
        </w:rPr>
        <w:t>xogenous</w:t>
      </w:r>
      <w:r w:rsidR="00280A5F">
        <w:rPr>
          <w:rFonts w:ascii="Times New Roman" w:hAnsi="Times New Roman" w:cs="Times New Roman"/>
          <w:sz w:val="24"/>
          <w:szCs w:val="24"/>
        </w:rPr>
        <w:t>,</w:t>
      </w:r>
      <w:r w:rsidR="001B27B6">
        <w:rPr>
          <w:rFonts w:ascii="Times New Roman" w:hAnsi="Times New Roman" w:cs="Times New Roman"/>
          <w:sz w:val="24"/>
          <w:szCs w:val="24"/>
        </w:rPr>
        <w:t xml:space="preserve"> </w:t>
      </w:r>
      <w:r>
        <w:rPr>
          <w:rFonts w:ascii="Times New Roman" w:hAnsi="Times New Roman" w:cs="Times New Roman"/>
          <w:sz w:val="24"/>
          <w:szCs w:val="24"/>
        </w:rPr>
        <w:t>we:</w:t>
      </w:r>
    </w:p>
    <w:p w:rsidR="004B28C4" w:rsidRDefault="004B28C4" w:rsidP="00C46A92">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endogenize f_uepriv(r) allowing us to fix uepriv(r) exogenously on zero; </w:t>
      </w:r>
      <w:r w:rsidR="00A54184">
        <w:rPr>
          <w:rFonts w:ascii="Times New Roman" w:hAnsi="Times New Roman" w:cs="Times New Roman"/>
          <w:sz w:val="24"/>
          <w:szCs w:val="24"/>
        </w:rPr>
        <w:t xml:space="preserve">and </w:t>
      </w:r>
    </w:p>
    <w:p w:rsidR="001B27B6" w:rsidRDefault="004B28C4" w:rsidP="00C46A92">
      <w:pPr>
        <w:pStyle w:val="ListParagraph"/>
        <w:numPr>
          <w:ilvl w:val="0"/>
          <w:numId w:val="1"/>
        </w:numPr>
        <w:spacing w:before="120" w:after="0" w:line="240" w:lineRule="auto"/>
        <w:rPr>
          <w:rFonts w:ascii="Times New Roman" w:hAnsi="Times New Roman" w:cs="Times New Roman"/>
          <w:sz w:val="24"/>
          <w:szCs w:val="24"/>
        </w:rPr>
      </w:pPr>
      <w:r w:rsidRPr="00A54184">
        <w:rPr>
          <w:rFonts w:ascii="Times New Roman" w:hAnsi="Times New Roman" w:cs="Times New Roman"/>
          <w:sz w:val="24"/>
          <w:szCs w:val="24"/>
        </w:rPr>
        <w:t>exogenize dpsave(r)</w:t>
      </w:r>
      <w:r w:rsidR="00A54184">
        <w:rPr>
          <w:rFonts w:ascii="Times New Roman" w:hAnsi="Times New Roman" w:cs="Times New Roman"/>
          <w:sz w:val="24"/>
          <w:szCs w:val="24"/>
        </w:rPr>
        <w:t>,</w:t>
      </w:r>
      <w:r w:rsidR="001B27B6" w:rsidRPr="00A54184">
        <w:rPr>
          <w:rFonts w:ascii="Times New Roman" w:hAnsi="Times New Roman" w:cs="Times New Roman"/>
          <w:sz w:val="24"/>
          <w:szCs w:val="24"/>
        </w:rPr>
        <w:t xml:space="preserve"> f_crgr(r)</w:t>
      </w:r>
      <w:r w:rsidR="00A54184" w:rsidRPr="00A54184">
        <w:rPr>
          <w:rFonts w:ascii="Times New Roman" w:hAnsi="Times New Roman" w:cs="Times New Roman"/>
          <w:sz w:val="24"/>
          <w:szCs w:val="24"/>
        </w:rPr>
        <w:t xml:space="preserve"> and dpav(r)</w:t>
      </w:r>
      <w:r w:rsidR="001B27B6" w:rsidRPr="00A54184">
        <w:rPr>
          <w:rFonts w:ascii="Times New Roman" w:hAnsi="Times New Roman" w:cs="Times New Roman"/>
          <w:sz w:val="24"/>
          <w:szCs w:val="24"/>
        </w:rPr>
        <w:t>.</w:t>
      </w:r>
    </w:p>
    <w:p w:rsidR="00A54184" w:rsidRDefault="00A54184" w:rsidP="00A54184">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To see how this works we can consider the special case in which </w:t>
      </w:r>
      <w:r w:rsidRPr="00A54184">
        <w:rPr>
          <w:rFonts w:ascii="Times New Roman" w:hAnsi="Times New Roman" w:cs="Times New Roman"/>
          <w:sz w:val="24"/>
          <w:szCs w:val="24"/>
        </w:rPr>
        <w:t>dpsave(r)</w:t>
      </w:r>
      <w:r>
        <w:rPr>
          <w:rFonts w:ascii="Times New Roman" w:hAnsi="Times New Roman" w:cs="Times New Roman"/>
          <w:sz w:val="24"/>
          <w:szCs w:val="24"/>
        </w:rPr>
        <w:t>,</w:t>
      </w:r>
      <w:r w:rsidRPr="00A54184">
        <w:rPr>
          <w:rFonts w:ascii="Times New Roman" w:hAnsi="Times New Roman" w:cs="Times New Roman"/>
          <w:sz w:val="24"/>
          <w:szCs w:val="24"/>
        </w:rPr>
        <w:t xml:space="preserve"> f_crgr(r) and dpav(r)</w:t>
      </w:r>
      <w:r>
        <w:rPr>
          <w:rFonts w:ascii="Times New Roman" w:hAnsi="Times New Roman" w:cs="Times New Roman"/>
          <w:sz w:val="24"/>
          <w:szCs w:val="24"/>
        </w:rPr>
        <w:t xml:space="preserve"> are set on zero.  With uepriv(r) also set on zero, (</w:t>
      </w:r>
      <w:r w:rsidR="001E7560">
        <w:rPr>
          <w:rFonts w:ascii="Times New Roman" w:hAnsi="Times New Roman" w:cs="Times New Roman"/>
          <w:sz w:val="24"/>
          <w:szCs w:val="24"/>
        </w:rPr>
        <w:t>2.7.2</w:t>
      </w:r>
      <w:r>
        <w:rPr>
          <w:rFonts w:ascii="Times New Roman" w:hAnsi="Times New Roman" w:cs="Times New Roman"/>
          <w:sz w:val="24"/>
          <w:szCs w:val="24"/>
        </w:rPr>
        <w:t xml:space="preserve">) implies that uelas(r) equals zero.  </w:t>
      </w:r>
      <w:r w:rsidR="00375476">
        <w:rPr>
          <w:rFonts w:ascii="Times New Roman" w:hAnsi="Times New Roman" w:cs="Times New Roman"/>
          <w:sz w:val="24"/>
          <w:szCs w:val="24"/>
        </w:rPr>
        <w:t>Then (</w:t>
      </w:r>
      <w:r w:rsidR="001E7560">
        <w:rPr>
          <w:rFonts w:ascii="Times New Roman" w:hAnsi="Times New Roman" w:cs="Times New Roman"/>
          <w:sz w:val="24"/>
          <w:szCs w:val="24"/>
        </w:rPr>
        <w:t>2.7.5</w:t>
      </w:r>
      <w:r w:rsidR="00375476">
        <w:rPr>
          <w:rFonts w:ascii="Times New Roman" w:hAnsi="Times New Roman" w:cs="Times New Roman"/>
          <w:sz w:val="24"/>
          <w:szCs w:val="24"/>
        </w:rPr>
        <w:t>) ensures that the savings share in NNP is fixed.  Equations (</w:t>
      </w:r>
      <w:r w:rsidR="001E7560">
        <w:rPr>
          <w:rFonts w:ascii="Times New Roman" w:hAnsi="Times New Roman" w:cs="Times New Roman"/>
          <w:sz w:val="24"/>
          <w:szCs w:val="24"/>
        </w:rPr>
        <w:t>2.7.3</w:t>
      </w:r>
      <w:r w:rsidR="00375476">
        <w:rPr>
          <w:rFonts w:ascii="Times New Roman" w:hAnsi="Times New Roman" w:cs="Times New Roman"/>
          <w:sz w:val="24"/>
          <w:szCs w:val="24"/>
        </w:rPr>
        <w:t>), (</w:t>
      </w:r>
      <w:r w:rsidR="001E7560">
        <w:rPr>
          <w:rFonts w:ascii="Times New Roman" w:hAnsi="Times New Roman" w:cs="Times New Roman"/>
          <w:sz w:val="24"/>
          <w:szCs w:val="24"/>
        </w:rPr>
        <w:t>2.7.4</w:t>
      </w:r>
      <w:r w:rsidR="00375476">
        <w:rPr>
          <w:rFonts w:ascii="Times New Roman" w:hAnsi="Times New Roman" w:cs="Times New Roman"/>
          <w:sz w:val="24"/>
          <w:szCs w:val="24"/>
        </w:rPr>
        <w:t>) and (</w:t>
      </w:r>
      <w:r w:rsidR="001E7560">
        <w:rPr>
          <w:rFonts w:ascii="Times New Roman" w:hAnsi="Times New Roman" w:cs="Times New Roman"/>
          <w:sz w:val="24"/>
          <w:szCs w:val="24"/>
        </w:rPr>
        <w:t>2.7.1</w:t>
      </w:r>
      <w:r w:rsidR="00375476">
        <w:rPr>
          <w:rFonts w:ascii="Times New Roman" w:hAnsi="Times New Roman" w:cs="Times New Roman"/>
          <w:sz w:val="24"/>
          <w:szCs w:val="24"/>
        </w:rPr>
        <w:t xml:space="preserve">) reduce to </w:t>
      </w:r>
    </w:p>
    <w:p w:rsidR="00375476" w:rsidRPr="00094F59" w:rsidRDefault="00375476" w:rsidP="00375476">
      <w:pPr>
        <w:tabs>
          <w:tab w:val="right" w:pos="8789"/>
        </w:tabs>
        <w:spacing w:before="120" w:after="0" w:line="240" w:lineRule="auto"/>
        <w:ind w:left="284"/>
        <w:rPr>
          <w:rFonts w:ascii="Times New Roman" w:hAnsi="Times New Roman" w:cs="Times New Roman"/>
        </w:rPr>
      </w:pPr>
      <w:r w:rsidRPr="00094F59">
        <w:rPr>
          <w:rFonts w:ascii="Times New Roman" w:hAnsi="Times New Roman" w:cs="Times New Roman"/>
          <w:position w:val="-10"/>
        </w:rPr>
        <w:object w:dxaOrig="2299" w:dyaOrig="320">
          <v:shape id="_x0000_i1067" type="#_x0000_t75" style="width:115.2pt;height:16.3pt" o:ole="">
            <v:imagedata r:id="rId93" o:title=""/>
          </v:shape>
          <o:OLEObject Type="Embed" ProgID="Equation.DSMT4" ShapeID="_x0000_i1067" DrawAspect="Content" ObjectID="_1616394687" r:id="rId94"/>
        </w:object>
      </w:r>
      <w:r w:rsidRPr="00094F59">
        <w:rPr>
          <w:rFonts w:ascii="Times New Roman" w:hAnsi="Times New Roman" w:cs="Times New Roman"/>
        </w:rPr>
        <w:t xml:space="preserve"> </w:t>
      </w:r>
      <w:r w:rsidRPr="00094F59">
        <w:rPr>
          <w:rFonts w:ascii="Times New Roman" w:hAnsi="Times New Roman" w:cs="Times New Roman"/>
        </w:rPr>
        <w:tab/>
      </w:r>
      <w:r w:rsidRPr="001E7560">
        <w:rPr>
          <w:rFonts w:ascii="Times New Roman" w:hAnsi="Times New Roman" w:cs="Times New Roman"/>
          <w:sz w:val="24"/>
          <w:szCs w:val="24"/>
        </w:rPr>
        <w:t>(</w:t>
      </w:r>
      <w:r w:rsidR="001E7560" w:rsidRPr="001E7560">
        <w:rPr>
          <w:rFonts w:ascii="Times New Roman" w:hAnsi="Times New Roman" w:cs="Times New Roman"/>
          <w:sz w:val="24"/>
          <w:szCs w:val="24"/>
        </w:rPr>
        <w:t>2.7.9</w:t>
      </w:r>
      <w:r w:rsidRPr="001E7560">
        <w:rPr>
          <w:rFonts w:ascii="Times New Roman" w:hAnsi="Times New Roman" w:cs="Times New Roman"/>
          <w:sz w:val="24"/>
          <w:szCs w:val="24"/>
        </w:rPr>
        <w:t>)</w:t>
      </w:r>
    </w:p>
    <w:p w:rsidR="00375476" w:rsidRPr="001E7560" w:rsidRDefault="00375476" w:rsidP="00375476">
      <w:pPr>
        <w:tabs>
          <w:tab w:val="right" w:pos="8789"/>
        </w:tabs>
        <w:spacing w:before="120" w:after="0" w:line="240" w:lineRule="auto"/>
        <w:ind w:left="284"/>
        <w:rPr>
          <w:rFonts w:ascii="Times New Roman" w:hAnsi="Times New Roman" w:cs="Times New Roman"/>
          <w:sz w:val="24"/>
          <w:szCs w:val="24"/>
        </w:rPr>
      </w:pPr>
      <w:r w:rsidRPr="00094F59">
        <w:rPr>
          <w:rFonts w:ascii="Times New Roman" w:hAnsi="Times New Roman" w:cs="Times New Roman"/>
          <w:position w:val="-10"/>
        </w:rPr>
        <w:object w:dxaOrig="2280" w:dyaOrig="320">
          <v:shape id="_x0000_i1068" type="#_x0000_t75" style="width:114.55pt;height:16.3pt" o:ole="">
            <v:imagedata r:id="rId95" o:title=""/>
          </v:shape>
          <o:OLEObject Type="Embed" ProgID="Equation.DSMT4" ShapeID="_x0000_i1068" DrawAspect="Content" ObjectID="_1616394688" r:id="rId96"/>
        </w:object>
      </w:r>
      <w:r w:rsidRPr="00094F59">
        <w:rPr>
          <w:rFonts w:ascii="Times New Roman" w:hAnsi="Times New Roman" w:cs="Times New Roman"/>
        </w:rPr>
        <w:t xml:space="preserve"> </w:t>
      </w:r>
      <w:r w:rsidRPr="00094F59">
        <w:rPr>
          <w:rFonts w:ascii="Times New Roman" w:hAnsi="Times New Roman" w:cs="Times New Roman"/>
        </w:rPr>
        <w:tab/>
      </w:r>
      <w:r w:rsidRPr="001E7560">
        <w:rPr>
          <w:rFonts w:ascii="Times New Roman" w:hAnsi="Times New Roman" w:cs="Times New Roman"/>
          <w:sz w:val="24"/>
          <w:szCs w:val="24"/>
        </w:rPr>
        <w:t>(</w:t>
      </w:r>
      <w:r w:rsidR="001E7560" w:rsidRPr="001E7560">
        <w:rPr>
          <w:rFonts w:ascii="Times New Roman" w:hAnsi="Times New Roman" w:cs="Times New Roman"/>
          <w:sz w:val="24"/>
          <w:szCs w:val="24"/>
        </w:rPr>
        <w:t>2.7.10</w:t>
      </w:r>
      <w:r w:rsidRPr="001E7560">
        <w:rPr>
          <w:rFonts w:ascii="Times New Roman" w:hAnsi="Times New Roman" w:cs="Times New Roman"/>
          <w:sz w:val="24"/>
          <w:szCs w:val="24"/>
        </w:rPr>
        <w:t>)</w:t>
      </w:r>
    </w:p>
    <w:p w:rsidR="00375476" w:rsidRPr="001E7560" w:rsidRDefault="00375476" w:rsidP="00375476">
      <w:pPr>
        <w:tabs>
          <w:tab w:val="right" w:pos="8789"/>
        </w:tabs>
        <w:spacing w:before="120" w:after="0" w:line="240" w:lineRule="auto"/>
        <w:ind w:left="284"/>
        <w:rPr>
          <w:rFonts w:ascii="Times New Roman" w:hAnsi="Times New Roman" w:cs="Times New Roman"/>
          <w:sz w:val="24"/>
          <w:szCs w:val="24"/>
        </w:rPr>
      </w:pPr>
      <w:r w:rsidRPr="001E7560">
        <w:rPr>
          <w:rFonts w:ascii="Times New Roman" w:hAnsi="Times New Roman" w:cs="Times New Roman"/>
          <w:b/>
          <w:position w:val="-10"/>
          <w:sz w:val="24"/>
          <w:szCs w:val="24"/>
        </w:rPr>
        <w:object w:dxaOrig="3820" w:dyaOrig="320">
          <v:shape id="_x0000_i1069" type="#_x0000_t75" style="width:190.35pt;height:16.3pt" o:ole="">
            <v:imagedata r:id="rId97" o:title=""/>
          </v:shape>
          <o:OLEObject Type="Embed" ProgID="Equation.DSMT4" ShapeID="_x0000_i1069" DrawAspect="Content" ObjectID="_1616394689" r:id="rId98"/>
        </w:object>
      </w:r>
      <w:r w:rsidRPr="001E7560">
        <w:rPr>
          <w:rFonts w:ascii="Times New Roman" w:hAnsi="Times New Roman" w:cs="Times New Roman"/>
          <w:b/>
          <w:sz w:val="24"/>
          <w:szCs w:val="24"/>
        </w:rPr>
        <w:t xml:space="preserve"> </w:t>
      </w:r>
      <w:r w:rsidRPr="001E7560">
        <w:rPr>
          <w:rFonts w:ascii="Times New Roman" w:hAnsi="Times New Roman" w:cs="Times New Roman"/>
          <w:b/>
          <w:sz w:val="24"/>
          <w:szCs w:val="24"/>
        </w:rPr>
        <w:tab/>
      </w:r>
      <w:r w:rsidRPr="001E7560">
        <w:rPr>
          <w:rFonts w:ascii="Times New Roman" w:hAnsi="Times New Roman" w:cs="Times New Roman"/>
          <w:sz w:val="24"/>
          <w:szCs w:val="24"/>
        </w:rPr>
        <w:t>(</w:t>
      </w:r>
      <w:r w:rsidR="001E7560" w:rsidRPr="001E7560">
        <w:rPr>
          <w:rFonts w:ascii="Times New Roman" w:hAnsi="Times New Roman" w:cs="Times New Roman"/>
          <w:sz w:val="24"/>
          <w:szCs w:val="24"/>
        </w:rPr>
        <w:t>2.7.11</w:t>
      </w:r>
      <w:r w:rsidRPr="001E7560">
        <w:rPr>
          <w:rFonts w:ascii="Times New Roman" w:hAnsi="Times New Roman" w:cs="Times New Roman"/>
          <w:sz w:val="24"/>
          <w:szCs w:val="24"/>
        </w:rPr>
        <w:t>)</w:t>
      </w:r>
    </w:p>
    <w:p w:rsidR="00375476" w:rsidRPr="001E7560" w:rsidRDefault="00375476" w:rsidP="00A54184">
      <w:pPr>
        <w:spacing w:before="120" w:after="0" w:line="240" w:lineRule="auto"/>
        <w:rPr>
          <w:rFonts w:ascii="Times New Roman" w:hAnsi="Times New Roman" w:cs="Times New Roman"/>
          <w:sz w:val="24"/>
          <w:szCs w:val="24"/>
        </w:rPr>
      </w:pPr>
      <w:r w:rsidRPr="001E7560">
        <w:rPr>
          <w:rFonts w:ascii="Times New Roman" w:hAnsi="Times New Roman" w:cs="Times New Roman"/>
          <w:sz w:val="24"/>
          <w:szCs w:val="24"/>
        </w:rPr>
        <w:t>With f_crgr(r) exogenous on zero, the difference between yp(r) and yg(r) is determined by</w:t>
      </w:r>
    </w:p>
    <w:p w:rsidR="00375476" w:rsidRPr="001E7560" w:rsidRDefault="00375476" w:rsidP="00375476">
      <w:pPr>
        <w:tabs>
          <w:tab w:val="right" w:pos="8789"/>
        </w:tabs>
        <w:spacing w:before="120" w:after="0" w:line="240" w:lineRule="auto"/>
        <w:ind w:left="284"/>
        <w:rPr>
          <w:rFonts w:ascii="Times New Roman" w:hAnsi="Times New Roman" w:cs="Times New Roman"/>
          <w:sz w:val="24"/>
          <w:szCs w:val="24"/>
        </w:rPr>
      </w:pPr>
      <w:r w:rsidRPr="001E7560">
        <w:rPr>
          <w:rFonts w:ascii="Times New Roman" w:hAnsi="Times New Roman" w:cs="Times New Roman"/>
          <w:position w:val="-10"/>
          <w:sz w:val="24"/>
          <w:szCs w:val="24"/>
        </w:rPr>
        <w:object w:dxaOrig="3260" w:dyaOrig="320">
          <v:shape id="_x0000_i1070" type="#_x0000_t75" style="width:162.8pt;height:16.3pt" o:ole="">
            <v:imagedata r:id="rId99" o:title=""/>
          </v:shape>
          <o:OLEObject Type="Embed" ProgID="Equation.DSMT4" ShapeID="_x0000_i1070" DrawAspect="Content" ObjectID="_1616394690" r:id="rId100"/>
        </w:object>
      </w:r>
      <w:r w:rsidRPr="001E7560">
        <w:rPr>
          <w:rFonts w:ascii="Times New Roman" w:hAnsi="Times New Roman" w:cs="Times New Roman"/>
          <w:sz w:val="24"/>
          <w:szCs w:val="24"/>
        </w:rPr>
        <w:t xml:space="preserve"> </w:t>
      </w:r>
      <w:r w:rsidRPr="001E7560">
        <w:rPr>
          <w:rFonts w:ascii="Times New Roman" w:hAnsi="Times New Roman" w:cs="Times New Roman"/>
          <w:sz w:val="24"/>
          <w:szCs w:val="24"/>
        </w:rPr>
        <w:tab/>
        <w:t>(</w:t>
      </w:r>
      <w:r w:rsidR="001E7560" w:rsidRPr="001E7560">
        <w:rPr>
          <w:rFonts w:ascii="Times New Roman" w:hAnsi="Times New Roman" w:cs="Times New Roman"/>
          <w:sz w:val="24"/>
          <w:szCs w:val="24"/>
        </w:rPr>
        <w:t>2.7.12</w:t>
      </w:r>
      <w:r w:rsidRPr="001E7560">
        <w:rPr>
          <w:rFonts w:ascii="Times New Roman" w:hAnsi="Times New Roman" w:cs="Times New Roman"/>
          <w:sz w:val="24"/>
          <w:szCs w:val="24"/>
        </w:rPr>
        <w:t>)</w:t>
      </w:r>
    </w:p>
    <w:p w:rsidR="00375476" w:rsidRPr="00A54184" w:rsidRDefault="00375476" w:rsidP="00A54184">
      <w:pPr>
        <w:spacing w:before="120" w:after="0" w:line="240" w:lineRule="auto"/>
        <w:rPr>
          <w:rFonts w:ascii="Times New Roman" w:hAnsi="Times New Roman" w:cs="Times New Roman"/>
          <w:sz w:val="24"/>
          <w:szCs w:val="24"/>
        </w:rPr>
      </w:pPr>
      <w:r>
        <w:rPr>
          <w:rFonts w:ascii="Times New Roman" w:hAnsi="Times New Roman" w:cs="Times New Roman"/>
          <w:sz w:val="24"/>
          <w:szCs w:val="24"/>
        </w:rPr>
        <w:lastRenderedPageBreak/>
        <w:t>where ppriv(r) and pgov(r) are percentage changes in the price indexes for private and government consumption in region r which are determined elsewhere in the GTAP model.  Equations (</w:t>
      </w:r>
      <w:r w:rsidR="001E7560">
        <w:rPr>
          <w:rFonts w:ascii="Times New Roman" w:hAnsi="Times New Roman" w:cs="Times New Roman"/>
          <w:sz w:val="24"/>
          <w:szCs w:val="24"/>
        </w:rPr>
        <w:t>2.7.9</w:t>
      </w:r>
      <w:r>
        <w:rPr>
          <w:rFonts w:ascii="Times New Roman" w:hAnsi="Times New Roman" w:cs="Times New Roman"/>
          <w:sz w:val="24"/>
          <w:szCs w:val="24"/>
        </w:rPr>
        <w:t>) to (</w:t>
      </w:r>
      <w:r w:rsidR="001E7560">
        <w:rPr>
          <w:rFonts w:ascii="Times New Roman" w:hAnsi="Times New Roman" w:cs="Times New Roman"/>
          <w:sz w:val="24"/>
          <w:szCs w:val="24"/>
        </w:rPr>
        <w:t>2.7.12</w:t>
      </w:r>
      <w:r>
        <w:rPr>
          <w:rFonts w:ascii="Times New Roman" w:hAnsi="Times New Roman" w:cs="Times New Roman"/>
          <w:sz w:val="24"/>
          <w:szCs w:val="24"/>
        </w:rPr>
        <w:t xml:space="preserve">) give enough structure to determine movements in dppriv(r) and dpgov(r) </w:t>
      </w:r>
      <w:r w:rsidR="005C0DE5">
        <w:rPr>
          <w:rFonts w:ascii="Times New Roman" w:hAnsi="Times New Roman" w:cs="Times New Roman"/>
          <w:sz w:val="24"/>
          <w:szCs w:val="24"/>
        </w:rPr>
        <w:t xml:space="preserve">compatible with the </w:t>
      </w:r>
      <w:r>
        <w:rPr>
          <w:rFonts w:ascii="Times New Roman" w:hAnsi="Times New Roman" w:cs="Times New Roman"/>
          <w:sz w:val="24"/>
          <w:szCs w:val="24"/>
        </w:rPr>
        <w:t>fix</w:t>
      </w:r>
      <w:r w:rsidR="005C0DE5">
        <w:rPr>
          <w:rFonts w:ascii="Times New Roman" w:hAnsi="Times New Roman" w:cs="Times New Roman"/>
          <w:sz w:val="24"/>
          <w:szCs w:val="24"/>
        </w:rPr>
        <w:t>ity of</w:t>
      </w:r>
      <w:r>
        <w:rPr>
          <w:rFonts w:ascii="Times New Roman" w:hAnsi="Times New Roman" w:cs="Times New Roman"/>
          <w:sz w:val="24"/>
          <w:szCs w:val="24"/>
        </w:rPr>
        <w:t xml:space="preserve"> the ratio of real private to real government consumption in region r.  </w:t>
      </w:r>
    </w:p>
    <w:p w:rsidR="00453746" w:rsidRPr="00A26A1C" w:rsidRDefault="00453746" w:rsidP="00453746">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F76AAD">
        <w:rPr>
          <w:rFonts w:ascii="Times New Roman" w:hAnsi="Times New Roman" w:cs="Times New Roman"/>
          <w:b/>
          <w:i/>
          <w:sz w:val="24"/>
          <w:szCs w:val="24"/>
        </w:rPr>
        <w:t>8</w:t>
      </w:r>
      <w:r>
        <w:rPr>
          <w:rFonts w:ascii="Times New Roman" w:hAnsi="Times New Roman" w:cs="Times New Roman"/>
          <w:b/>
          <w:i/>
          <w:sz w:val="24"/>
          <w:szCs w:val="24"/>
        </w:rPr>
        <w:t>.  Adding the capability to simulate import/domestic preference twists</w:t>
      </w:r>
    </w:p>
    <w:p w:rsidR="002B67C0" w:rsidRDefault="000E441C" w:rsidP="00CD4C0D">
      <w:pPr>
        <w:spacing w:before="120" w:after="0" w:line="240" w:lineRule="auto"/>
        <w:rPr>
          <w:rFonts w:ascii="Times New Roman" w:hAnsi="Times New Roman" w:cs="Times New Roman"/>
          <w:sz w:val="24"/>
          <w:szCs w:val="24"/>
        </w:rPr>
      </w:pPr>
      <w:r w:rsidRPr="000E441C">
        <w:rPr>
          <w:rFonts w:ascii="Times New Roman" w:hAnsi="Times New Roman" w:cs="Times New Roman"/>
          <w:sz w:val="24"/>
          <w:szCs w:val="24"/>
        </w:rPr>
        <w:t>Standard GTAP</w:t>
      </w:r>
      <w:r>
        <w:rPr>
          <w:rFonts w:ascii="Times New Roman" w:hAnsi="Times New Roman" w:cs="Times New Roman"/>
          <w:sz w:val="24"/>
          <w:szCs w:val="24"/>
        </w:rPr>
        <w:t xml:space="preserve"> includes variables for import-saving technical change by source, ams(i,s,r).  If this variable is set at 10, then we are introducing a technology or preference change that allows all agents in </w:t>
      </w:r>
      <w:r w:rsidR="00B07444">
        <w:rPr>
          <w:rFonts w:ascii="Times New Roman" w:hAnsi="Times New Roman" w:cs="Times New Roman"/>
          <w:sz w:val="24"/>
          <w:szCs w:val="24"/>
        </w:rPr>
        <w:t>region</w:t>
      </w:r>
      <w:r>
        <w:rPr>
          <w:rFonts w:ascii="Times New Roman" w:hAnsi="Times New Roman" w:cs="Times New Roman"/>
          <w:sz w:val="24"/>
          <w:szCs w:val="24"/>
        </w:rPr>
        <w:t xml:space="preserve"> r to satisfy their input requirements or achieve any given level of utility with 10 per cent less imported good i from source </w:t>
      </w:r>
      <w:r w:rsidR="00B07444">
        <w:rPr>
          <w:rFonts w:ascii="Times New Roman" w:hAnsi="Times New Roman" w:cs="Times New Roman"/>
          <w:sz w:val="24"/>
          <w:szCs w:val="24"/>
        </w:rPr>
        <w:t>region</w:t>
      </w:r>
      <w:r>
        <w:rPr>
          <w:rFonts w:ascii="Times New Roman" w:hAnsi="Times New Roman" w:cs="Times New Roman"/>
          <w:sz w:val="24"/>
          <w:szCs w:val="24"/>
        </w:rPr>
        <w:t xml:space="preserve"> s while holding constant their purchases of all other inputs.  For GTAP-</w:t>
      </w:r>
      <w:r w:rsidR="005C0DE5">
        <w:rPr>
          <w:rFonts w:ascii="Times New Roman" w:hAnsi="Times New Roman" w:cs="Times New Roman"/>
          <w:sz w:val="24"/>
          <w:szCs w:val="24"/>
        </w:rPr>
        <w:t>MV</w:t>
      </w:r>
      <w:r>
        <w:rPr>
          <w:rFonts w:ascii="Times New Roman" w:hAnsi="Times New Roman" w:cs="Times New Roman"/>
          <w:sz w:val="24"/>
          <w:szCs w:val="24"/>
        </w:rPr>
        <w:t xml:space="preserve"> we want </w:t>
      </w:r>
      <w:r w:rsidR="00B07444">
        <w:rPr>
          <w:rFonts w:ascii="Times New Roman" w:hAnsi="Times New Roman" w:cs="Times New Roman"/>
          <w:sz w:val="24"/>
          <w:szCs w:val="24"/>
        </w:rPr>
        <w:t xml:space="preserve">a facility </w:t>
      </w:r>
      <w:r>
        <w:rPr>
          <w:rFonts w:ascii="Times New Roman" w:hAnsi="Times New Roman" w:cs="Times New Roman"/>
          <w:sz w:val="24"/>
          <w:szCs w:val="24"/>
        </w:rPr>
        <w:t xml:space="preserve">to simulate the effects of import-saving technical change for </w:t>
      </w:r>
      <w:r w:rsidR="00B07444">
        <w:rPr>
          <w:rFonts w:ascii="Times New Roman" w:hAnsi="Times New Roman" w:cs="Times New Roman"/>
          <w:sz w:val="24"/>
          <w:szCs w:val="24"/>
        </w:rPr>
        <w:t>commodity</w:t>
      </w:r>
      <w:r>
        <w:rPr>
          <w:rFonts w:ascii="Times New Roman" w:hAnsi="Times New Roman" w:cs="Times New Roman"/>
          <w:sz w:val="24"/>
          <w:szCs w:val="24"/>
        </w:rPr>
        <w:t xml:space="preserve"> i in </w:t>
      </w:r>
      <w:r w:rsidR="00B07444">
        <w:rPr>
          <w:rFonts w:ascii="Times New Roman" w:hAnsi="Times New Roman" w:cs="Times New Roman"/>
          <w:sz w:val="24"/>
          <w:szCs w:val="24"/>
        </w:rPr>
        <w:t>region</w:t>
      </w:r>
      <w:r>
        <w:rPr>
          <w:rFonts w:ascii="Times New Roman" w:hAnsi="Times New Roman" w:cs="Times New Roman"/>
          <w:sz w:val="24"/>
          <w:szCs w:val="24"/>
        </w:rPr>
        <w:t xml:space="preserve"> r, not differentiated by source.  Similarly we want </w:t>
      </w:r>
      <w:r w:rsidR="00B07444">
        <w:rPr>
          <w:rFonts w:ascii="Times New Roman" w:hAnsi="Times New Roman" w:cs="Times New Roman"/>
          <w:sz w:val="24"/>
          <w:szCs w:val="24"/>
        </w:rPr>
        <w:t xml:space="preserve">a facility </w:t>
      </w:r>
      <w:r>
        <w:rPr>
          <w:rFonts w:ascii="Times New Roman" w:hAnsi="Times New Roman" w:cs="Times New Roman"/>
          <w:sz w:val="24"/>
          <w:szCs w:val="24"/>
        </w:rPr>
        <w:t xml:space="preserve">to simulate the effects of domestic-saving technical change for commodity i in </w:t>
      </w:r>
      <w:r w:rsidR="00B07444">
        <w:rPr>
          <w:rFonts w:ascii="Times New Roman" w:hAnsi="Times New Roman" w:cs="Times New Roman"/>
          <w:sz w:val="24"/>
          <w:szCs w:val="24"/>
        </w:rPr>
        <w:t>region</w:t>
      </w:r>
      <w:r>
        <w:rPr>
          <w:rFonts w:ascii="Times New Roman" w:hAnsi="Times New Roman" w:cs="Times New Roman"/>
          <w:sz w:val="24"/>
          <w:szCs w:val="24"/>
        </w:rPr>
        <w:t xml:space="preserve"> r.  </w:t>
      </w:r>
      <w:r w:rsidR="00B07444">
        <w:rPr>
          <w:rFonts w:ascii="Times New Roman" w:hAnsi="Times New Roman" w:cs="Times New Roman"/>
          <w:sz w:val="24"/>
          <w:szCs w:val="24"/>
        </w:rPr>
        <w:t xml:space="preserve">These facilities </w:t>
      </w:r>
      <w:r w:rsidR="005C0DE5">
        <w:rPr>
          <w:rFonts w:ascii="Times New Roman" w:hAnsi="Times New Roman" w:cs="Times New Roman"/>
          <w:sz w:val="24"/>
          <w:szCs w:val="24"/>
        </w:rPr>
        <w:t xml:space="preserve">can be useful in </w:t>
      </w:r>
      <w:r w:rsidR="002B67C0">
        <w:rPr>
          <w:rFonts w:ascii="Times New Roman" w:hAnsi="Times New Roman" w:cs="Times New Roman"/>
          <w:sz w:val="24"/>
          <w:szCs w:val="24"/>
        </w:rPr>
        <w:t xml:space="preserve">simulations concerned with </w:t>
      </w:r>
      <w:r w:rsidR="005C0DE5">
        <w:rPr>
          <w:rFonts w:ascii="Times New Roman" w:hAnsi="Times New Roman" w:cs="Times New Roman"/>
          <w:sz w:val="24"/>
          <w:szCs w:val="24"/>
        </w:rPr>
        <w:t xml:space="preserve">preference shifts between imported and domestic motor vehicle products, for example, induced by non-price mechanisms such as </w:t>
      </w:r>
      <w:r w:rsidR="00722DAE">
        <w:rPr>
          <w:rFonts w:ascii="Times New Roman" w:hAnsi="Times New Roman" w:cs="Times New Roman"/>
          <w:sz w:val="24"/>
          <w:szCs w:val="24"/>
        </w:rPr>
        <w:t xml:space="preserve">presidential exhortations to source locally.  </w:t>
      </w:r>
    </w:p>
    <w:p w:rsidR="002B67C0" w:rsidRDefault="002B67C0" w:rsidP="002B67C0">
      <w:pPr>
        <w:spacing w:before="120" w:after="0" w:line="240" w:lineRule="auto"/>
        <w:rPr>
          <w:rFonts w:ascii="Times New Roman" w:hAnsi="Times New Roman" w:cs="Times New Roman"/>
          <w:sz w:val="24"/>
          <w:szCs w:val="24"/>
        </w:rPr>
      </w:pPr>
      <w:r>
        <w:rPr>
          <w:rFonts w:ascii="Times New Roman" w:hAnsi="Times New Roman" w:cs="Times New Roman"/>
          <w:sz w:val="24"/>
          <w:szCs w:val="24"/>
        </w:rPr>
        <w:t>Consequently, we amend</w:t>
      </w:r>
      <w:r w:rsidR="00B07444">
        <w:rPr>
          <w:rFonts w:ascii="Times New Roman" w:hAnsi="Times New Roman" w:cs="Times New Roman"/>
          <w:sz w:val="24"/>
          <w:szCs w:val="24"/>
        </w:rPr>
        <w:t>ed</w:t>
      </w:r>
      <w:r>
        <w:rPr>
          <w:rFonts w:ascii="Times New Roman" w:hAnsi="Times New Roman" w:cs="Times New Roman"/>
          <w:sz w:val="24"/>
          <w:szCs w:val="24"/>
        </w:rPr>
        <w:t xml:space="preserve"> standard GTAP by adding the variables ams2(i,r) and ads(i,r). </w:t>
      </w:r>
      <w:r w:rsidR="00722DAE">
        <w:rPr>
          <w:rFonts w:ascii="Times New Roman" w:hAnsi="Times New Roman" w:cs="Times New Roman"/>
          <w:sz w:val="24"/>
          <w:szCs w:val="24"/>
        </w:rPr>
        <w:t xml:space="preserve"> </w:t>
      </w:r>
      <w:r>
        <w:rPr>
          <w:rFonts w:ascii="Times New Roman" w:hAnsi="Times New Roman" w:cs="Times New Roman"/>
          <w:sz w:val="24"/>
          <w:szCs w:val="24"/>
        </w:rPr>
        <w:t xml:space="preserve">Positive shocks to the first of these variables introduces technology or preference changes that allow all agents in country r to satisfy their input requirements or achieve any given level of utility with less </w:t>
      </w:r>
      <w:r w:rsidRPr="002B67C0">
        <w:rPr>
          <w:rFonts w:ascii="Times New Roman" w:hAnsi="Times New Roman" w:cs="Times New Roman"/>
          <w:i/>
          <w:sz w:val="24"/>
          <w:szCs w:val="24"/>
        </w:rPr>
        <w:t>imported</w:t>
      </w:r>
      <w:r>
        <w:rPr>
          <w:rFonts w:ascii="Times New Roman" w:hAnsi="Times New Roman" w:cs="Times New Roman"/>
          <w:sz w:val="24"/>
          <w:szCs w:val="24"/>
        </w:rPr>
        <w:t xml:space="preserve"> good i from all </w:t>
      </w:r>
      <w:r w:rsidRPr="002B67C0">
        <w:rPr>
          <w:rFonts w:ascii="Times New Roman" w:hAnsi="Times New Roman" w:cs="Times New Roman"/>
          <w:sz w:val="24"/>
          <w:szCs w:val="24"/>
        </w:rPr>
        <w:t>foreign-</w:t>
      </w:r>
      <w:r>
        <w:rPr>
          <w:rFonts w:ascii="Times New Roman" w:hAnsi="Times New Roman" w:cs="Times New Roman"/>
          <w:sz w:val="24"/>
          <w:szCs w:val="24"/>
        </w:rPr>
        <w:t xml:space="preserve">source countries while holding constant their purchases of all other inputs.  Positive shocks to the second of these variables introduces technology or preference changes that allow all agents in country r to satisfy their input requirements or achieve any given level of utility with less </w:t>
      </w:r>
      <w:r w:rsidRPr="002B67C0">
        <w:rPr>
          <w:rFonts w:ascii="Times New Roman" w:hAnsi="Times New Roman" w:cs="Times New Roman"/>
          <w:i/>
          <w:sz w:val="24"/>
          <w:szCs w:val="24"/>
        </w:rPr>
        <w:t>domestic</w:t>
      </w:r>
      <w:r>
        <w:rPr>
          <w:rFonts w:ascii="Times New Roman" w:hAnsi="Times New Roman" w:cs="Times New Roman"/>
          <w:sz w:val="24"/>
          <w:szCs w:val="24"/>
        </w:rPr>
        <w:t xml:space="preserve"> good i while holding constant their purchases of all other inputs.  </w:t>
      </w:r>
    </w:p>
    <w:p w:rsidR="003F7ADB" w:rsidRDefault="003F7ADB" w:rsidP="002B67C0">
      <w:pPr>
        <w:spacing w:before="120"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In adding ams2(i,r) and ads(i,r) we made necessary changes to input-demand equations in standard GTAP and also to equations </w:t>
      </w:r>
      <w:r w:rsidR="007264CE">
        <w:rPr>
          <w:rFonts w:ascii="Times New Roman" w:hAnsi="Times New Roman" w:cs="Times New Roman"/>
          <w:sz w:val="24"/>
          <w:szCs w:val="24"/>
        </w:rPr>
        <w:t>for</w:t>
      </w:r>
      <w:r>
        <w:rPr>
          <w:rFonts w:ascii="Times New Roman" w:hAnsi="Times New Roman" w:cs="Times New Roman"/>
          <w:sz w:val="24"/>
          <w:szCs w:val="24"/>
        </w:rPr>
        <w:t xml:space="preserve"> aggregate variables suc</w:t>
      </w:r>
      <w:r w:rsidR="007264CE">
        <w:rPr>
          <w:rFonts w:ascii="Times New Roman" w:hAnsi="Times New Roman" w:cs="Times New Roman"/>
          <w:sz w:val="24"/>
          <w:szCs w:val="24"/>
        </w:rPr>
        <w:t>h</w:t>
      </w:r>
      <w:r>
        <w:rPr>
          <w:rFonts w:ascii="Times New Roman" w:hAnsi="Times New Roman" w:cs="Times New Roman"/>
          <w:sz w:val="24"/>
          <w:szCs w:val="24"/>
        </w:rPr>
        <w:t xml:space="preserve"> as </w:t>
      </w:r>
      <w:r w:rsidR="007264CE">
        <w:rPr>
          <w:rFonts w:ascii="Times New Roman" w:hAnsi="Times New Roman" w:cs="Times New Roman"/>
          <w:sz w:val="24"/>
          <w:szCs w:val="24"/>
        </w:rPr>
        <w:t xml:space="preserve">real GDP from the income side (see E_qgdpinc).  Finally, we added an equation (E_f_twist) that allows for cost-neutral twists in preferences in country r between imported and domestic units of commodity i.  Cost-neutral twists are introduced by movements in ads(i,r) offset by movements of opposite sign in ams2(i,r).  </w:t>
      </w:r>
    </w:p>
    <w:p w:rsidR="00122077" w:rsidRPr="004C6A3E" w:rsidRDefault="004C6A3E" w:rsidP="004C6A3E">
      <w:pPr>
        <w:spacing w:before="120" w:after="0" w:line="240" w:lineRule="auto"/>
        <w:rPr>
          <w:rFonts w:ascii="Times New Roman" w:hAnsi="Times New Roman" w:cs="Times New Roman"/>
          <w:b/>
          <w:sz w:val="24"/>
          <w:szCs w:val="24"/>
        </w:rPr>
      </w:pPr>
      <w:bookmarkStart w:id="1" w:name="_Ref523472756"/>
      <w:r w:rsidRPr="004C6A3E">
        <w:rPr>
          <w:rFonts w:ascii="Times New Roman" w:hAnsi="Times New Roman" w:cs="Times New Roman"/>
          <w:b/>
          <w:sz w:val="24"/>
          <w:szCs w:val="24"/>
        </w:rPr>
        <w:t xml:space="preserve">3. </w:t>
      </w:r>
      <w:r w:rsidR="00122077" w:rsidRPr="004C6A3E">
        <w:rPr>
          <w:rFonts w:ascii="Times New Roman" w:hAnsi="Times New Roman" w:cs="Times New Roman"/>
          <w:b/>
          <w:sz w:val="24"/>
          <w:szCs w:val="24"/>
        </w:rPr>
        <w:t xml:space="preserve"> </w:t>
      </w:r>
      <w:r>
        <w:rPr>
          <w:rFonts w:ascii="Times New Roman" w:hAnsi="Times New Roman" w:cs="Times New Roman"/>
          <w:b/>
          <w:sz w:val="24"/>
          <w:szCs w:val="24"/>
        </w:rPr>
        <w:t>GTAP-MVH database compilation</w:t>
      </w:r>
    </w:p>
    <w:p w:rsidR="00B77AE2" w:rsidRDefault="00387E39" w:rsidP="00387E39">
      <w:pPr>
        <w:pStyle w:val="ListParagraph"/>
        <w:spacing w:before="120"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The aim of this </w:t>
      </w:r>
      <w:r w:rsidR="004C6A3E">
        <w:rPr>
          <w:rFonts w:ascii="Times New Roman" w:hAnsi="Times New Roman" w:cs="Times New Roman"/>
          <w:sz w:val="24"/>
          <w:szCs w:val="24"/>
        </w:rPr>
        <w:t>section</w:t>
      </w:r>
      <w:r>
        <w:rPr>
          <w:rFonts w:ascii="Times New Roman" w:hAnsi="Times New Roman" w:cs="Times New Roman"/>
          <w:sz w:val="24"/>
          <w:szCs w:val="24"/>
        </w:rPr>
        <w:t xml:space="preserve"> is to describe how we disaggregated the data for the mvh sector in our 18 industry, 10 region GTAP database </w:t>
      </w:r>
      <w:r w:rsidR="00B61941">
        <w:rPr>
          <w:rFonts w:ascii="Times New Roman" w:hAnsi="Times New Roman" w:cs="Times New Roman"/>
          <w:sz w:val="24"/>
          <w:szCs w:val="24"/>
        </w:rPr>
        <w:t xml:space="preserve">(described in sub-section 2.1) </w:t>
      </w:r>
      <w:r>
        <w:rPr>
          <w:rFonts w:ascii="Times New Roman" w:hAnsi="Times New Roman" w:cs="Times New Roman"/>
          <w:sz w:val="24"/>
          <w:szCs w:val="24"/>
        </w:rPr>
        <w:t xml:space="preserve">to include 9 mvh commodities/industries, that is how we moved from a database with the 18 com/ind categories to a database with the 26 com/ind categories </w:t>
      </w:r>
      <w:r w:rsidR="00B77AE2">
        <w:rPr>
          <w:rFonts w:ascii="Times New Roman" w:hAnsi="Times New Roman" w:cs="Times New Roman"/>
          <w:sz w:val="24"/>
          <w:szCs w:val="24"/>
        </w:rPr>
        <w:t xml:space="preserve">as indicated </w:t>
      </w:r>
      <w:r>
        <w:rPr>
          <w:rFonts w:ascii="Times New Roman" w:hAnsi="Times New Roman" w:cs="Times New Roman"/>
          <w:sz w:val="24"/>
          <w:szCs w:val="24"/>
        </w:rPr>
        <w:t xml:space="preserve">in Table 2.2.  </w:t>
      </w:r>
    </w:p>
    <w:p w:rsidR="00387E39" w:rsidRDefault="00B77AE2" w:rsidP="00387E39">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In performing the disaggregation we drew on a wide range of data sources.  These are listed in subsection </w:t>
      </w:r>
      <w:r w:rsidR="0019067E">
        <w:rPr>
          <w:rFonts w:ascii="Times New Roman" w:hAnsi="Times New Roman" w:cs="Times New Roman"/>
          <w:sz w:val="24"/>
          <w:szCs w:val="24"/>
        </w:rPr>
        <w:t>3</w:t>
      </w:r>
      <w:r>
        <w:rPr>
          <w:rFonts w:ascii="Times New Roman" w:hAnsi="Times New Roman" w:cs="Times New Roman"/>
          <w:sz w:val="24"/>
          <w:szCs w:val="24"/>
        </w:rPr>
        <w:t xml:space="preserve">.1.  </w:t>
      </w:r>
      <w:r w:rsidR="00387E39">
        <w:rPr>
          <w:rFonts w:ascii="Times New Roman" w:hAnsi="Times New Roman" w:cs="Times New Roman"/>
          <w:sz w:val="24"/>
          <w:szCs w:val="24"/>
        </w:rPr>
        <w:t>The method we used to achieve the disaggregation</w:t>
      </w:r>
      <w:r w:rsidR="001972C0">
        <w:rPr>
          <w:rFonts w:ascii="Times New Roman" w:hAnsi="Times New Roman" w:cs="Times New Roman"/>
          <w:sz w:val="24"/>
          <w:szCs w:val="24"/>
        </w:rPr>
        <w:t xml:space="preserve"> is set out in subsection </w:t>
      </w:r>
      <w:r w:rsidR="0019067E">
        <w:rPr>
          <w:rFonts w:ascii="Times New Roman" w:hAnsi="Times New Roman" w:cs="Times New Roman"/>
          <w:sz w:val="24"/>
          <w:szCs w:val="24"/>
        </w:rPr>
        <w:t>3</w:t>
      </w:r>
      <w:r w:rsidR="001972C0">
        <w:rPr>
          <w:rFonts w:ascii="Times New Roman" w:hAnsi="Times New Roman" w:cs="Times New Roman"/>
          <w:sz w:val="24"/>
          <w:szCs w:val="24"/>
        </w:rPr>
        <w:t xml:space="preserve">.2.  This method </w:t>
      </w:r>
      <w:r w:rsidR="00387E39">
        <w:rPr>
          <w:rFonts w:ascii="Times New Roman" w:hAnsi="Times New Roman" w:cs="Times New Roman"/>
          <w:sz w:val="24"/>
          <w:szCs w:val="24"/>
        </w:rPr>
        <w:t xml:space="preserve">makes maximum use of trade data which, as describe in subsection </w:t>
      </w:r>
      <w:r w:rsidR="0019067E">
        <w:rPr>
          <w:rFonts w:ascii="Times New Roman" w:hAnsi="Times New Roman" w:cs="Times New Roman"/>
          <w:sz w:val="24"/>
          <w:szCs w:val="24"/>
        </w:rPr>
        <w:t>3</w:t>
      </w:r>
      <w:r>
        <w:rPr>
          <w:rFonts w:ascii="Times New Roman" w:hAnsi="Times New Roman" w:cs="Times New Roman"/>
          <w:sz w:val="24"/>
          <w:szCs w:val="24"/>
        </w:rPr>
        <w:t>.3</w:t>
      </w:r>
      <w:r w:rsidR="001972C0">
        <w:rPr>
          <w:rFonts w:ascii="Times New Roman" w:hAnsi="Times New Roman" w:cs="Times New Roman"/>
          <w:sz w:val="24"/>
          <w:szCs w:val="24"/>
        </w:rPr>
        <w:t>,</w:t>
      </w:r>
      <w:r w:rsidR="00387E39">
        <w:rPr>
          <w:rFonts w:ascii="Times New Roman" w:hAnsi="Times New Roman" w:cs="Times New Roman"/>
          <w:sz w:val="24"/>
          <w:szCs w:val="24"/>
        </w:rPr>
        <w:t xml:space="preserve"> are available for the mvh sector at a highly disaggregated level.  We also use</w:t>
      </w:r>
      <w:r>
        <w:rPr>
          <w:rFonts w:ascii="Times New Roman" w:hAnsi="Times New Roman" w:cs="Times New Roman"/>
          <w:sz w:val="24"/>
          <w:szCs w:val="24"/>
        </w:rPr>
        <w:t>d</w:t>
      </w:r>
      <w:r w:rsidR="00387E39">
        <w:rPr>
          <w:rFonts w:ascii="Times New Roman" w:hAnsi="Times New Roman" w:cs="Times New Roman"/>
          <w:sz w:val="24"/>
          <w:szCs w:val="24"/>
        </w:rPr>
        <w:t xml:space="preserve"> Canadian and U.S. input-output data which disaggregate the mvh sector into the categories required for this project.</w:t>
      </w:r>
      <w:r w:rsidR="00387E39">
        <w:rPr>
          <w:rStyle w:val="FootnoteReference"/>
          <w:rFonts w:ascii="Times New Roman" w:hAnsi="Times New Roman" w:cs="Times New Roman"/>
          <w:szCs w:val="24"/>
        </w:rPr>
        <w:footnoteReference w:id="9"/>
      </w:r>
      <w:r w:rsidR="00387E39">
        <w:rPr>
          <w:rFonts w:ascii="Times New Roman" w:hAnsi="Times New Roman" w:cs="Times New Roman"/>
          <w:sz w:val="24"/>
          <w:szCs w:val="24"/>
        </w:rPr>
        <w:t xml:space="preserve">  Another set of inputs to the disaggregation method are initial guesses for 8 of the 10 regions (data for Canada and the U.S. are known from the input-output tables) of: outputs of each of the 9 mvh products; the use of each of the 9 mvh products in each of the 9 mvh </w:t>
      </w:r>
      <w:r w:rsidR="00387E39">
        <w:rPr>
          <w:rFonts w:ascii="Times New Roman" w:hAnsi="Times New Roman" w:cs="Times New Roman"/>
          <w:sz w:val="24"/>
          <w:szCs w:val="24"/>
        </w:rPr>
        <w:lastRenderedPageBreak/>
        <w:t xml:space="preserve">industries; and the use of each of the 9 mvh products outside the mvh sector.  The derivation of these initial guesses is described in subsection </w:t>
      </w:r>
      <w:r w:rsidR="0019067E">
        <w:rPr>
          <w:rFonts w:ascii="Times New Roman" w:hAnsi="Times New Roman" w:cs="Times New Roman"/>
          <w:sz w:val="24"/>
          <w:szCs w:val="24"/>
        </w:rPr>
        <w:t>3</w:t>
      </w:r>
      <w:r w:rsidR="001972C0" w:rsidRPr="001972C0">
        <w:rPr>
          <w:rFonts w:ascii="Times New Roman" w:hAnsi="Times New Roman" w:cs="Times New Roman"/>
          <w:sz w:val="24"/>
          <w:szCs w:val="24"/>
        </w:rPr>
        <w:t>.4</w:t>
      </w:r>
      <w:r w:rsidR="00387E39" w:rsidRPr="001972C0">
        <w:rPr>
          <w:rFonts w:ascii="Times New Roman" w:hAnsi="Times New Roman" w:cs="Times New Roman"/>
          <w:sz w:val="24"/>
          <w:szCs w:val="24"/>
        </w:rPr>
        <w:t>.</w:t>
      </w:r>
      <w:r w:rsidR="00387E39">
        <w:rPr>
          <w:rFonts w:ascii="Times New Roman" w:hAnsi="Times New Roman" w:cs="Times New Roman"/>
          <w:sz w:val="24"/>
          <w:szCs w:val="24"/>
        </w:rPr>
        <w:t xml:space="preserve">  </w:t>
      </w:r>
    </w:p>
    <w:p w:rsidR="003F69CC" w:rsidRDefault="003F69CC" w:rsidP="00387E39">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Subsection </w:t>
      </w:r>
      <w:r w:rsidR="0019067E">
        <w:rPr>
          <w:rFonts w:ascii="Times New Roman" w:hAnsi="Times New Roman" w:cs="Times New Roman"/>
          <w:sz w:val="24"/>
          <w:szCs w:val="24"/>
        </w:rPr>
        <w:t>3</w:t>
      </w:r>
      <w:r>
        <w:rPr>
          <w:rFonts w:ascii="Times New Roman" w:hAnsi="Times New Roman" w:cs="Times New Roman"/>
          <w:sz w:val="24"/>
          <w:szCs w:val="24"/>
        </w:rPr>
        <w:t xml:space="preserve">.5 displays </w:t>
      </w:r>
      <w:r w:rsidR="00122077">
        <w:rPr>
          <w:rFonts w:ascii="Times New Roman" w:hAnsi="Times New Roman" w:cs="Times New Roman"/>
          <w:sz w:val="24"/>
          <w:szCs w:val="24"/>
        </w:rPr>
        <w:t xml:space="preserve">selected </w:t>
      </w:r>
      <w:r>
        <w:rPr>
          <w:rFonts w:ascii="Times New Roman" w:hAnsi="Times New Roman" w:cs="Times New Roman"/>
          <w:sz w:val="24"/>
          <w:szCs w:val="24"/>
        </w:rPr>
        <w:t xml:space="preserve">outcomes from the disaggregation process.  </w:t>
      </w:r>
    </w:p>
    <w:p w:rsidR="007C48D0" w:rsidRPr="00E8189A" w:rsidRDefault="0019067E" w:rsidP="00C56D4D">
      <w:pPr>
        <w:pStyle w:val="Heading1"/>
        <w:keepLines/>
        <w:numPr>
          <w:ilvl w:val="0"/>
          <w:numId w:val="0"/>
        </w:numPr>
        <w:spacing w:before="120" w:after="0" w:line="240" w:lineRule="auto"/>
        <w:ind w:left="432" w:hanging="432"/>
        <w:jc w:val="left"/>
        <w:rPr>
          <w:rFonts w:ascii="Times New Roman" w:hAnsi="Times New Roman"/>
          <w:szCs w:val="24"/>
        </w:rPr>
      </w:pPr>
      <w:r>
        <w:rPr>
          <w:rFonts w:ascii="Times New Roman" w:hAnsi="Times New Roman"/>
          <w:szCs w:val="24"/>
        </w:rPr>
        <w:t>3</w:t>
      </w:r>
      <w:r w:rsidR="00C56D4D" w:rsidRPr="00E8189A">
        <w:rPr>
          <w:rFonts w:ascii="Times New Roman" w:hAnsi="Times New Roman"/>
          <w:szCs w:val="24"/>
        </w:rPr>
        <w:t xml:space="preserve">.1.  </w:t>
      </w:r>
      <w:r w:rsidR="007C48D0" w:rsidRPr="00E8189A">
        <w:rPr>
          <w:rFonts w:ascii="Times New Roman" w:hAnsi="Times New Roman"/>
          <w:szCs w:val="24"/>
        </w:rPr>
        <w:t>Data sources</w:t>
      </w:r>
      <w:bookmarkEnd w:id="1"/>
    </w:p>
    <w:p w:rsidR="007C48D0" w:rsidRPr="007C48D0" w:rsidRDefault="007C48D0" w:rsidP="007C48D0">
      <w:pPr>
        <w:spacing w:before="120" w:after="0" w:line="240" w:lineRule="auto"/>
        <w:rPr>
          <w:rFonts w:ascii="Times New Roman" w:hAnsi="Times New Roman" w:cs="Times New Roman"/>
          <w:sz w:val="24"/>
          <w:szCs w:val="24"/>
        </w:rPr>
      </w:pPr>
      <w:r w:rsidRPr="007C48D0">
        <w:rPr>
          <w:rFonts w:ascii="Times New Roman" w:hAnsi="Times New Roman" w:cs="Times New Roman"/>
          <w:sz w:val="24"/>
          <w:szCs w:val="24"/>
        </w:rPr>
        <w:t xml:space="preserve">The sources used </w:t>
      </w:r>
      <w:r w:rsidR="00E8189A">
        <w:rPr>
          <w:rFonts w:ascii="Times New Roman" w:hAnsi="Times New Roman" w:cs="Times New Roman"/>
          <w:sz w:val="24"/>
          <w:szCs w:val="24"/>
        </w:rPr>
        <w:t>in</w:t>
      </w:r>
      <w:r w:rsidRPr="007C48D0">
        <w:rPr>
          <w:rFonts w:ascii="Times New Roman" w:hAnsi="Times New Roman" w:cs="Times New Roman"/>
          <w:sz w:val="24"/>
          <w:szCs w:val="24"/>
        </w:rPr>
        <w:t xml:space="preserve"> creat</w:t>
      </w:r>
      <w:r w:rsidR="00E8189A">
        <w:rPr>
          <w:rFonts w:ascii="Times New Roman" w:hAnsi="Times New Roman" w:cs="Times New Roman"/>
          <w:sz w:val="24"/>
          <w:szCs w:val="24"/>
        </w:rPr>
        <w:t>ing</w:t>
      </w:r>
      <w:r w:rsidRPr="007C48D0">
        <w:rPr>
          <w:rFonts w:ascii="Times New Roman" w:hAnsi="Times New Roman" w:cs="Times New Roman"/>
          <w:sz w:val="24"/>
          <w:szCs w:val="24"/>
        </w:rPr>
        <w:t xml:space="preserve"> the database for GTAP-MVH are:</w:t>
      </w:r>
    </w:p>
    <w:p w:rsidR="007C48D0" w:rsidRPr="00E8189A" w:rsidRDefault="007C48D0" w:rsidP="00E8189A">
      <w:pPr>
        <w:pStyle w:val="Heading2"/>
        <w:keepLines/>
        <w:widowControl/>
        <w:numPr>
          <w:ilvl w:val="0"/>
          <w:numId w:val="0"/>
        </w:numPr>
        <w:tabs>
          <w:tab w:val="clear" w:pos="8730"/>
        </w:tabs>
        <w:spacing w:before="120" w:after="0" w:line="240" w:lineRule="auto"/>
        <w:ind w:left="576" w:hanging="576"/>
        <w:rPr>
          <w:rFonts w:ascii="Times New Roman" w:hAnsi="Times New Roman"/>
          <w:b w:val="0"/>
        </w:rPr>
      </w:pPr>
      <w:r w:rsidRPr="00E8189A">
        <w:rPr>
          <w:rFonts w:ascii="Times New Roman" w:hAnsi="Times New Roman"/>
          <w:b w:val="0"/>
        </w:rPr>
        <w:t>The GTAP database</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We use the latest GTAP database (version 9), which represents the year 2011, and contains 57 sectors and 140 countries and/or regions (hereafter referred to simply as regions) (</w:t>
      </w:r>
      <w:r w:rsidRPr="007C48D0">
        <w:rPr>
          <w:rFonts w:ascii="Times New Roman" w:hAnsi="Times New Roman" w:cs="Times New Roman"/>
          <w:color w:val="000000"/>
          <w:sz w:val="24"/>
          <w:szCs w:val="24"/>
          <w:shd w:val="clear" w:color="auto" w:fill="FFFFFF"/>
        </w:rPr>
        <w:t>Aguiar</w:t>
      </w:r>
      <w:r w:rsidRPr="007C48D0">
        <w:rPr>
          <w:rFonts w:ascii="Times New Roman" w:hAnsi="Times New Roman" w:cs="Times New Roman"/>
          <w:sz w:val="24"/>
          <w:szCs w:val="24"/>
        </w:rPr>
        <w:t xml:space="preserve"> </w:t>
      </w:r>
      <w:r w:rsidR="00E8189A">
        <w:rPr>
          <w:rFonts w:ascii="Times New Roman" w:hAnsi="Times New Roman" w:cs="Times New Roman"/>
          <w:i/>
          <w:sz w:val="24"/>
          <w:szCs w:val="24"/>
        </w:rPr>
        <w:t>e</w:t>
      </w:r>
      <w:r w:rsidRPr="007C48D0">
        <w:rPr>
          <w:rFonts w:ascii="Times New Roman" w:hAnsi="Times New Roman" w:cs="Times New Roman"/>
          <w:i/>
          <w:sz w:val="24"/>
          <w:szCs w:val="24"/>
        </w:rPr>
        <w:t>t al</w:t>
      </w:r>
      <w:r w:rsidRPr="007C48D0">
        <w:rPr>
          <w:rFonts w:ascii="Times New Roman" w:hAnsi="Times New Roman" w:cs="Times New Roman"/>
          <w:sz w:val="24"/>
          <w:szCs w:val="24"/>
        </w:rPr>
        <w:t>. 2016).</w:t>
      </w:r>
    </w:p>
    <w:p w:rsidR="007C48D0" w:rsidRPr="00E8189A" w:rsidRDefault="007C48D0" w:rsidP="00E8189A">
      <w:pPr>
        <w:pStyle w:val="Heading2"/>
        <w:keepLines/>
        <w:widowControl/>
        <w:numPr>
          <w:ilvl w:val="0"/>
          <w:numId w:val="0"/>
        </w:numPr>
        <w:tabs>
          <w:tab w:val="clear" w:pos="8730"/>
        </w:tabs>
        <w:spacing w:before="120" w:after="0" w:line="240" w:lineRule="auto"/>
        <w:ind w:left="576" w:hanging="576"/>
        <w:rPr>
          <w:rFonts w:ascii="Times New Roman" w:hAnsi="Times New Roman"/>
          <w:b w:val="0"/>
        </w:rPr>
      </w:pPr>
      <w:r w:rsidRPr="00E8189A">
        <w:rPr>
          <w:rFonts w:ascii="Times New Roman" w:hAnsi="Times New Roman"/>
          <w:b w:val="0"/>
        </w:rPr>
        <w:t xml:space="preserve">Additional global data for disaggregating </w:t>
      </w:r>
      <w:r w:rsidR="00E8189A">
        <w:rPr>
          <w:rFonts w:ascii="Times New Roman" w:hAnsi="Times New Roman"/>
          <w:b w:val="0"/>
        </w:rPr>
        <w:t xml:space="preserve">the </w:t>
      </w:r>
      <w:r w:rsidRPr="00E8189A">
        <w:rPr>
          <w:rFonts w:ascii="Times New Roman" w:hAnsi="Times New Roman"/>
          <w:b w:val="0"/>
        </w:rPr>
        <w:t>MV</w:t>
      </w:r>
      <w:r w:rsidR="00E8189A">
        <w:rPr>
          <w:rFonts w:ascii="Times New Roman" w:hAnsi="Times New Roman"/>
          <w:b w:val="0"/>
        </w:rPr>
        <w:t>H</w:t>
      </w:r>
      <w:r w:rsidRPr="00E8189A">
        <w:rPr>
          <w:rFonts w:ascii="Times New Roman" w:hAnsi="Times New Roman"/>
          <w:b w:val="0"/>
        </w:rPr>
        <w:t xml:space="preserve"> sector</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Bilateral trade data for motor vehicle sectors for all </w:t>
      </w:r>
      <w:r w:rsidR="00F534BA">
        <w:rPr>
          <w:rFonts w:ascii="Times New Roman" w:hAnsi="Times New Roman" w:cs="Times New Roman"/>
          <w:sz w:val="24"/>
          <w:szCs w:val="24"/>
        </w:rPr>
        <w:t>regions</w:t>
      </w:r>
      <w:r w:rsidRPr="007C48D0">
        <w:rPr>
          <w:rFonts w:ascii="Times New Roman" w:hAnsi="Times New Roman" w:cs="Times New Roman"/>
          <w:sz w:val="24"/>
          <w:szCs w:val="24"/>
        </w:rPr>
        <w:t xml:space="preserve"> in the United Nations Commodity Trade Statistics Database in 2015 (UN Comtrade 2018). </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Data on production, exports, imports and apparent consumption for manufacturing industries at the 4-digit level of ISIC Rev.4 for about 100 countries, 2010-2015 (UNIDO 2018). </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Market reports on output values of automobiles, automobile gas engine and engine parts, and heavy truck manufacturing in 2017 for 61 major countries (Barnes reports 2017a-c).</w:t>
      </w:r>
    </w:p>
    <w:p w:rsidR="007C48D0" w:rsidRPr="00E8189A" w:rsidRDefault="007C48D0" w:rsidP="00E8189A">
      <w:pPr>
        <w:pStyle w:val="Heading2"/>
        <w:keepLines/>
        <w:widowControl/>
        <w:numPr>
          <w:ilvl w:val="0"/>
          <w:numId w:val="0"/>
        </w:numPr>
        <w:tabs>
          <w:tab w:val="clear" w:pos="8730"/>
        </w:tabs>
        <w:spacing w:before="120" w:after="0" w:line="240" w:lineRule="auto"/>
        <w:ind w:left="576" w:hanging="576"/>
        <w:rPr>
          <w:rFonts w:ascii="Times New Roman" w:hAnsi="Times New Roman"/>
          <w:b w:val="0"/>
        </w:rPr>
      </w:pPr>
      <w:r w:rsidRPr="00E8189A">
        <w:rPr>
          <w:rFonts w:ascii="Times New Roman" w:hAnsi="Times New Roman"/>
          <w:b w:val="0"/>
        </w:rPr>
        <w:t xml:space="preserve">Selected individual country data for disaggregating </w:t>
      </w:r>
      <w:r w:rsidR="00E8189A">
        <w:rPr>
          <w:rFonts w:ascii="Times New Roman" w:hAnsi="Times New Roman"/>
          <w:b w:val="0"/>
        </w:rPr>
        <w:t xml:space="preserve">the </w:t>
      </w:r>
      <w:r w:rsidRPr="00E8189A">
        <w:rPr>
          <w:rFonts w:ascii="Times New Roman" w:hAnsi="Times New Roman"/>
          <w:b w:val="0"/>
        </w:rPr>
        <w:t>MV</w:t>
      </w:r>
      <w:r w:rsidR="00E8189A">
        <w:rPr>
          <w:rFonts w:ascii="Times New Roman" w:hAnsi="Times New Roman"/>
          <w:b w:val="0"/>
        </w:rPr>
        <w:t>H</w:t>
      </w:r>
      <w:r w:rsidRPr="00E8189A">
        <w:rPr>
          <w:rFonts w:ascii="Times New Roman" w:hAnsi="Times New Roman"/>
          <w:b w:val="0"/>
        </w:rPr>
        <w:t xml:space="preserve"> sector</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For the USA: The USAGE model database for the year 2015, with 392 commodities and 392 industries (Dixon </w:t>
      </w:r>
      <w:r w:rsidRPr="007C48D0">
        <w:rPr>
          <w:rFonts w:ascii="Times New Roman" w:hAnsi="Times New Roman" w:cs="Times New Roman"/>
          <w:i/>
          <w:sz w:val="24"/>
          <w:szCs w:val="24"/>
        </w:rPr>
        <w:t>et al</w:t>
      </w:r>
      <w:r w:rsidRPr="007C48D0">
        <w:rPr>
          <w:rFonts w:ascii="Times New Roman" w:hAnsi="Times New Roman" w:cs="Times New Roman"/>
          <w:sz w:val="24"/>
          <w:szCs w:val="24"/>
        </w:rPr>
        <w:t xml:space="preserve">. 2017). </w:t>
      </w:r>
      <w:r w:rsidR="00E8189A">
        <w:rPr>
          <w:rFonts w:ascii="Times New Roman" w:hAnsi="Times New Roman" w:cs="Times New Roman"/>
          <w:sz w:val="24"/>
          <w:szCs w:val="24"/>
        </w:rPr>
        <w:t xml:space="preserve"> </w:t>
      </w:r>
      <w:r w:rsidRPr="007C48D0">
        <w:rPr>
          <w:rFonts w:ascii="Times New Roman" w:hAnsi="Times New Roman" w:cs="Times New Roman"/>
          <w:sz w:val="24"/>
          <w:szCs w:val="24"/>
        </w:rPr>
        <w:t xml:space="preserve">This database contains 8 MV industries, which cover 7 of the required 9 MV industries, the two exceptions being </w:t>
      </w:r>
      <w:r w:rsidRPr="007C48D0">
        <w:rPr>
          <w:rFonts w:ascii="Times New Roman" w:hAnsi="Times New Roman" w:cs="Times New Roman"/>
          <w:i/>
          <w:sz w:val="24"/>
          <w:szCs w:val="24"/>
        </w:rPr>
        <w:t>Motor vehicle steering, suspension component manufacturing</w:t>
      </w:r>
      <w:r w:rsidRPr="007C48D0">
        <w:rPr>
          <w:rFonts w:ascii="Times New Roman" w:hAnsi="Times New Roman" w:cs="Times New Roman"/>
          <w:sz w:val="24"/>
          <w:szCs w:val="24"/>
        </w:rPr>
        <w:t xml:space="preserve"> and </w:t>
      </w:r>
      <w:r w:rsidRPr="007C48D0">
        <w:rPr>
          <w:rFonts w:ascii="Times New Roman" w:hAnsi="Times New Roman" w:cs="Times New Roman"/>
          <w:i/>
          <w:sz w:val="24"/>
          <w:szCs w:val="24"/>
        </w:rPr>
        <w:t>Motor vehicle brakes and brake systems</w:t>
      </w:r>
      <w:r w:rsidRPr="007C48D0">
        <w:rPr>
          <w:rFonts w:ascii="Times New Roman" w:hAnsi="Times New Roman" w:cs="Times New Roman"/>
          <w:sz w:val="24"/>
          <w:szCs w:val="24"/>
        </w:rPr>
        <w:t xml:space="preserve">, which are aggregated into 1 industry. </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For Canada: Supply and Use tables for 2014 (Statistics Canada 2017). </w:t>
      </w:r>
      <w:r w:rsidR="00E8189A">
        <w:rPr>
          <w:rFonts w:ascii="Times New Roman" w:hAnsi="Times New Roman" w:cs="Times New Roman"/>
          <w:sz w:val="24"/>
          <w:szCs w:val="24"/>
        </w:rPr>
        <w:t xml:space="preserve"> </w:t>
      </w:r>
      <w:r w:rsidRPr="007C48D0">
        <w:rPr>
          <w:rFonts w:ascii="Times New Roman" w:hAnsi="Times New Roman" w:cs="Times New Roman"/>
          <w:sz w:val="24"/>
          <w:szCs w:val="24"/>
        </w:rPr>
        <w:t>This database contains all 9 of the required MV industries.</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For China: The database for the year 2012 from CHINAGEM (a CGE model of the Chinese economy) with 142 commodities and 142 industries (Wittwer 2018). </w:t>
      </w:r>
      <w:r w:rsidR="00E8189A">
        <w:rPr>
          <w:rFonts w:ascii="Times New Roman" w:hAnsi="Times New Roman" w:cs="Times New Roman"/>
          <w:sz w:val="24"/>
          <w:szCs w:val="24"/>
        </w:rPr>
        <w:t xml:space="preserve"> </w:t>
      </w:r>
      <w:r w:rsidRPr="007C48D0">
        <w:rPr>
          <w:rFonts w:ascii="Times New Roman" w:hAnsi="Times New Roman" w:cs="Times New Roman"/>
          <w:sz w:val="24"/>
          <w:szCs w:val="24"/>
        </w:rPr>
        <w:t xml:space="preserve">This database contains 2 aggregated MV industries (namely </w:t>
      </w:r>
      <w:r w:rsidRPr="007C48D0">
        <w:rPr>
          <w:rFonts w:ascii="Times New Roman" w:hAnsi="Times New Roman" w:cs="Times New Roman"/>
          <w:i/>
          <w:sz w:val="24"/>
          <w:szCs w:val="24"/>
        </w:rPr>
        <w:t>Motor vehicles</w:t>
      </w:r>
      <w:r w:rsidRPr="007C48D0">
        <w:rPr>
          <w:rFonts w:ascii="Times New Roman" w:hAnsi="Times New Roman" w:cs="Times New Roman"/>
          <w:sz w:val="24"/>
          <w:szCs w:val="24"/>
        </w:rPr>
        <w:t xml:space="preserve"> and</w:t>
      </w:r>
      <w:r w:rsidRPr="007C48D0">
        <w:rPr>
          <w:rFonts w:ascii="Times New Roman" w:hAnsi="Times New Roman" w:cs="Times New Roman"/>
          <w:i/>
          <w:sz w:val="24"/>
          <w:szCs w:val="24"/>
        </w:rPr>
        <w:t xml:space="preserve"> MV parts</w:t>
      </w:r>
      <w:r w:rsidRPr="007C48D0">
        <w:rPr>
          <w:rFonts w:ascii="Times New Roman" w:hAnsi="Times New Roman" w:cs="Times New Roman"/>
          <w:sz w:val="24"/>
          <w:szCs w:val="24"/>
        </w:rPr>
        <w:t>).</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For Japan: 2011 Input-output (IO) tables for 2011, with 518 commodities and 397 industries (Ministry of </w:t>
      </w:r>
      <w:r w:rsidRPr="007C48D0">
        <w:rPr>
          <w:rFonts w:ascii="Times New Roman" w:hAnsi="Times New Roman" w:cs="Times New Roman"/>
          <w:color w:val="000000"/>
          <w:sz w:val="24"/>
          <w:szCs w:val="24"/>
          <w:shd w:val="clear" w:color="auto" w:fill="FFFFFF"/>
        </w:rPr>
        <w:t xml:space="preserve">Internal Affairs and Communications 2016). </w:t>
      </w:r>
      <w:r w:rsidRPr="007C48D0">
        <w:rPr>
          <w:rFonts w:ascii="Times New Roman" w:hAnsi="Times New Roman" w:cs="Times New Roman"/>
          <w:sz w:val="24"/>
          <w:szCs w:val="24"/>
        </w:rPr>
        <w:t xml:space="preserve">This database contains 3 aggregated MV industries (namely </w:t>
      </w:r>
      <w:r w:rsidRPr="007C48D0">
        <w:rPr>
          <w:rFonts w:ascii="Times New Roman" w:hAnsi="Times New Roman" w:cs="Times New Roman"/>
          <w:i/>
          <w:sz w:val="24"/>
          <w:szCs w:val="24"/>
        </w:rPr>
        <w:t>Automobile</w:t>
      </w:r>
      <w:r w:rsidRPr="007C48D0">
        <w:rPr>
          <w:rFonts w:ascii="Times New Roman" w:hAnsi="Times New Roman" w:cs="Times New Roman"/>
          <w:sz w:val="24"/>
          <w:szCs w:val="24"/>
        </w:rPr>
        <w:t xml:space="preserve">; </w:t>
      </w:r>
      <w:r w:rsidRPr="007C48D0">
        <w:rPr>
          <w:rFonts w:ascii="Times New Roman" w:hAnsi="Times New Roman" w:cs="Times New Roman"/>
          <w:i/>
          <w:sz w:val="24"/>
          <w:szCs w:val="24"/>
        </w:rPr>
        <w:t>Trucks, utility vehicles and trailers</w:t>
      </w:r>
      <w:r w:rsidRPr="007C48D0">
        <w:rPr>
          <w:rFonts w:ascii="Times New Roman" w:hAnsi="Times New Roman" w:cs="Times New Roman"/>
          <w:sz w:val="24"/>
          <w:szCs w:val="24"/>
        </w:rPr>
        <w:t xml:space="preserve">; and </w:t>
      </w:r>
      <w:r w:rsidRPr="007C48D0">
        <w:rPr>
          <w:rFonts w:ascii="Times New Roman" w:hAnsi="Times New Roman" w:cs="Times New Roman"/>
          <w:i/>
          <w:sz w:val="24"/>
          <w:szCs w:val="24"/>
        </w:rPr>
        <w:t>MV gas engines</w:t>
      </w:r>
      <w:r w:rsidRPr="007C48D0">
        <w:rPr>
          <w:rFonts w:ascii="Times New Roman" w:hAnsi="Times New Roman" w:cs="Times New Roman"/>
          <w:sz w:val="24"/>
          <w:szCs w:val="24"/>
        </w:rPr>
        <w:t xml:space="preserve">). </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For South Korea: Input-output tables for 2010, with 384 commodities and 394 industries (Bank of Korea 2014). This database contains 3 aggregated MV industries (namely </w:t>
      </w:r>
      <w:r w:rsidRPr="007C48D0">
        <w:rPr>
          <w:rFonts w:ascii="Times New Roman" w:hAnsi="Times New Roman" w:cs="Times New Roman"/>
          <w:i/>
          <w:sz w:val="24"/>
          <w:szCs w:val="24"/>
        </w:rPr>
        <w:t>Motor vehicles</w:t>
      </w:r>
      <w:r w:rsidRPr="007C48D0">
        <w:rPr>
          <w:rFonts w:ascii="Times New Roman" w:hAnsi="Times New Roman" w:cs="Times New Roman"/>
          <w:sz w:val="24"/>
          <w:szCs w:val="24"/>
        </w:rPr>
        <w:t xml:space="preserve">; </w:t>
      </w:r>
      <w:r w:rsidRPr="007C48D0">
        <w:rPr>
          <w:rFonts w:ascii="Times New Roman" w:hAnsi="Times New Roman" w:cs="Times New Roman"/>
          <w:i/>
          <w:sz w:val="24"/>
          <w:szCs w:val="24"/>
        </w:rPr>
        <w:t>MV gas engines</w:t>
      </w:r>
      <w:r w:rsidRPr="007C48D0">
        <w:rPr>
          <w:rFonts w:ascii="Times New Roman" w:hAnsi="Times New Roman" w:cs="Times New Roman"/>
          <w:sz w:val="24"/>
          <w:szCs w:val="24"/>
        </w:rPr>
        <w:t xml:space="preserve">; and </w:t>
      </w:r>
      <w:r w:rsidRPr="007C48D0">
        <w:rPr>
          <w:rFonts w:ascii="Times New Roman" w:hAnsi="Times New Roman" w:cs="Times New Roman"/>
          <w:i/>
          <w:sz w:val="24"/>
          <w:szCs w:val="24"/>
        </w:rPr>
        <w:t>MV parts</w:t>
      </w:r>
      <w:r w:rsidRPr="007C48D0">
        <w:rPr>
          <w:rFonts w:ascii="Times New Roman" w:hAnsi="Times New Roman" w:cs="Times New Roman"/>
          <w:sz w:val="24"/>
          <w:szCs w:val="24"/>
        </w:rPr>
        <w:t>).</w:t>
      </w:r>
    </w:p>
    <w:p w:rsidR="007C48D0" w:rsidRPr="007C48D0" w:rsidRDefault="007C48D0" w:rsidP="008208BC">
      <w:pPr>
        <w:pStyle w:val="ListParagraph"/>
        <w:numPr>
          <w:ilvl w:val="0"/>
          <w:numId w:val="5"/>
        </w:numPr>
        <w:spacing w:before="120" w:after="0" w:line="240" w:lineRule="auto"/>
        <w:contextualSpacing w:val="0"/>
        <w:rPr>
          <w:rFonts w:ascii="Times New Roman" w:hAnsi="Times New Roman" w:cs="Times New Roman"/>
          <w:sz w:val="24"/>
          <w:szCs w:val="24"/>
        </w:rPr>
      </w:pPr>
      <w:r w:rsidRPr="007C48D0">
        <w:rPr>
          <w:rFonts w:ascii="Times New Roman" w:hAnsi="Times New Roman" w:cs="Times New Roman"/>
          <w:sz w:val="24"/>
          <w:szCs w:val="24"/>
        </w:rPr>
        <w:t xml:space="preserve">For the remaining regions, there are no IO data, or only quite aggregated IO data that are not suitable for use in this project. As will be discussed later, GTAP-MVH data for these regions is compiled from GTAP data and other data sources listed in this section. </w:t>
      </w:r>
    </w:p>
    <w:p w:rsidR="007C48D0" w:rsidRPr="007C48D0" w:rsidRDefault="007C48D0" w:rsidP="003F1A05">
      <w:pPr>
        <w:spacing w:before="120" w:after="0" w:line="240" w:lineRule="auto"/>
        <w:rPr>
          <w:rFonts w:ascii="Times New Roman" w:hAnsi="Times New Roman" w:cs="Times New Roman"/>
          <w:sz w:val="24"/>
          <w:szCs w:val="24"/>
        </w:rPr>
      </w:pPr>
      <w:r w:rsidRPr="007C48D0">
        <w:rPr>
          <w:rFonts w:ascii="Times New Roman" w:hAnsi="Times New Roman" w:cs="Times New Roman"/>
          <w:sz w:val="24"/>
          <w:szCs w:val="24"/>
        </w:rPr>
        <w:t xml:space="preserve">Note that the various data sources can span a range of years. </w:t>
      </w:r>
      <w:r w:rsidR="003F1A05">
        <w:rPr>
          <w:rFonts w:ascii="Times New Roman" w:hAnsi="Times New Roman" w:cs="Times New Roman"/>
          <w:sz w:val="24"/>
          <w:szCs w:val="24"/>
        </w:rPr>
        <w:t xml:space="preserve"> </w:t>
      </w:r>
      <w:r w:rsidR="00C75576">
        <w:rPr>
          <w:rFonts w:ascii="Times New Roman" w:hAnsi="Times New Roman" w:cs="Times New Roman"/>
          <w:sz w:val="24"/>
          <w:szCs w:val="24"/>
        </w:rPr>
        <w:t>O</w:t>
      </w:r>
      <w:r w:rsidRPr="007C48D0">
        <w:rPr>
          <w:rFonts w:ascii="Times New Roman" w:hAnsi="Times New Roman" w:cs="Times New Roman"/>
          <w:sz w:val="24"/>
          <w:szCs w:val="24"/>
        </w:rPr>
        <w:t xml:space="preserve">ur principle is to use the GTAP data for 2011 as the starting point, and use other data to inform the cost, sales and output shares of the detailed motor vehicle industries when disaggregating them from </w:t>
      </w:r>
      <w:r w:rsidRPr="007C48D0">
        <w:rPr>
          <w:rFonts w:ascii="Times New Roman" w:hAnsi="Times New Roman" w:cs="Times New Roman"/>
          <w:sz w:val="24"/>
          <w:szCs w:val="24"/>
        </w:rPr>
        <w:lastRenderedPageBreak/>
        <w:t xml:space="preserve">GTAP’s single ‘mvh’ sector. </w:t>
      </w:r>
      <w:r w:rsidR="003F1A05">
        <w:rPr>
          <w:rFonts w:ascii="Times New Roman" w:hAnsi="Times New Roman" w:cs="Times New Roman"/>
          <w:sz w:val="24"/>
          <w:szCs w:val="24"/>
        </w:rPr>
        <w:t xml:space="preserve"> </w:t>
      </w:r>
      <w:r w:rsidRPr="007C48D0">
        <w:rPr>
          <w:rFonts w:ascii="Times New Roman" w:hAnsi="Times New Roman" w:cs="Times New Roman"/>
          <w:sz w:val="24"/>
          <w:szCs w:val="24"/>
        </w:rPr>
        <w:t xml:space="preserve">Where possible, we use the most recent data for the various shares in order to best reflect the current structures of the industries of interest. </w:t>
      </w:r>
      <w:r w:rsidR="003F1A05">
        <w:rPr>
          <w:rFonts w:ascii="Times New Roman" w:hAnsi="Times New Roman" w:cs="Times New Roman"/>
          <w:sz w:val="24"/>
          <w:szCs w:val="24"/>
        </w:rPr>
        <w:t>T</w:t>
      </w:r>
      <w:r w:rsidRPr="007C48D0">
        <w:rPr>
          <w:rFonts w:ascii="Times New Roman" w:hAnsi="Times New Roman" w:cs="Times New Roman"/>
          <w:sz w:val="24"/>
          <w:szCs w:val="24"/>
        </w:rPr>
        <w:t>he 2011 database is updated to 2015</w:t>
      </w:r>
      <w:r w:rsidR="003F1A05">
        <w:rPr>
          <w:rFonts w:ascii="Times New Roman" w:hAnsi="Times New Roman" w:cs="Times New Roman"/>
          <w:sz w:val="24"/>
          <w:szCs w:val="24"/>
        </w:rPr>
        <w:t xml:space="preserve"> u</w:t>
      </w:r>
      <w:r w:rsidRPr="007C48D0">
        <w:rPr>
          <w:rFonts w:ascii="Times New Roman" w:hAnsi="Times New Roman" w:cs="Times New Roman"/>
          <w:sz w:val="24"/>
          <w:szCs w:val="24"/>
        </w:rPr>
        <w:t xml:space="preserve">sing available data on macroeconomic outcomes </w:t>
      </w:r>
      <w:r w:rsidR="003F1A05">
        <w:rPr>
          <w:rFonts w:ascii="Times New Roman" w:hAnsi="Times New Roman" w:cs="Times New Roman"/>
          <w:sz w:val="24"/>
          <w:szCs w:val="24"/>
        </w:rPr>
        <w:t xml:space="preserve">(see Appendix </w:t>
      </w:r>
      <w:r w:rsidR="00342D2E">
        <w:rPr>
          <w:rFonts w:ascii="Times New Roman" w:hAnsi="Times New Roman" w:cs="Times New Roman"/>
          <w:sz w:val="24"/>
          <w:szCs w:val="24"/>
        </w:rPr>
        <w:t>1</w:t>
      </w:r>
      <w:r w:rsidR="003F1A05">
        <w:rPr>
          <w:rFonts w:ascii="Times New Roman" w:hAnsi="Times New Roman" w:cs="Times New Roman"/>
          <w:sz w:val="24"/>
          <w:szCs w:val="24"/>
        </w:rPr>
        <w:t>).</w:t>
      </w:r>
      <w:r w:rsidRPr="007C48D0">
        <w:rPr>
          <w:rFonts w:ascii="Times New Roman" w:hAnsi="Times New Roman" w:cs="Times New Roman"/>
          <w:sz w:val="24"/>
          <w:szCs w:val="24"/>
        </w:rPr>
        <w:t xml:space="preserve">  </w:t>
      </w:r>
    </w:p>
    <w:p w:rsidR="005E293F" w:rsidRPr="005E293F" w:rsidRDefault="0019067E" w:rsidP="005E293F">
      <w:pPr>
        <w:pStyle w:val="Heading1"/>
        <w:keepLines/>
        <w:numPr>
          <w:ilvl w:val="0"/>
          <w:numId w:val="0"/>
        </w:numPr>
        <w:spacing w:before="120" w:after="0" w:line="240" w:lineRule="auto"/>
        <w:ind w:left="432" w:hanging="432"/>
        <w:jc w:val="left"/>
        <w:rPr>
          <w:rFonts w:ascii="Times New Roman" w:hAnsi="Times New Roman"/>
          <w:szCs w:val="24"/>
        </w:rPr>
      </w:pPr>
      <w:bookmarkStart w:id="2" w:name="_Ref531707955"/>
      <w:bookmarkStart w:id="3" w:name="_Ref531333049"/>
      <w:bookmarkStart w:id="4" w:name="_Ref528577243"/>
      <w:r>
        <w:rPr>
          <w:rFonts w:ascii="Times New Roman" w:hAnsi="Times New Roman"/>
          <w:szCs w:val="24"/>
        </w:rPr>
        <w:t>3</w:t>
      </w:r>
      <w:r w:rsidR="005E293F">
        <w:rPr>
          <w:rFonts w:ascii="Times New Roman" w:hAnsi="Times New Roman"/>
          <w:szCs w:val="24"/>
        </w:rPr>
        <w:t>.</w:t>
      </w:r>
      <w:r w:rsidR="001972C0">
        <w:rPr>
          <w:rFonts w:ascii="Times New Roman" w:hAnsi="Times New Roman"/>
          <w:szCs w:val="24"/>
        </w:rPr>
        <w:t>2</w:t>
      </w:r>
      <w:r w:rsidR="005E293F">
        <w:rPr>
          <w:rFonts w:ascii="Times New Roman" w:hAnsi="Times New Roman"/>
          <w:szCs w:val="24"/>
        </w:rPr>
        <w:t xml:space="preserve">.  </w:t>
      </w:r>
      <w:r w:rsidR="001972C0">
        <w:rPr>
          <w:rFonts w:ascii="Times New Roman" w:hAnsi="Times New Roman"/>
          <w:szCs w:val="24"/>
        </w:rPr>
        <w:t>Theoretical structure for the disaggregation o</w:t>
      </w:r>
      <w:r w:rsidR="005E293F" w:rsidRPr="005E293F">
        <w:rPr>
          <w:rFonts w:ascii="Times New Roman" w:hAnsi="Times New Roman"/>
          <w:szCs w:val="24"/>
        </w:rPr>
        <w:t>f the mv</w:t>
      </w:r>
      <w:r w:rsidR="005E293F">
        <w:rPr>
          <w:rFonts w:ascii="Times New Roman" w:hAnsi="Times New Roman"/>
          <w:szCs w:val="24"/>
        </w:rPr>
        <w:t>h</w:t>
      </w:r>
      <w:r w:rsidR="005E293F" w:rsidRPr="005E293F">
        <w:rPr>
          <w:rFonts w:ascii="Times New Roman" w:hAnsi="Times New Roman"/>
          <w:szCs w:val="24"/>
        </w:rPr>
        <w:t xml:space="preserve"> sector into </w:t>
      </w:r>
      <w:r w:rsidR="005E293F">
        <w:rPr>
          <w:rFonts w:ascii="Times New Roman" w:hAnsi="Times New Roman"/>
          <w:szCs w:val="24"/>
        </w:rPr>
        <w:t xml:space="preserve">9 </w:t>
      </w:r>
      <w:r w:rsidR="005E293F" w:rsidRPr="005E293F">
        <w:rPr>
          <w:rFonts w:ascii="Times New Roman" w:hAnsi="Times New Roman"/>
          <w:szCs w:val="24"/>
        </w:rPr>
        <w:t>mv</w:t>
      </w:r>
      <w:r w:rsidR="005E293F">
        <w:rPr>
          <w:rFonts w:ascii="Times New Roman" w:hAnsi="Times New Roman"/>
          <w:szCs w:val="24"/>
        </w:rPr>
        <w:t>h</w:t>
      </w:r>
      <w:r w:rsidR="005E293F" w:rsidRPr="005E293F">
        <w:rPr>
          <w:rFonts w:ascii="Times New Roman" w:hAnsi="Times New Roman"/>
          <w:szCs w:val="24"/>
        </w:rPr>
        <w:t xml:space="preserve"> industries</w:t>
      </w:r>
      <w:bookmarkEnd w:id="2"/>
    </w:p>
    <w:p w:rsidR="0006120F" w:rsidRDefault="00BD60C8" w:rsidP="001972C0">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The theory of our disaggregation method has </w:t>
      </w:r>
      <w:r w:rsidR="0006120F">
        <w:rPr>
          <w:rFonts w:ascii="Times New Roman" w:hAnsi="Times New Roman" w:cs="Times New Roman"/>
          <w:sz w:val="24"/>
          <w:szCs w:val="24"/>
        </w:rPr>
        <w:t>2</w:t>
      </w:r>
      <w:r>
        <w:rPr>
          <w:rFonts w:ascii="Times New Roman" w:hAnsi="Times New Roman" w:cs="Times New Roman"/>
          <w:sz w:val="24"/>
          <w:szCs w:val="24"/>
        </w:rPr>
        <w:t xml:space="preserve"> parts.  First, we specify an equation system in which the inputs are</w:t>
      </w:r>
      <w:r w:rsidR="004D1C3F">
        <w:rPr>
          <w:rFonts w:ascii="Times New Roman" w:hAnsi="Times New Roman" w:cs="Times New Roman"/>
          <w:sz w:val="24"/>
          <w:szCs w:val="24"/>
        </w:rPr>
        <w:t>:</w:t>
      </w:r>
      <w:r>
        <w:rPr>
          <w:rFonts w:ascii="Times New Roman" w:hAnsi="Times New Roman" w:cs="Times New Roman"/>
          <w:sz w:val="24"/>
          <w:szCs w:val="24"/>
        </w:rPr>
        <w:t xml:space="preserve"> data on trade flows for disaggregated mvh products</w:t>
      </w:r>
      <w:r w:rsidR="004D1C3F">
        <w:rPr>
          <w:rFonts w:ascii="Times New Roman" w:hAnsi="Times New Roman" w:cs="Times New Roman"/>
          <w:sz w:val="24"/>
          <w:szCs w:val="24"/>
        </w:rPr>
        <w:t>;</w:t>
      </w:r>
      <w:r>
        <w:rPr>
          <w:rFonts w:ascii="Times New Roman" w:hAnsi="Times New Roman" w:cs="Times New Roman"/>
          <w:sz w:val="24"/>
          <w:szCs w:val="24"/>
        </w:rPr>
        <w:t xml:space="preserve"> U.S. and Canadian input-output data for these products</w:t>
      </w:r>
      <w:r w:rsidR="004D1C3F">
        <w:rPr>
          <w:rFonts w:ascii="Times New Roman" w:hAnsi="Times New Roman" w:cs="Times New Roman"/>
          <w:sz w:val="24"/>
          <w:szCs w:val="24"/>
        </w:rPr>
        <w:t>;</w:t>
      </w:r>
      <w:r>
        <w:rPr>
          <w:rFonts w:ascii="Times New Roman" w:hAnsi="Times New Roman" w:cs="Times New Roman"/>
          <w:sz w:val="24"/>
          <w:szCs w:val="24"/>
        </w:rPr>
        <w:t xml:space="preserve"> and initial guesses for outputs of and demands for mvh products for regions other than the U.S. and Canada.  </w:t>
      </w:r>
      <w:r w:rsidR="0006120F">
        <w:rPr>
          <w:rFonts w:ascii="Times New Roman" w:hAnsi="Times New Roman" w:cs="Times New Roman"/>
          <w:sz w:val="24"/>
          <w:szCs w:val="24"/>
        </w:rPr>
        <w:t>The equation system produces revised estimates of inputs to and outputs from</w:t>
      </w:r>
      <w:r w:rsidR="004D1C3F">
        <w:rPr>
          <w:rFonts w:ascii="Times New Roman" w:hAnsi="Times New Roman" w:cs="Times New Roman"/>
          <w:sz w:val="24"/>
          <w:szCs w:val="24"/>
        </w:rPr>
        <w:t xml:space="preserve"> disaggregated</w:t>
      </w:r>
      <w:r w:rsidR="0006120F">
        <w:rPr>
          <w:rFonts w:ascii="Times New Roman" w:hAnsi="Times New Roman" w:cs="Times New Roman"/>
          <w:sz w:val="24"/>
          <w:szCs w:val="24"/>
        </w:rPr>
        <w:t xml:space="preserve"> mvh industries for all regions, apart from the U.S. and Canada, for 2015.  In the second part of our methodology the results from the equation system are used to compute splitting shares that are fed into a program that automatically disaggregates our GTAP database for 2011 and rebalances it.  </w:t>
      </w:r>
      <w:r w:rsidR="004D1C3F">
        <w:rPr>
          <w:rFonts w:ascii="Times New Roman" w:hAnsi="Times New Roman" w:cs="Times New Roman"/>
          <w:sz w:val="24"/>
          <w:szCs w:val="24"/>
        </w:rPr>
        <w:t xml:space="preserve">At first glance it may seem incongruous to use 2015 shares to disaggregate a 2011 database.  However, we use only marco data to update form 2011 to 2015.  So embedding 2015 </w:t>
      </w:r>
      <w:r w:rsidR="00B46C2C">
        <w:rPr>
          <w:rFonts w:ascii="Times New Roman" w:hAnsi="Times New Roman" w:cs="Times New Roman"/>
          <w:sz w:val="24"/>
          <w:szCs w:val="24"/>
        </w:rPr>
        <w:t xml:space="preserve">mvh </w:t>
      </w:r>
      <w:r w:rsidR="004D1C3F">
        <w:rPr>
          <w:rFonts w:ascii="Times New Roman" w:hAnsi="Times New Roman" w:cs="Times New Roman"/>
          <w:sz w:val="24"/>
          <w:szCs w:val="24"/>
        </w:rPr>
        <w:t>structures in the 2011 data has the advantage that the</w:t>
      </w:r>
      <w:r w:rsidR="00B46C2C">
        <w:rPr>
          <w:rFonts w:ascii="Times New Roman" w:hAnsi="Times New Roman" w:cs="Times New Roman"/>
          <w:sz w:val="24"/>
          <w:szCs w:val="24"/>
        </w:rPr>
        <w:t xml:space="preserve"> eventual 2015 database for GTAP-MVH reflects 2015 mvh structures.  </w:t>
      </w:r>
    </w:p>
    <w:p w:rsidR="001972C0" w:rsidRDefault="001972C0" w:rsidP="001972C0">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In formal terms we estimate for 2015 the U.S. dollar values of</w:t>
      </w:r>
      <w:r w:rsidR="0006120F">
        <w:rPr>
          <w:rFonts w:ascii="Times New Roman" w:hAnsi="Times New Roman" w:cs="Times New Roman"/>
          <w:sz w:val="24"/>
          <w:szCs w:val="24"/>
        </w:rPr>
        <w:t>:</w:t>
      </w:r>
      <w:r>
        <w:rPr>
          <w:rFonts w:ascii="Times New Roman" w:hAnsi="Times New Roman" w:cs="Times New Roman"/>
          <w:sz w:val="24"/>
          <w:szCs w:val="24"/>
        </w:rPr>
        <w:t xml:space="preserve">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VQ(n,s)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 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r>
        <w:rPr>
          <w:rFonts w:ascii="Times New Roman" w:hAnsi="Times New Roman" w:cs="Times New Roman"/>
          <w:sz w:val="24"/>
          <w:szCs w:val="24"/>
        </w:rPr>
        <w:t xml:space="preserve"> </w:t>
      </w:r>
    </w:p>
    <w:p w:rsidR="001972C0" w:rsidRPr="00F57DEC"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 xml:space="preserve">where MVH is the set of 9 mvh coms/inds; OTHREG is the set of 8 regions (excludes Canada and the U.S.); and VQ(n,s) is the value of output of commodity n </w:t>
      </w:r>
      <w:r w:rsidRPr="00F57DEC">
        <w:rPr>
          <w:rFonts w:ascii="Times New Roman" w:hAnsi="Times New Roman" w:cs="Times New Roman"/>
          <w:sz w:val="24"/>
          <w:szCs w:val="24"/>
        </w:rPr>
        <w:t>in region s.</w:t>
      </w:r>
      <w:r>
        <w:rPr>
          <w:rFonts w:ascii="Times New Roman" w:hAnsi="Times New Roman" w:cs="Times New Roman"/>
          <w:sz w:val="24"/>
          <w:szCs w:val="24"/>
        </w:rPr>
        <w:t xml:space="preserve">  </w:t>
      </w:r>
    </w:p>
    <w:p w:rsidR="001972C0" w:rsidRDefault="001972C0" w:rsidP="001972C0">
      <w:pPr>
        <w:pStyle w:val="ListParagraph"/>
        <w:numPr>
          <w:ilvl w:val="0"/>
          <w:numId w:val="15"/>
        </w:numPr>
        <w:tabs>
          <w:tab w:val="left" w:pos="851"/>
          <w:tab w:val="right" w:pos="8789"/>
        </w:tabs>
        <w:spacing w:before="120" w:after="0" w:line="240" w:lineRule="auto"/>
        <w:ind w:left="993" w:hanging="567"/>
        <w:contextualSpacing w:val="0"/>
        <w:rPr>
          <w:rFonts w:ascii="Times New Roman" w:hAnsi="Times New Roman" w:cs="Times New Roman"/>
          <w:sz w:val="24"/>
          <w:szCs w:val="24"/>
        </w:rPr>
      </w:pPr>
      <w:r w:rsidRPr="00F57DEC">
        <w:rPr>
          <w:rFonts w:ascii="Times New Roman" w:hAnsi="Times New Roman" w:cs="Times New Roman"/>
          <w:sz w:val="24"/>
          <w:szCs w:val="24"/>
        </w:rPr>
        <w:t>Z(n,j,s) for n</w:t>
      </w:r>
      <w:r w:rsidRPr="00F57DEC">
        <w:rPr>
          <w:rFonts w:ascii="Times New Roman" w:hAnsi="Times New Roman" w:cs="Times New Roman"/>
          <w:sz w:val="24"/>
          <w:szCs w:val="24"/>
        </w:rPr>
        <w:sym w:font="Symbol" w:char="F0CE"/>
      </w:r>
      <w:r>
        <w:rPr>
          <w:rFonts w:ascii="Times New Roman" w:hAnsi="Times New Roman" w:cs="Times New Roman"/>
          <w:sz w:val="24"/>
          <w:szCs w:val="24"/>
        </w:rPr>
        <w:t>INPUT</w:t>
      </w:r>
      <w:r w:rsidRPr="00F57DEC">
        <w:rPr>
          <w:rFonts w:ascii="Times New Roman" w:hAnsi="Times New Roman" w:cs="Times New Roman"/>
          <w:sz w:val="24"/>
          <w:szCs w:val="24"/>
        </w:rPr>
        <w:t>, j</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MV</w:t>
      </w:r>
      <w:r>
        <w:rPr>
          <w:rFonts w:ascii="Times New Roman" w:hAnsi="Times New Roman" w:cs="Times New Roman"/>
          <w:sz w:val="24"/>
          <w:szCs w:val="24"/>
        </w:rPr>
        <w:t>M</w:t>
      </w:r>
      <w:r w:rsidRPr="00F57DEC">
        <w:rPr>
          <w:rFonts w:ascii="Times New Roman" w:hAnsi="Times New Roman" w:cs="Times New Roman"/>
          <w:sz w:val="24"/>
          <w:szCs w:val="24"/>
        </w:rPr>
        <w:t>, 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1972C0" w:rsidRPr="00F57DEC" w:rsidRDefault="001972C0" w:rsidP="001972C0">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where INPUT is the set of all commodities and primary factor inputs to production and Z(n,j,s) is the</w:t>
      </w:r>
      <w:r w:rsidRPr="00F57DEC">
        <w:rPr>
          <w:rFonts w:ascii="Times New Roman" w:hAnsi="Times New Roman" w:cs="Times New Roman"/>
          <w:i/>
          <w:sz w:val="24"/>
          <w:szCs w:val="24"/>
        </w:rPr>
        <w:t xml:space="preserve"> </w:t>
      </w:r>
      <w:r w:rsidRPr="00F57DEC">
        <w:rPr>
          <w:rFonts w:ascii="Times New Roman" w:hAnsi="Times New Roman" w:cs="Times New Roman"/>
          <w:sz w:val="24"/>
          <w:szCs w:val="24"/>
        </w:rPr>
        <w:t xml:space="preserve">value of </w:t>
      </w:r>
      <w:r>
        <w:rPr>
          <w:rFonts w:ascii="Times New Roman" w:hAnsi="Times New Roman" w:cs="Times New Roman"/>
          <w:sz w:val="24"/>
          <w:szCs w:val="24"/>
        </w:rPr>
        <w:t xml:space="preserve">input n </w:t>
      </w:r>
      <w:r w:rsidRPr="00F57DEC">
        <w:rPr>
          <w:rFonts w:ascii="Times New Roman" w:hAnsi="Times New Roman" w:cs="Times New Roman"/>
          <w:sz w:val="24"/>
          <w:szCs w:val="24"/>
        </w:rPr>
        <w:t xml:space="preserve"> (domestic plus imported</w:t>
      </w:r>
      <w:r>
        <w:rPr>
          <w:rFonts w:ascii="Times New Roman" w:hAnsi="Times New Roman" w:cs="Times New Roman"/>
          <w:sz w:val="24"/>
          <w:szCs w:val="24"/>
        </w:rPr>
        <w:t xml:space="preserve"> in the case of commodity flows</w:t>
      </w:r>
      <w:r w:rsidRPr="00F57DEC">
        <w:rPr>
          <w:rFonts w:ascii="Times New Roman" w:hAnsi="Times New Roman" w:cs="Times New Roman"/>
          <w:sz w:val="24"/>
          <w:szCs w:val="24"/>
        </w:rPr>
        <w:t xml:space="preserve">) to industry </w:t>
      </w:r>
      <w:r w:rsidRPr="00AC0636">
        <w:rPr>
          <w:rFonts w:ascii="Times New Roman" w:hAnsi="Times New Roman" w:cs="Times New Roman"/>
          <w:sz w:val="24"/>
          <w:szCs w:val="24"/>
        </w:rPr>
        <w:t>j</w:t>
      </w:r>
      <w:r w:rsidRPr="00F57DEC">
        <w:rPr>
          <w:rFonts w:ascii="Times New Roman" w:hAnsi="Times New Roman" w:cs="Times New Roman"/>
          <w:sz w:val="24"/>
          <w:szCs w:val="24"/>
        </w:rPr>
        <w:t xml:space="preserve"> in region </w:t>
      </w:r>
      <w:r w:rsidRPr="00AC0636">
        <w:rPr>
          <w:rFonts w:ascii="Times New Roman" w:hAnsi="Times New Roman" w:cs="Times New Roman"/>
          <w:sz w:val="24"/>
          <w:szCs w:val="24"/>
        </w:rPr>
        <w:t>s</w:t>
      </w:r>
      <w:r w:rsidRPr="00F57DEC">
        <w:rPr>
          <w:rFonts w:ascii="Times New Roman" w:hAnsi="Times New Roman" w:cs="Times New Roman"/>
          <w:sz w:val="24"/>
          <w:szCs w:val="24"/>
        </w:rPr>
        <w:t xml:space="preserve">.  </w:t>
      </w:r>
    </w:p>
    <w:p w:rsidR="001972C0" w:rsidRDefault="001972C0" w:rsidP="001972C0">
      <w:pPr>
        <w:pStyle w:val="ListParagraph"/>
        <w:numPr>
          <w:ilvl w:val="0"/>
          <w:numId w:val="15"/>
        </w:numPr>
        <w:tabs>
          <w:tab w:val="left" w:pos="851"/>
          <w:tab w:val="right" w:pos="8789"/>
        </w:tabs>
        <w:spacing w:before="120" w:after="0" w:line="240" w:lineRule="auto"/>
        <w:ind w:left="993" w:hanging="567"/>
        <w:contextualSpacing w:val="0"/>
        <w:rPr>
          <w:rFonts w:ascii="Times New Roman" w:hAnsi="Times New Roman" w:cs="Times New Roman"/>
          <w:sz w:val="24"/>
          <w:szCs w:val="24"/>
        </w:rPr>
      </w:pPr>
      <w:r w:rsidRPr="00F57DEC">
        <w:rPr>
          <w:rFonts w:ascii="Times New Roman" w:hAnsi="Times New Roman" w:cs="Times New Roman"/>
          <w:sz w:val="24"/>
          <w:szCs w:val="24"/>
        </w:rPr>
        <w:t>Zimp(n,j,s) for 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w:t>
      </w:r>
      <w:r>
        <w:rPr>
          <w:rFonts w:ascii="Times New Roman" w:hAnsi="Times New Roman" w:cs="Times New Roman"/>
          <w:sz w:val="24"/>
          <w:szCs w:val="24"/>
        </w:rPr>
        <w:t>COM</w:t>
      </w:r>
      <w:r w:rsidRPr="00F57DEC">
        <w:rPr>
          <w:rFonts w:ascii="Times New Roman" w:hAnsi="Times New Roman" w:cs="Times New Roman"/>
          <w:sz w:val="24"/>
          <w:szCs w:val="24"/>
        </w:rPr>
        <w:t xml:space="preserve">, </w:t>
      </w:r>
      <w:r w:rsidRPr="00AC0636">
        <w:rPr>
          <w:rFonts w:ascii="Times New Roman" w:hAnsi="Times New Roman" w:cs="Times New Roman"/>
          <w:sz w:val="24"/>
          <w:szCs w:val="24"/>
        </w:rPr>
        <w:t>j</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MV</w:t>
      </w:r>
      <w:r>
        <w:rPr>
          <w:rFonts w:ascii="Times New Roman" w:hAnsi="Times New Roman" w:cs="Times New Roman"/>
          <w:sz w:val="24"/>
          <w:szCs w:val="24"/>
        </w:rPr>
        <w:t>H</w:t>
      </w:r>
      <w:r w:rsidRPr="00F57DEC">
        <w:rPr>
          <w:rFonts w:ascii="Times New Roman" w:hAnsi="Times New Roman" w:cs="Times New Roman"/>
          <w:sz w:val="24"/>
          <w:szCs w:val="24"/>
        </w:rPr>
        <w:t>, 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1972C0" w:rsidRDefault="001972C0" w:rsidP="001972C0">
      <w:pPr>
        <w:pStyle w:val="ListParagraph"/>
        <w:tabs>
          <w:tab w:val="left" w:pos="851"/>
          <w:tab w:val="right" w:pos="8789"/>
        </w:tabs>
        <w:spacing w:after="0" w:line="240" w:lineRule="auto"/>
        <w:ind w:left="992"/>
        <w:contextualSpacing w:val="0"/>
        <w:rPr>
          <w:rFonts w:ascii="Times New Roman" w:hAnsi="Times New Roman" w:cs="Times New Roman"/>
          <w:sz w:val="24"/>
          <w:szCs w:val="24"/>
        </w:rPr>
      </w:pPr>
      <w:r>
        <w:rPr>
          <w:rFonts w:ascii="Times New Roman" w:hAnsi="Times New Roman" w:cs="Times New Roman"/>
          <w:sz w:val="24"/>
          <w:szCs w:val="24"/>
        </w:rPr>
        <w:t xml:space="preserve">where COM is the set of all commodities and </w:t>
      </w:r>
    </w:p>
    <w:p w:rsidR="001972C0" w:rsidRPr="00F57DEC" w:rsidRDefault="001972C0" w:rsidP="001972C0">
      <w:pPr>
        <w:pStyle w:val="ListParagraph"/>
        <w:tabs>
          <w:tab w:val="left" w:pos="851"/>
          <w:tab w:val="right" w:pos="8789"/>
        </w:tabs>
        <w:spacing w:after="0" w:line="240" w:lineRule="auto"/>
        <w:ind w:left="992"/>
        <w:contextualSpacing w:val="0"/>
        <w:rPr>
          <w:rFonts w:ascii="Times New Roman" w:hAnsi="Times New Roman" w:cs="Times New Roman"/>
          <w:sz w:val="24"/>
          <w:szCs w:val="24"/>
        </w:rPr>
      </w:pPr>
      <w:r w:rsidRPr="00F57DEC">
        <w:rPr>
          <w:rFonts w:ascii="Times New Roman" w:hAnsi="Times New Roman" w:cs="Times New Roman"/>
          <w:sz w:val="24"/>
          <w:szCs w:val="24"/>
        </w:rPr>
        <w:t xml:space="preserve">Zimp(n,j,s) </w:t>
      </w:r>
      <w:r>
        <w:rPr>
          <w:rFonts w:ascii="Times New Roman" w:hAnsi="Times New Roman" w:cs="Times New Roman"/>
          <w:sz w:val="24"/>
          <w:szCs w:val="24"/>
        </w:rPr>
        <w:t xml:space="preserve">is the value of the flow of imported </w:t>
      </w:r>
      <w:r w:rsidRPr="00F57DEC">
        <w:rPr>
          <w:rFonts w:ascii="Times New Roman" w:hAnsi="Times New Roman" w:cs="Times New Roman"/>
          <w:sz w:val="24"/>
          <w:szCs w:val="24"/>
        </w:rPr>
        <w:t>intermediate commodity</w:t>
      </w:r>
      <w:r w:rsidRPr="00AC0636">
        <w:rPr>
          <w:rFonts w:ascii="Times New Roman" w:hAnsi="Times New Roman" w:cs="Times New Roman"/>
          <w:sz w:val="24"/>
          <w:szCs w:val="24"/>
        </w:rPr>
        <w:t xml:space="preserve"> n</w:t>
      </w:r>
      <w:r w:rsidRPr="00F57DEC">
        <w:rPr>
          <w:rFonts w:ascii="Times New Roman" w:hAnsi="Times New Roman" w:cs="Times New Roman"/>
          <w:sz w:val="24"/>
          <w:szCs w:val="24"/>
        </w:rPr>
        <w:t xml:space="preserve"> to industry </w:t>
      </w:r>
      <w:r w:rsidRPr="00AC0636">
        <w:rPr>
          <w:rFonts w:ascii="Times New Roman" w:hAnsi="Times New Roman" w:cs="Times New Roman"/>
          <w:sz w:val="24"/>
          <w:szCs w:val="24"/>
        </w:rPr>
        <w:t xml:space="preserve">j </w:t>
      </w:r>
      <w:r w:rsidRPr="00F57DEC">
        <w:rPr>
          <w:rFonts w:ascii="Times New Roman" w:hAnsi="Times New Roman" w:cs="Times New Roman"/>
          <w:sz w:val="24"/>
          <w:szCs w:val="24"/>
        </w:rPr>
        <w:t xml:space="preserve">in region </w:t>
      </w:r>
      <w:r w:rsidRPr="00AC0636">
        <w:rPr>
          <w:rFonts w:ascii="Times New Roman" w:hAnsi="Times New Roman" w:cs="Times New Roman"/>
          <w:sz w:val="24"/>
          <w:szCs w:val="24"/>
        </w:rPr>
        <w:t>s</w:t>
      </w:r>
      <w:r w:rsidRPr="00F57DEC">
        <w:rPr>
          <w:rFonts w:ascii="Times New Roman" w:hAnsi="Times New Roman" w:cs="Times New Roman"/>
          <w:sz w:val="24"/>
          <w:szCs w:val="24"/>
        </w:rPr>
        <w:t xml:space="preserve">.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ODD(</w:t>
      </w:r>
      <w:r w:rsidRPr="005C16C0">
        <w:rPr>
          <w:rFonts w:ascii="Times New Roman" w:hAnsi="Times New Roman" w:cs="Times New Roman"/>
          <w:sz w:val="24"/>
          <w:szCs w:val="24"/>
        </w:rPr>
        <w:t>n,f,s</w:t>
      </w:r>
      <w:r w:rsidRPr="00F57DEC">
        <w:rPr>
          <w:rFonts w:ascii="Times New Roman" w:hAnsi="Times New Roman" w:cs="Times New Roman"/>
          <w:sz w:val="24"/>
          <w:szCs w:val="24"/>
        </w:rPr>
        <w:t xml:space="preserve">) for </w:t>
      </w:r>
      <w:r w:rsidRPr="005C16C0">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Pr>
          <w:rFonts w:ascii="Times New Roman" w:hAnsi="Times New Roman" w:cs="Times New Roman"/>
          <w:sz w:val="24"/>
          <w:szCs w:val="24"/>
        </w:rPr>
        <w:t>f</w:t>
      </w:r>
      <w:r w:rsidRPr="00F57DEC">
        <w:rPr>
          <w:rFonts w:ascii="Times New Roman" w:hAnsi="Times New Roman" w:cs="Times New Roman"/>
          <w:sz w:val="24"/>
          <w:szCs w:val="24"/>
        </w:rPr>
        <w:sym w:font="Symbol" w:char="F0CE"/>
      </w:r>
      <w:r>
        <w:rPr>
          <w:rFonts w:ascii="Times New Roman" w:hAnsi="Times New Roman" w:cs="Times New Roman"/>
          <w:sz w:val="24"/>
          <w:szCs w:val="24"/>
        </w:rPr>
        <w:t xml:space="preserve">NonMVH, </w:t>
      </w:r>
      <w:r w:rsidRPr="005C16C0">
        <w:rPr>
          <w:rFonts w:ascii="Times New Roman" w:hAnsi="Times New Roman" w:cs="Times New Roman"/>
          <w:sz w:val="24"/>
          <w:szCs w:val="24"/>
        </w:rPr>
        <w:t>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1972C0" w:rsidRPr="00F57DEC" w:rsidRDefault="001972C0" w:rsidP="001972C0">
      <w:pPr>
        <w:pStyle w:val="ListParagraph"/>
        <w:tabs>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F57DEC">
        <w:rPr>
          <w:rFonts w:ascii="Times New Roman" w:hAnsi="Times New Roman" w:cs="Times New Roman"/>
          <w:sz w:val="24"/>
          <w:szCs w:val="24"/>
        </w:rPr>
        <w:t>ODD (</w:t>
      </w:r>
      <w:r w:rsidRPr="005C16C0">
        <w:rPr>
          <w:rFonts w:ascii="Times New Roman" w:hAnsi="Times New Roman" w:cs="Times New Roman"/>
          <w:sz w:val="24"/>
          <w:szCs w:val="24"/>
        </w:rPr>
        <w:t>n,f,s</w:t>
      </w:r>
      <w:r w:rsidRPr="00F57DEC">
        <w:rPr>
          <w:rFonts w:ascii="Times New Roman" w:hAnsi="Times New Roman" w:cs="Times New Roman"/>
          <w:sz w:val="24"/>
          <w:szCs w:val="24"/>
        </w:rPr>
        <w:t>)</w:t>
      </w:r>
      <w:r>
        <w:rPr>
          <w:rFonts w:ascii="Times New Roman" w:hAnsi="Times New Roman" w:cs="Times New Roman"/>
          <w:sz w:val="24"/>
          <w:szCs w:val="24"/>
        </w:rPr>
        <w:t xml:space="preserve"> is the </w:t>
      </w:r>
      <w:r w:rsidRPr="00F57DEC">
        <w:rPr>
          <w:rFonts w:ascii="Times New Roman" w:hAnsi="Times New Roman" w:cs="Times New Roman"/>
          <w:sz w:val="24"/>
          <w:szCs w:val="24"/>
        </w:rPr>
        <w:t xml:space="preserve">value of commodity </w:t>
      </w:r>
      <w:r w:rsidRPr="005C16C0">
        <w:rPr>
          <w:rFonts w:ascii="Times New Roman" w:hAnsi="Times New Roman" w:cs="Times New Roman"/>
          <w:sz w:val="24"/>
          <w:szCs w:val="24"/>
        </w:rPr>
        <w:t>n</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(domestic plus imported) used in region s by purchaser f outside the mvh sector.  NonMVH is the set of purchasers outside the mvh sector.  These are non-mvh industries and final demanders (households, capital creators and government but not exports).  </w:t>
      </w:r>
      <w:r w:rsidRPr="00F57DEC">
        <w:rPr>
          <w:rFonts w:ascii="Times New Roman" w:hAnsi="Times New Roman" w:cs="Times New Roman"/>
          <w:sz w:val="24"/>
          <w:szCs w:val="24"/>
        </w:rPr>
        <w:t xml:space="preserve"> </w:t>
      </w:r>
    </w:p>
    <w:p w:rsidR="001972C0" w:rsidRDefault="001972C0" w:rsidP="001972C0">
      <w:pPr>
        <w:pStyle w:val="ListParagraph"/>
        <w:numPr>
          <w:ilvl w:val="0"/>
          <w:numId w:val="15"/>
        </w:numPr>
        <w:tabs>
          <w:tab w:val="left" w:pos="851"/>
          <w:tab w:val="right" w:pos="8789"/>
        </w:tabs>
        <w:spacing w:before="120" w:after="0" w:line="240" w:lineRule="auto"/>
        <w:ind w:left="993" w:hanging="567"/>
        <w:contextualSpacing w:val="0"/>
        <w:rPr>
          <w:rFonts w:ascii="Times New Roman" w:hAnsi="Times New Roman" w:cs="Times New Roman"/>
          <w:sz w:val="24"/>
          <w:szCs w:val="24"/>
        </w:rPr>
      </w:pPr>
      <w:r w:rsidRPr="00F57DEC">
        <w:rPr>
          <w:rFonts w:ascii="Times New Roman" w:hAnsi="Times New Roman" w:cs="Times New Roman"/>
          <w:sz w:val="24"/>
          <w:szCs w:val="24"/>
        </w:rPr>
        <w:t>DDUSE(</w:t>
      </w:r>
      <w:r w:rsidRPr="005C16C0">
        <w:rPr>
          <w:rFonts w:ascii="Times New Roman" w:hAnsi="Times New Roman" w:cs="Times New Roman"/>
          <w:sz w:val="24"/>
          <w:szCs w:val="24"/>
        </w:rPr>
        <w:t>n,s</w:t>
      </w:r>
      <w:r w:rsidRPr="00F57DEC">
        <w:rPr>
          <w:rFonts w:ascii="Times New Roman" w:hAnsi="Times New Roman" w:cs="Times New Roman"/>
          <w:sz w:val="24"/>
          <w:szCs w:val="24"/>
        </w:rPr>
        <w:t xml:space="preserve">) for </w:t>
      </w:r>
      <w:r w:rsidRPr="005C16C0">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sidRPr="005C16C0">
        <w:rPr>
          <w:rFonts w:ascii="Times New Roman" w:hAnsi="Times New Roman" w:cs="Times New Roman"/>
          <w:sz w:val="24"/>
          <w:szCs w:val="24"/>
        </w:rPr>
        <w:t>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1972C0" w:rsidRPr="00F57DEC" w:rsidRDefault="001972C0" w:rsidP="001972C0">
      <w:pPr>
        <w:pStyle w:val="ListParagraph"/>
        <w:tabs>
          <w:tab w:val="left" w:pos="851"/>
          <w:tab w:val="right" w:pos="8789"/>
        </w:tabs>
        <w:spacing w:after="0" w:line="240" w:lineRule="auto"/>
        <w:ind w:left="992"/>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F57DEC">
        <w:rPr>
          <w:rFonts w:ascii="Times New Roman" w:hAnsi="Times New Roman" w:cs="Times New Roman"/>
          <w:sz w:val="24"/>
          <w:szCs w:val="24"/>
        </w:rPr>
        <w:t>DDUSE(</w:t>
      </w:r>
      <w:r w:rsidRPr="005C16C0">
        <w:rPr>
          <w:rFonts w:ascii="Times New Roman" w:hAnsi="Times New Roman" w:cs="Times New Roman"/>
          <w:sz w:val="24"/>
          <w:szCs w:val="24"/>
        </w:rPr>
        <w:t>n,s)</w:t>
      </w:r>
      <w:r>
        <w:rPr>
          <w:rFonts w:ascii="Times New Roman" w:hAnsi="Times New Roman" w:cs="Times New Roman"/>
          <w:sz w:val="24"/>
          <w:szCs w:val="24"/>
        </w:rPr>
        <w:t xml:space="preserve"> is the value of </w:t>
      </w:r>
      <w:r w:rsidRPr="00F57DEC">
        <w:rPr>
          <w:rFonts w:ascii="Times New Roman" w:hAnsi="Times New Roman" w:cs="Times New Roman"/>
          <w:sz w:val="24"/>
          <w:szCs w:val="24"/>
        </w:rPr>
        <w:t xml:space="preserve">domestically produced commodity </w:t>
      </w:r>
      <w:r w:rsidRPr="00DA7DA7">
        <w:rPr>
          <w:rFonts w:ascii="Times New Roman" w:hAnsi="Times New Roman" w:cs="Times New Roman"/>
          <w:sz w:val="24"/>
          <w:szCs w:val="24"/>
        </w:rPr>
        <w:t xml:space="preserve">n </w:t>
      </w:r>
      <w:r>
        <w:rPr>
          <w:rFonts w:ascii="Times New Roman" w:hAnsi="Times New Roman" w:cs="Times New Roman"/>
          <w:sz w:val="24"/>
          <w:szCs w:val="24"/>
        </w:rPr>
        <w:t xml:space="preserve">absorbed in </w:t>
      </w:r>
      <w:r w:rsidRPr="00F57DEC">
        <w:rPr>
          <w:rFonts w:ascii="Times New Roman" w:hAnsi="Times New Roman" w:cs="Times New Roman"/>
          <w:sz w:val="24"/>
          <w:szCs w:val="24"/>
        </w:rPr>
        <w:t xml:space="preserve"> region </w:t>
      </w:r>
      <w:r w:rsidRPr="00DA7DA7">
        <w:rPr>
          <w:rFonts w:ascii="Times New Roman" w:hAnsi="Times New Roman" w:cs="Times New Roman"/>
          <w:sz w:val="24"/>
          <w:szCs w:val="24"/>
        </w:rPr>
        <w:t>s</w:t>
      </w:r>
      <w:r w:rsidRPr="00F57DEC">
        <w:rPr>
          <w:rFonts w:ascii="Times New Roman" w:hAnsi="Times New Roman" w:cs="Times New Roman"/>
          <w:sz w:val="24"/>
          <w:szCs w:val="24"/>
        </w:rPr>
        <w:t>.</w:t>
      </w:r>
    </w:p>
    <w:p w:rsidR="001972C0" w:rsidRDefault="001972C0" w:rsidP="001972C0">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DABS(</w:t>
      </w:r>
      <w:r w:rsidRPr="00DA7DA7">
        <w:rPr>
          <w:rFonts w:ascii="Times New Roman" w:hAnsi="Times New Roman" w:cs="Times New Roman"/>
          <w:sz w:val="24"/>
          <w:szCs w:val="24"/>
        </w:rPr>
        <w:t>n,d</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sidRPr="00DA7DA7">
        <w:rPr>
          <w:rFonts w:ascii="Times New Roman" w:hAnsi="Times New Roman" w:cs="Times New Roman"/>
          <w:sz w:val="24"/>
          <w:szCs w:val="24"/>
        </w:rPr>
        <w:t>d</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OTHREG </w:t>
      </w:r>
    </w:p>
    <w:p w:rsidR="001972C0" w:rsidRDefault="001972C0" w:rsidP="001972C0">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F57DEC">
        <w:rPr>
          <w:rFonts w:ascii="Times New Roman" w:hAnsi="Times New Roman" w:cs="Times New Roman"/>
          <w:sz w:val="24"/>
          <w:szCs w:val="24"/>
        </w:rPr>
        <w:t>DABS(</w:t>
      </w:r>
      <w:r w:rsidRPr="00BA454E">
        <w:rPr>
          <w:rFonts w:ascii="Times New Roman" w:hAnsi="Times New Roman" w:cs="Times New Roman"/>
          <w:sz w:val="24"/>
          <w:szCs w:val="24"/>
        </w:rPr>
        <w:t>n,d</w:t>
      </w:r>
      <w:r w:rsidRPr="00F57DEC">
        <w:rPr>
          <w:rFonts w:ascii="Times New Roman" w:hAnsi="Times New Roman" w:cs="Times New Roman"/>
          <w:sz w:val="24"/>
          <w:szCs w:val="24"/>
        </w:rPr>
        <w:t>)</w:t>
      </w:r>
      <w:r>
        <w:rPr>
          <w:rFonts w:ascii="Times New Roman" w:hAnsi="Times New Roman" w:cs="Times New Roman"/>
          <w:sz w:val="24"/>
          <w:szCs w:val="24"/>
        </w:rPr>
        <w:t xml:space="preserve"> is the value of </w:t>
      </w:r>
      <w:r w:rsidRPr="00F57DEC">
        <w:rPr>
          <w:rFonts w:ascii="Times New Roman" w:hAnsi="Times New Roman" w:cs="Times New Roman"/>
          <w:sz w:val="24"/>
          <w:szCs w:val="24"/>
        </w:rPr>
        <w:t xml:space="preserve">total absorption </w:t>
      </w:r>
      <w:r>
        <w:rPr>
          <w:rFonts w:ascii="Times New Roman" w:hAnsi="Times New Roman" w:cs="Times New Roman"/>
          <w:sz w:val="24"/>
          <w:szCs w:val="24"/>
        </w:rPr>
        <w:t>(domestic plus imported)</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F57DEC">
        <w:rPr>
          <w:rFonts w:ascii="Times New Roman" w:hAnsi="Times New Roman" w:cs="Times New Roman"/>
          <w:sz w:val="24"/>
          <w:szCs w:val="24"/>
        </w:rPr>
        <w:t xml:space="preserve">commodity </w:t>
      </w:r>
      <w:r w:rsidRPr="00DA7DA7">
        <w:rPr>
          <w:rFonts w:ascii="Times New Roman" w:hAnsi="Times New Roman" w:cs="Times New Roman"/>
          <w:sz w:val="24"/>
          <w:szCs w:val="24"/>
        </w:rPr>
        <w:t>n</w:t>
      </w:r>
      <w:r w:rsidRPr="00F57DEC">
        <w:rPr>
          <w:rFonts w:ascii="Times New Roman" w:hAnsi="Times New Roman" w:cs="Times New Roman"/>
          <w:sz w:val="24"/>
          <w:szCs w:val="24"/>
        </w:rPr>
        <w:t xml:space="preserve"> in region </w:t>
      </w:r>
      <w:r w:rsidRPr="00DA7DA7">
        <w:rPr>
          <w:rFonts w:ascii="Times New Roman" w:hAnsi="Times New Roman" w:cs="Times New Roman"/>
          <w:sz w:val="24"/>
          <w:szCs w:val="24"/>
        </w:rPr>
        <w:t>d</w:t>
      </w:r>
      <w:r w:rsidRPr="00F57DEC">
        <w:rPr>
          <w:rFonts w:ascii="Times New Roman" w:hAnsi="Times New Roman" w:cs="Times New Roman"/>
          <w:sz w:val="24"/>
          <w:szCs w:val="24"/>
        </w:rPr>
        <w:t xml:space="preserve">. </w:t>
      </w:r>
    </w:p>
    <w:p w:rsidR="001972C0" w:rsidRPr="00DD738F" w:rsidRDefault="001972C0" w:rsidP="001972C0">
      <w:pPr>
        <w:tabs>
          <w:tab w:val="left" w:pos="993"/>
          <w:tab w:val="right" w:pos="8789"/>
        </w:tabs>
        <w:spacing w:before="120"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We also estimate </w:t>
      </w:r>
    </w:p>
    <w:p w:rsidR="001972C0" w:rsidRDefault="001972C0" w:rsidP="001972C0">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ADJ</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d</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sidRPr="00DA7DA7">
        <w:rPr>
          <w:rFonts w:ascii="Times New Roman" w:hAnsi="Times New Roman" w:cs="Times New Roman"/>
          <w:sz w:val="24"/>
          <w:szCs w:val="24"/>
        </w:rPr>
        <w:t>d</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OTHREG </w:t>
      </w:r>
    </w:p>
    <w:p w:rsidR="001972C0" w:rsidRDefault="001972C0" w:rsidP="001972C0">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where ADJ</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d</w:t>
      </w:r>
      <w:r w:rsidRPr="00F57DEC">
        <w:rPr>
          <w:rFonts w:ascii="Times New Roman" w:hAnsi="Times New Roman" w:cs="Times New Roman"/>
          <w:sz w:val="24"/>
          <w:szCs w:val="24"/>
        </w:rPr>
        <w:t>)</w:t>
      </w:r>
      <w:r>
        <w:rPr>
          <w:rFonts w:ascii="Times New Roman" w:hAnsi="Times New Roman" w:cs="Times New Roman"/>
          <w:sz w:val="24"/>
          <w:szCs w:val="24"/>
        </w:rPr>
        <w:t xml:space="preserve"> is an adjustment </w:t>
      </w:r>
      <w:r w:rsidRPr="00880C8C">
        <w:rPr>
          <w:rFonts w:ascii="Times New Roman" w:hAnsi="Times New Roman" w:cs="Times New Roman"/>
          <w:sz w:val="24"/>
          <w:szCs w:val="24"/>
        </w:rPr>
        <w:t xml:space="preserve">factor on demand and supply of commodity </w:t>
      </w:r>
      <w:r w:rsidRPr="00BA454E">
        <w:rPr>
          <w:rFonts w:ascii="Times New Roman" w:hAnsi="Times New Roman" w:cs="Times New Roman"/>
          <w:sz w:val="24"/>
          <w:szCs w:val="24"/>
        </w:rPr>
        <w:t>n</w:t>
      </w:r>
      <w:r w:rsidRPr="00880C8C">
        <w:rPr>
          <w:rFonts w:ascii="Times New Roman" w:hAnsi="Times New Roman" w:cs="Times New Roman"/>
          <w:sz w:val="24"/>
          <w:szCs w:val="24"/>
        </w:rPr>
        <w:t xml:space="preserve"> in </w:t>
      </w:r>
      <w:r>
        <w:rPr>
          <w:rFonts w:ascii="Times New Roman" w:hAnsi="Times New Roman" w:cs="Times New Roman"/>
          <w:sz w:val="24"/>
          <w:szCs w:val="24"/>
        </w:rPr>
        <w:t xml:space="preserve">region </w:t>
      </w:r>
      <w:r w:rsidRPr="00BA454E">
        <w:rPr>
          <w:rFonts w:ascii="Times New Roman" w:hAnsi="Times New Roman" w:cs="Times New Roman"/>
          <w:sz w:val="24"/>
          <w:szCs w:val="24"/>
        </w:rPr>
        <w:t>d</w:t>
      </w:r>
      <w:r>
        <w:rPr>
          <w:rFonts w:ascii="Times New Roman" w:hAnsi="Times New Roman" w:cs="Times New Roman"/>
          <w:sz w:val="24"/>
          <w:szCs w:val="24"/>
        </w:rPr>
        <w:t xml:space="preserve">.  As we will see shortly, this factor is used to adjust our initial guesses of </w:t>
      </w:r>
      <w:r>
        <w:rPr>
          <w:rFonts w:ascii="Times New Roman" w:hAnsi="Times New Roman" w:cs="Times New Roman"/>
          <w:sz w:val="24"/>
          <w:szCs w:val="24"/>
        </w:rPr>
        <w:lastRenderedPageBreak/>
        <w:t xml:space="preserve">demand and supply variables to align estimates of absorption in each region based on supply (output plus imports less exports) and demand (intermediate and final use excluding exports).  A value of ADJ(n,d) of greater than one adjusts demand variables up and supply variables down.   </w:t>
      </w:r>
    </w:p>
    <w:p w:rsidR="001972C0" w:rsidRDefault="001972C0" w:rsidP="001972C0">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USCAN</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sym w:font="Symbol" w:char="F0CE"/>
      </w:r>
      <w:r>
        <w:rPr>
          <w:rFonts w:ascii="Times New Roman" w:hAnsi="Times New Roman" w:cs="Times New Roman"/>
          <w:sz w:val="24"/>
          <w:szCs w:val="24"/>
        </w:rPr>
        <w:t>INPUT, j</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p>
    <w:p w:rsidR="001972C0" w:rsidRDefault="001972C0" w:rsidP="001972C0">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where A</w:t>
      </w:r>
      <w:r>
        <w:rPr>
          <w:rFonts w:ascii="Times New Roman" w:hAnsi="Times New Roman" w:cs="Times New Roman"/>
          <w:sz w:val="24"/>
          <w:szCs w:val="24"/>
          <w:vertAlign w:val="subscript"/>
        </w:rPr>
        <w:t>USCAN</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w:t>
      </w:r>
      <w:r>
        <w:rPr>
          <w:rFonts w:ascii="Times New Roman" w:hAnsi="Times New Roman" w:cs="Times New Roman"/>
          <w:sz w:val="24"/>
          <w:szCs w:val="24"/>
        </w:rPr>
        <w:t xml:space="preserve"> is the average input-output coefficient for Canada and the U.S. for the use of n in industry j.</w:t>
      </w:r>
    </w:p>
    <w:p w:rsidR="001972C0" w:rsidRDefault="001972C0" w:rsidP="001972C0">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sidRPr="00387CFF">
        <w:rPr>
          <w:rFonts w:ascii="Times New Roman" w:hAnsi="Times New Roman" w:cs="Times New Roman"/>
          <w:sz w:val="24"/>
          <w:szCs w:val="24"/>
        </w:rPr>
        <w:t>MSH(n,s,d)</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t xml:space="preserve"> </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w:t>
      </w:r>
      <w:r>
        <w:rPr>
          <w:rFonts w:ascii="Times New Roman" w:hAnsi="Times New Roman" w:cs="Times New Roman"/>
          <w:sz w:val="24"/>
          <w:szCs w:val="24"/>
        </w:rPr>
        <w:t>MVH, s, d</w:t>
      </w:r>
      <w:r w:rsidRPr="00F57DEC">
        <w:rPr>
          <w:rFonts w:ascii="Times New Roman" w:hAnsi="Times New Roman" w:cs="Times New Roman"/>
          <w:sz w:val="24"/>
          <w:szCs w:val="24"/>
        </w:rPr>
        <w:sym w:font="Symbol" w:char="F0CE"/>
      </w:r>
      <w:r>
        <w:rPr>
          <w:rFonts w:ascii="Times New Roman" w:hAnsi="Times New Roman" w:cs="Times New Roman"/>
          <w:sz w:val="24"/>
          <w:szCs w:val="24"/>
        </w:rPr>
        <w:t>OTHREG</w:t>
      </w:r>
    </w:p>
    <w:p w:rsidR="001972C0" w:rsidRPr="004D3239" w:rsidRDefault="001972C0" w:rsidP="001972C0">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387CFF">
        <w:rPr>
          <w:rFonts w:ascii="Times New Roman" w:hAnsi="Times New Roman" w:cs="Times New Roman"/>
          <w:sz w:val="24"/>
          <w:szCs w:val="24"/>
        </w:rPr>
        <w:t>MSH(n,s,d)</w:t>
      </w:r>
      <w:r>
        <w:rPr>
          <w:rFonts w:ascii="Times New Roman" w:hAnsi="Times New Roman" w:cs="Times New Roman"/>
          <w:sz w:val="24"/>
          <w:szCs w:val="24"/>
        </w:rPr>
        <w:t xml:space="preserve"> is t</w:t>
      </w:r>
      <w:r w:rsidRPr="00387CFF">
        <w:rPr>
          <w:rFonts w:ascii="Times New Roman" w:hAnsi="Times New Roman" w:cs="Times New Roman"/>
          <w:sz w:val="24"/>
          <w:szCs w:val="24"/>
        </w:rPr>
        <w:t>he share of the absorption of n in region d accounted for by supplies from region s</w:t>
      </w:r>
      <w:r>
        <w:rPr>
          <w:rFonts w:ascii="Times New Roman" w:hAnsi="Times New Roman" w:cs="Times New Roman"/>
          <w:sz w:val="24"/>
          <w:szCs w:val="24"/>
        </w:rPr>
        <w:t>.</w:t>
      </w:r>
    </w:p>
    <w:p w:rsidR="001972C0" w:rsidRDefault="001972C0" w:rsidP="001972C0">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We base the estimates of these coefficients on values given by data or initial guesses of: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TR(</w:t>
      </w:r>
      <w:r w:rsidRPr="00F57DEC">
        <w:rPr>
          <w:rFonts w:ascii="Times New Roman" w:hAnsi="Times New Roman" w:cs="Times New Roman"/>
          <w:sz w:val="24"/>
          <w:szCs w:val="24"/>
        </w:rPr>
        <w:t>n,s</w:t>
      </w:r>
      <w:r>
        <w:rPr>
          <w:rFonts w:ascii="Times New Roman" w:hAnsi="Times New Roman" w:cs="Times New Roman"/>
          <w:sz w:val="24"/>
          <w:szCs w:val="24"/>
        </w:rPr>
        <w:t>,d</w:t>
      </w:r>
      <w:r w:rsidRPr="00F57DEC">
        <w:rPr>
          <w:rFonts w:ascii="Times New Roman" w:hAnsi="Times New Roman" w:cs="Times New Roman"/>
          <w:sz w:val="24"/>
          <w:szCs w:val="24"/>
        </w:rPr>
        <w:t>)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 xml:space="preserve">, </w:t>
      </w:r>
      <w:r>
        <w:rPr>
          <w:rFonts w:ascii="Times New Roman" w:hAnsi="Times New Roman" w:cs="Times New Roman"/>
          <w:sz w:val="24"/>
          <w:szCs w:val="24"/>
        </w:rPr>
        <w:t>s, d</w:t>
      </w:r>
      <w:r w:rsidRPr="00F57DEC">
        <w:rPr>
          <w:rFonts w:ascii="Times New Roman" w:hAnsi="Times New Roman" w:cs="Times New Roman"/>
          <w:sz w:val="24"/>
          <w:szCs w:val="24"/>
        </w:rPr>
        <w:sym w:font="Symbol" w:char="F0CE"/>
      </w:r>
      <w:r>
        <w:rPr>
          <w:rFonts w:ascii="Times New Roman" w:hAnsi="Times New Roman" w:cs="Times New Roman"/>
          <w:sz w:val="24"/>
          <w:szCs w:val="24"/>
        </w:rPr>
        <w:t>REG</w:t>
      </w:r>
      <w:r w:rsidRPr="00F57DEC">
        <w:rPr>
          <w:rFonts w:ascii="Times New Roman" w:hAnsi="Times New Roman" w:cs="Times New Roman"/>
          <w:sz w:val="24"/>
          <w:szCs w:val="24"/>
        </w:rPr>
        <w:t>,</w:t>
      </w:r>
      <w:r>
        <w:rPr>
          <w:rFonts w:ascii="Times New Roman" w:hAnsi="Times New Roman" w:cs="Times New Roman"/>
          <w:sz w:val="24"/>
          <w:szCs w:val="24"/>
        </w:rPr>
        <w:t xml:space="preserve"> </w:t>
      </w:r>
    </w:p>
    <w:p w:rsidR="001972C0"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TR(</w:t>
      </w:r>
      <w:r w:rsidRPr="00F57DEC">
        <w:rPr>
          <w:rFonts w:ascii="Times New Roman" w:hAnsi="Times New Roman" w:cs="Times New Roman"/>
          <w:sz w:val="24"/>
          <w:szCs w:val="24"/>
        </w:rPr>
        <w:t>n,s</w:t>
      </w:r>
      <w:r>
        <w:rPr>
          <w:rFonts w:ascii="Times New Roman" w:hAnsi="Times New Roman" w:cs="Times New Roman"/>
          <w:sz w:val="24"/>
          <w:szCs w:val="24"/>
        </w:rPr>
        <w:t>,d</w:t>
      </w:r>
      <w:r w:rsidRPr="00F57DEC">
        <w:rPr>
          <w:rFonts w:ascii="Times New Roman" w:hAnsi="Times New Roman" w:cs="Times New Roman"/>
          <w:sz w:val="24"/>
          <w:szCs w:val="24"/>
        </w:rPr>
        <w:t>)</w:t>
      </w:r>
      <w:r>
        <w:rPr>
          <w:rFonts w:ascii="Times New Roman" w:hAnsi="Times New Roman" w:cs="Times New Roman"/>
          <w:sz w:val="24"/>
          <w:szCs w:val="24"/>
        </w:rPr>
        <w:t xml:space="preserve"> is the value of commodity n exported from region s to region d.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VQ</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w:t>
      </w:r>
      <w:r>
        <w:rPr>
          <w:rFonts w:ascii="Times New Roman" w:hAnsi="Times New Roman" w:cs="Times New Roman"/>
          <w:sz w:val="24"/>
          <w:szCs w:val="24"/>
        </w:rPr>
        <w:t xml:space="preserve"> </w:t>
      </w:r>
    </w:p>
    <w:p w:rsidR="001972C0"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VQ</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 xml:space="preserve">n) </w:t>
      </w:r>
      <w:r>
        <w:rPr>
          <w:rFonts w:ascii="Times New Roman" w:hAnsi="Times New Roman" w:cs="Times New Roman"/>
          <w:sz w:val="24"/>
          <w:szCs w:val="24"/>
        </w:rPr>
        <w:t xml:space="preserve">is the aggregate value, calculated from U.S. and Canadian input-output data updated to 2015, of input n produced in the two countries.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 for n</w:t>
      </w:r>
      <w:r w:rsidRPr="00F57DEC">
        <w:rPr>
          <w:rFonts w:ascii="Times New Roman" w:hAnsi="Times New Roman" w:cs="Times New Roman"/>
          <w:sz w:val="24"/>
          <w:szCs w:val="24"/>
        </w:rPr>
        <w:sym w:font="Symbol" w:char="F0CE"/>
      </w:r>
      <w:r>
        <w:rPr>
          <w:rFonts w:ascii="Times New Roman" w:hAnsi="Times New Roman" w:cs="Times New Roman"/>
          <w:sz w:val="24"/>
          <w:szCs w:val="24"/>
        </w:rPr>
        <w:t>INPUT, j</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p>
    <w:p w:rsidR="001972C0"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Z</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the aggregate value, calculated from U.S. and Canadian input-output data updated to 2015, of input n (domestic plus imported if n is a commodity) used in the production of j in the two countries.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ODD</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w:t>
      </w:r>
      <w:r>
        <w:rPr>
          <w:rFonts w:ascii="Times New Roman" w:hAnsi="Times New Roman" w:cs="Times New Roman"/>
          <w:sz w:val="24"/>
          <w:szCs w:val="24"/>
        </w:rPr>
        <w:t>,f</w:t>
      </w:r>
      <w:r w:rsidRPr="00F57DEC">
        <w:rPr>
          <w:rFonts w:ascii="Times New Roman" w:hAnsi="Times New Roman" w:cs="Times New Roman"/>
          <w:sz w:val="24"/>
          <w:szCs w:val="24"/>
        </w:rPr>
        <w:t xml:space="preserve">) for n </w:t>
      </w:r>
      <w:r w:rsidRPr="00F57DEC">
        <w:rPr>
          <w:rFonts w:ascii="Times New Roman" w:hAnsi="Times New Roman" w:cs="Times New Roman"/>
          <w:sz w:val="24"/>
          <w:szCs w:val="24"/>
        </w:rPr>
        <w:sym w:font="Symbol" w:char="F0CE"/>
      </w:r>
      <w:r>
        <w:rPr>
          <w:rFonts w:ascii="Times New Roman" w:hAnsi="Times New Roman" w:cs="Times New Roman"/>
          <w:sz w:val="24"/>
          <w:szCs w:val="24"/>
        </w:rPr>
        <w:t>MVH, f</w:t>
      </w:r>
      <w:r w:rsidRPr="00F57DEC">
        <w:rPr>
          <w:rFonts w:ascii="Times New Roman" w:hAnsi="Times New Roman" w:cs="Times New Roman"/>
          <w:sz w:val="24"/>
          <w:szCs w:val="24"/>
        </w:rPr>
        <w:sym w:font="Symbol" w:char="F0CE"/>
      </w:r>
      <w:r>
        <w:rPr>
          <w:rFonts w:ascii="Times New Roman" w:hAnsi="Times New Roman" w:cs="Times New Roman"/>
          <w:sz w:val="24"/>
          <w:szCs w:val="24"/>
        </w:rPr>
        <w:t>NonMVH</w:t>
      </w:r>
    </w:p>
    <w:p w:rsidR="001972C0"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ODD</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w:t>
      </w:r>
      <w:r>
        <w:rPr>
          <w:rFonts w:ascii="Times New Roman" w:hAnsi="Times New Roman" w:cs="Times New Roman"/>
          <w:sz w:val="24"/>
          <w:szCs w:val="24"/>
        </w:rPr>
        <w:t>,f</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the aggregate value, calculated from U.S. and Canadian input-output data updated to 2015, of commodity n (domestic plus imported) used by purchaser f in the two countries.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VQ1(</w:t>
      </w:r>
      <w:r w:rsidRPr="00F57DEC">
        <w:rPr>
          <w:rFonts w:ascii="Times New Roman" w:hAnsi="Times New Roman" w:cs="Times New Roman"/>
          <w:sz w:val="24"/>
          <w:szCs w:val="24"/>
        </w:rPr>
        <w:t>n</w:t>
      </w:r>
      <w:r>
        <w:rPr>
          <w:rFonts w:ascii="Times New Roman" w:hAnsi="Times New Roman" w:cs="Times New Roman"/>
          <w:sz w:val="24"/>
          <w:szCs w:val="24"/>
        </w:rPr>
        <w:t>,s</w:t>
      </w:r>
      <w:r w:rsidRPr="00F57DEC">
        <w:rPr>
          <w:rFonts w:ascii="Times New Roman" w:hAnsi="Times New Roman" w:cs="Times New Roman"/>
          <w:sz w:val="24"/>
          <w:szCs w:val="24"/>
        </w:rPr>
        <w:t>)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w:t>
      </w:r>
      <w:r>
        <w:rPr>
          <w:rFonts w:ascii="Times New Roman" w:hAnsi="Times New Roman" w:cs="Times New Roman"/>
          <w:sz w:val="24"/>
          <w:szCs w:val="24"/>
        </w:rPr>
        <w:t xml:space="preserve"> s</w:t>
      </w:r>
      <w:r w:rsidRPr="00F57DEC">
        <w:rPr>
          <w:rFonts w:ascii="Times New Roman" w:hAnsi="Times New Roman" w:cs="Times New Roman"/>
          <w:sz w:val="24"/>
          <w:szCs w:val="24"/>
        </w:rPr>
        <w:sym w:font="Symbol" w:char="F0CE"/>
      </w:r>
      <w:r>
        <w:rPr>
          <w:rFonts w:ascii="Times New Roman" w:hAnsi="Times New Roman" w:cs="Times New Roman"/>
          <w:sz w:val="24"/>
          <w:szCs w:val="24"/>
        </w:rPr>
        <w:t>OTHREG</w:t>
      </w:r>
    </w:p>
    <w:p w:rsidR="001972C0"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VQ1(</w:t>
      </w:r>
      <w:r w:rsidRPr="00F57DEC">
        <w:rPr>
          <w:rFonts w:ascii="Times New Roman" w:hAnsi="Times New Roman" w:cs="Times New Roman"/>
          <w:sz w:val="24"/>
          <w:szCs w:val="24"/>
        </w:rPr>
        <w:t>n</w:t>
      </w:r>
      <w:r>
        <w:rPr>
          <w:rFonts w:ascii="Times New Roman" w:hAnsi="Times New Roman" w:cs="Times New Roman"/>
          <w:sz w:val="24"/>
          <w:szCs w:val="24"/>
        </w:rPr>
        <w:t>,s</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our initial guess of the value of commodity n produced region s.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Z1(</w:t>
      </w:r>
      <w:r w:rsidRPr="00F57DEC">
        <w:rPr>
          <w:rFonts w:ascii="Times New Roman" w:hAnsi="Times New Roman" w:cs="Times New Roman"/>
          <w:sz w:val="24"/>
          <w:szCs w:val="24"/>
        </w:rPr>
        <w:t>n</w:t>
      </w:r>
      <w:r>
        <w:rPr>
          <w:rFonts w:ascii="Times New Roman" w:hAnsi="Times New Roman" w:cs="Times New Roman"/>
          <w:sz w:val="24"/>
          <w:szCs w:val="24"/>
        </w:rPr>
        <w:t>,j,s</w:t>
      </w:r>
      <w:r w:rsidRPr="00F57DEC">
        <w:rPr>
          <w:rFonts w:ascii="Times New Roman" w:hAnsi="Times New Roman" w:cs="Times New Roman"/>
          <w:sz w:val="24"/>
          <w:szCs w:val="24"/>
        </w:rPr>
        <w:t>) for n</w:t>
      </w:r>
      <w:r>
        <w:rPr>
          <w:rFonts w:ascii="Times New Roman" w:hAnsi="Times New Roman" w:cs="Times New Roman"/>
          <w:sz w:val="24"/>
          <w:szCs w:val="24"/>
        </w:rPr>
        <w:t>, j</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w:t>
      </w:r>
      <w:r>
        <w:rPr>
          <w:rFonts w:ascii="Times New Roman" w:hAnsi="Times New Roman" w:cs="Times New Roman"/>
          <w:sz w:val="24"/>
          <w:szCs w:val="24"/>
        </w:rPr>
        <w:t xml:space="preserve"> s</w:t>
      </w:r>
      <w:r w:rsidRPr="00F57DEC">
        <w:rPr>
          <w:rFonts w:ascii="Times New Roman" w:hAnsi="Times New Roman" w:cs="Times New Roman"/>
          <w:sz w:val="24"/>
          <w:szCs w:val="24"/>
        </w:rPr>
        <w:sym w:font="Symbol" w:char="F0CE"/>
      </w:r>
      <w:r>
        <w:rPr>
          <w:rFonts w:ascii="Times New Roman" w:hAnsi="Times New Roman" w:cs="Times New Roman"/>
          <w:sz w:val="24"/>
          <w:szCs w:val="24"/>
        </w:rPr>
        <w:t>OTHREG</w:t>
      </w:r>
    </w:p>
    <w:p w:rsidR="001972C0" w:rsidRDefault="001972C0" w:rsidP="001972C0">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Z1(</w:t>
      </w:r>
      <w:r w:rsidRPr="00F57DEC">
        <w:rPr>
          <w:rFonts w:ascii="Times New Roman" w:hAnsi="Times New Roman" w:cs="Times New Roman"/>
          <w:sz w:val="24"/>
          <w:szCs w:val="24"/>
        </w:rPr>
        <w:t>n</w:t>
      </w:r>
      <w:r>
        <w:rPr>
          <w:rFonts w:ascii="Times New Roman" w:hAnsi="Times New Roman" w:cs="Times New Roman"/>
          <w:sz w:val="24"/>
          <w:szCs w:val="24"/>
        </w:rPr>
        <w:t>,j,s</w:t>
      </w:r>
      <w:r w:rsidRPr="00F57DEC">
        <w:rPr>
          <w:rFonts w:ascii="Times New Roman" w:hAnsi="Times New Roman" w:cs="Times New Roman"/>
          <w:sz w:val="24"/>
          <w:szCs w:val="24"/>
        </w:rPr>
        <w:t xml:space="preserve">) </w:t>
      </w:r>
      <w:r>
        <w:rPr>
          <w:rFonts w:ascii="Times New Roman" w:hAnsi="Times New Roman" w:cs="Times New Roman"/>
          <w:sz w:val="24"/>
          <w:szCs w:val="24"/>
        </w:rPr>
        <w:t>is</w:t>
      </w:r>
      <w:r w:rsidRPr="00DD738F">
        <w:rPr>
          <w:rFonts w:ascii="Times New Roman" w:hAnsi="Times New Roman" w:cs="Times New Roman"/>
          <w:sz w:val="24"/>
          <w:szCs w:val="24"/>
        </w:rPr>
        <w:t xml:space="preserve"> </w:t>
      </w:r>
      <w:r>
        <w:rPr>
          <w:rFonts w:ascii="Times New Roman" w:hAnsi="Times New Roman" w:cs="Times New Roman"/>
          <w:sz w:val="24"/>
          <w:szCs w:val="24"/>
        </w:rPr>
        <w:t xml:space="preserve">our initial guess of the value of commodity n (domestic plus imported) used in the production of j in region s.  </w:t>
      </w:r>
    </w:p>
    <w:p w:rsidR="001972C0" w:rsidRDefault="001972C0" w:rsidP="001972C0">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ODD1(</w:t>
      </w:r>
      <w:r w:rsidRPr="00F57DEC">
        <w:rPr>
          <w:rFonts w:ascii="Times New Roman" w:hAnsi="Times New Roman" w:cs="Times New Roman"/>
          <w:sz w:val="24"/>
          <w:szCs w:val="24"/>
        </w:rPr>
        <w:t>n</w:t>
      </w:r>
      <w:r>
        <w:rPr>
          <w:rFonts w:ascii="Times New Roman" w:hAnsi="Times New Roman" w:cs="Times New Roman"/>
          <w:sz w:val="24"/>
          <w:szCs w:val="24"/>
        </w:rPr>
        <w:t>,f,s</w:t>
      </w:r>
      <w:r w:rsidRPr="00F57DEC">
        <w:rPr>
          <w:rFonts w:ascii="Times New Roman" w:hAnsi="Times New Roman" w:cs="Times New Roman"/>
          <w:sz w:val="24"/>
          <w:szCs w:val="24"/>
        </w:rPr>
        <w:t xml:space="preserve">) for n </w:t>
      </w:r>
      <w:r w:rsidRPr="00F57DEC">
        <w:rPr>
          <w:rFonts w:ascii="Times New Roman" w:hAnsi="Times New Roman" w:cs="Times New Roman"/>
          <w:sz w:val="24"/>
          <w:szCs w:val="24"/>
        </w:rPr>
        <w:sym w:font="Symbol" w:char="F0CE"/>
      </w:r>
      <w:r>
        <w:rPr>
          <w:rFonts w:ascii="Times New Roman" w:hAnsi="Times New Roman" w:cs="Times New Roman"/>
          <w:sz w:val="24"/>
          <w:szCs w:val="24"/>
        </w:rPr>
        <w:t>MVH, f</w:t>
      </w:r>
      <w:r w:rsidRPr="00F57DEC">
        <w:rPr>
          <w:rFonts w:ascii="Times New Roman" w:hAnsi="Times New Roman" w:cs="Times New Roman"/>
          <w:sz w:val="24"/>
          <w:szCs w:val="24"/>
        </w:rPr>
        <w:sym w:font="Symbol" w:char="F0CE"/>
      </w:r>
      <w:r>
        <w:rPr>
          <w:rFonts w:ascii="Times New Roman" w:hAnsi="Times New Roman" w:cs="Times New Roman"/>
          <w:sz w:val="24"/>
          <w:szCs w:val="24"/>
        </w:rPr>
        <w:t>NonMVH</w:t>
      </w:r>
      <w:r w:rsidRPr="00F57DEC">
        <w:rPr>
          <w:rFonts w:ascii="Times New Roman" w:hAnsi="Times New Roman" w:cs="Times New Roman"/>
          <w:sz w:val="24"/>
          <w:szCs w:val="24"/>
        </w:rPr>
        <w:t>,</w:t>
      </w:r>
      <w:r>
        <w:rPr>
          <w:rFonts w:ascii="Times New Roman" w:hAnsi="Times New Roman" w:cs="Times New Roman"/>
          <w:sz w:val="24"/>
          <w:szCs w:val="24"/>
        </w:rPr>
        <w:t xml:space="preserve"> s</w:t>
      </w:r>
      <w:r w:rsidRPr="00F57DEC">
        <w:rPr>
          <w:rFonts w:ascii="Times New Roman" w:hAnsi="Times New Roman" w:cs="Times New Roman"/>
          <w:sz w:val="24"/>
          <w:szCs w:val="24"/>
        </w:rPr>
        <w:sym w:font="Symbol" w:char="F0CE"/>
      </w:r>
      <w:r>
        <w:rPr>
          <w:rFonts w:ascii="Times New Roman" w:hAnsi="Times New Roman" w:cs="Times New Roman"/>
          <w:sz w:val="24"/>
          <w:szCs w:val="24"/>
        </w:rPr>
        <w:t>OTHREG</w:t>
      </w:r>
    </w:p>
    <w:p w:rsidR="001972C0" w:rsidRDefault="001972C0" w:rsidP="001972C0">
      <w:pPr>
        <w:pStyle w:val="ListParagraph"/>
        <w:tabs>
          <w:tab w:val="left" w:pos="993"/>
          <w:tab w:val="right" w:pos="9026"/>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ODD1(</w:t>
      </w:r>
      <w:r w:rsidRPr="00F57DEC">
        <w:rPr>
          <w:rFonts w:ascii="Times New Roman" w:hAnsi="Times New Roman" w:cs="Times New Roman"/>
          <w:sz w:val="24"/>
          <w:szCs w:val="24"/>
        </w:rPr>
        <w:t>n</w:t>
      </w:r>
      <w:r>
        <w:rPr>
          <w:rFonts w:ascii="Times New Roman" w:hAnsi="Times New Roman" w:cs="Times New Roman"/>
          <w:sz w:val="24"/>
          <w:szCs w:val="24"/>
        </w:rPr>
        <w:t>,f,s</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our initial guess of the value of commodity n (domestic plus imported) used by purchaser f in region s.  </w:t>
      </w:r>
    </w:p>
    <w:p w:rsidR="001972C0" w:rsidRDefault="001972C0" w:rsidP="001972C0">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We make the estimates using the equation system listed below.  In this system the variables to be estimated are in black normal type.  The variables we take as given in red italics.  </w:t>
      </w:r>
    </w:p>
    <w:p w:rsidR="001972C0" w:rsidRPr="00D757BC" w:rsidRDefault="001972C0" w:rsidP="001972C0">
      <w:pPr>
        <w:pStyle w:val="ListParagraph"/>
        <w:spacing w:before="120" w:after="0" w:line="240" w:lineRule="auto"/>
        <w:ind w:left="0"/>
        <w:contextualSpacing w:val="0"/>
        <w:rPr>
          <w:rFonts w:ascii="Times New Roman" w:hAnsi="Times New Roman" w:cs="Times New Roman"/>
          <w:b/>
          <w:i/>
          <w:sz w:val="24"/>
          <w:szCs w:val="24"/>
        </w:rPr>
      </w:pPr>
      <w:r w:rsidRPr="00D757BC">
        <w:rPr>
          <w:rFonts w:ascii="Times New Roman" w:hAnsi="Times New Roman" w:cs="Times New Roman"/>
          <w:b/>
          <w:i/>
          <w:sz w:val="24"/>
          <w:szCs w:val="24"/>
        </w:rPr>
        <w:t>Estimating equation system</w:t>
      </w:r>
    </w:p>
    <w:p w:rsidR="001972C0" w:rsidRDefault="001972C0" w:rsidP="001972C0">
      <w:pPr>
        <w:tabs>
          <w:tab w:val="right" w:pos="8931"/>
        </w:tabs>
        <w:spacing w:before="120" w:after="0" w:line="240" w:lineRule="auto"/>
        <w:rPr>
          <w:rFonts w:ascii="Times New Roman" w:hAnsi="Times New Roman" w:cs="Times New Roman"/>
          <w:sz w:val="24"/>
          <w:szCs w:val="24"/>
        </w:rPr>
      </w:pPr>
      <w:r w:rsidRPr="00DD738F">
        <w:rPr>
          <w:rFonts w:ascii="Times New Roman" w:hAnsi="Times New Roman" w:cs="Times New Roman"/>
          <w:sz w:val="24"/>
          <w:szCs w:val="24"/>
        </w:rPr>
        <w:t>Absorption of n in region d calculated as imports +output – exports</w:t>
      </w:r>
    </w:p>
    <w:p w:rsidR="001972C0" w:rsidRPr="00880C8C" w:rsidRDefault="001972C0" w:rsidP="001972C0">
      <w:pPr>
        <w:tabs>
          <w:tab w:val="right" w:pos="8931"/>
        </w:tabs>
        <w:spacing w:before="120"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Pr="00DD738F">
        <w:rPr>
          <w:rFonts w:ascii="Times New Roman" w:hAnsi="Times New Roman" w:cs="Times New Roman"/>
          <w:position w:val="-42"/>
          <w:sz w:val="24"/>
          <w:szCs w:val="24"/>
        </w:rPr>
        <w:object w:dxaOrig="7900" w:dyaOrig="660">
          <v:shape id="_x0000_i1071" type="#_x0000_t75" style="width:395.7pt;height:33.2pt" o:ole="">
            <v:imagedata r:id="rId101" o:title=""/>
          </v:shape>
          <o:OLEObject Type="Embed" ProgID="Equation.DSMT4" ShapeID="_x0000_i1071" DrawAspect="Content" ObjectID="_1616394691" r:id="rId102"/>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.1)</w:t>
      </w:r>
    </w:p>
    <w:p w:rsidR="001972C0" w:rsidRDefault="001972C0" w:rsidP="001972C0">
      <w:pPr>
        <w:tabs>
          <w:tab w:val="right" w:pos="7655"/>
          <w:tab w:val="right" w:pos="8789"/>
        </w:tabs>
        <w:spacing w:before="120" w:after="0" w:line="240" w:lineRule="auto"/>
        <w:rPr>
          <w:rFonts w:ascii="Times New Roman" w:hAnsi="Times New Roman" w:cs="Times New Roman"/>
          <w:sz w:val="24"/>
          <w:szCs w:val="24"/>
        </w:rPr>
      </w:pPr>
      <w:r w:rsidRPr="00DD738F">
        <w:rPr>
          <w:rFonts w:ascii="Times New Roman" w:hAnsi="Times New Roman" w:cs="Times New Roman"/>
          <w:sz w:val="24"/>
          <w:szCs w:val="24"/>
        </w:rPr>
        <w:t xml:space="preserve">Absorption of n in region d </w:t>
      </w:r>
      <w:r w:rsidRPr="00880C8C">
        <w:rPr>
          <w:rFonts w:ascii="Times New Roman" w:hAnsi="Times New Roman" w:cs="Times New Roman"/>
          <w:sz w:val="24"/>
          <w:szCs w:val="24"/>
        </w:rPr>
        <w:t xml:space="preserve">calculated as intermediate </w:t>
      </w:r>
      <w:r>
        <w:rPr>
          <w:rFonts w:ascii="Times New Roman" w:hAnsi="Times New Roman" w:cs="Times New Roman"/>
          <w:sz w:val="24"/>
          <w:szCs w:val="24"/>
        </w:rPr>
        <w:t xml:space="preserve">demands in the mvh sector and </w:t>
      </w:r>
      <w:r w:rsidRPr="00880C8C">
        <w:rPr>
          <w:rFonts w:ascii="Times New Roman" w:hAnsi="Times New Roman" w:cs="Times New Roman"/>
          <w:sz w:val="24"/>
          <w:szCs w:val="24"/>
        </w:rPr>
        <w:t xml:space="preserve">demand </w:t>
      </w:r>
      <w:r>
        <w:rPr>
          <w:rFonts w:ascii="Times New Roman" w:hAnsi="Times New Roman" w:cs="Times New Roman"/>
          <w:sz w:val="24"/>
          <w:szCs w:val="24"/>
        </w:rPr>
        <w:t>outside the mvh sector</w:t>
      </w:r>
      <w:r w:rsidRPr="00880C8C">
        <w:rPr>
          <w:rFonts w:ascii="Times New Roman" w:hAnsi="Times New Roman" w:cs="Times New Roman"/>
          <w:sz w:val="24"/>
          <w:szCs w:val="24"/>
        </w:rPr>
        <w:t xml:space="preserve">     </w:t>
      </w:r>
    </w:p>
    <w:p w:rsidR="001972C0" w:rsidRPr="00880C8C"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6CB5">
        <w:rPr>
          <w:rFonts w:ascii="Times New Roman" w:hAnsi="Times New Roman" w:cs="Times New Roman"/>
          <w:position w:val="-28"/>
          <w:sz w:val="24"/>
          <w:szCs w:val="24"/>
        </w:rPr>
        <w:object w:dxaOrig="7380" w:dyaOrig="520">
          <v:shape id="_x0000_i1072" type="#_x0000_t75" style="width:368.75pt;height:26.3pt" o:ole="">
            <v:imagedata r:id="rId103" o:title=""/>
          </v:shape>
          <o:OLEObject Type="Embed" ProgID="Equation.DSMT4" ShapeID="_x0000_i1072" DrawAspect="Content" ObjectID="_1616394692" r:id="rId104"/>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.2)</w:t>
      </w:r>
    </w:p>
    <w:p w:rsidR="001972C0"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Calculation of mvh-mvh input-output coefficients from U.S. and Canadian input-output data.  </w:t>
      </w:r>
    </w:p>
    <w:p w:rsidR="001972C0" w:rsidRPr="00880C8C"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6CB5">
        <w:rPr>
          <w:rFonts w:ascii="Times New Roman" w:hAnsi="Times New Roman" w:cs="Times New Roman"/>
          <w:position w:val="-28"/>
          <w:sz w:val="24"/>
          <w:szCs w:val="24"/>
        </w:rPr>
        <w:object w:dxaOrig="4200" w:dyaOrig="639">
          <v:shape id="_x0000_i1073" type="#_x0000_t75" style="width:209.75pt;height:31.95pt" o:ole="">
            <v:imagedata r:id="rId105" o:title=""/>
          </v:shape>
          <o:OLEObject Type="Embed" ProgID="Equation.DSMT4" ShapeID="_x0000_i1073" DrawAspect="Content" ObjectID="_1616394693" r:id="rId106"/>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.3)</w:t>
      </w:r>
    </w:p>
    <w:p w:rsidR="001972C0" w:rsidRDefault="001972C0" w:rsidP="001972C0">
      <w:pPr>
        <w:tabs>
          <w:tab w:val="right" w:pos="8789"/>
        </w:tabs>
        <w:spacing w:before="120" w:after="0" w:line="240" w:lineRule="auto"/>
        <w:rPr>
          <w:rFonts w:ascii="Times New Roman" w:hAnsi="Times New Roman" w:cs="Times New Roman"/>
          <w:sz w:val="24"/>
          <w:szCs w:val="24"/>
        </w:rPr>
      </w:pPr>
      <w:r>
        <w:rPr>
          <w:rFonts w:ascii="Times New Roman" w:hAnsi="Times New Roman" w:cs="Times New Roman"/>
          <w:sz w:val="24"/>
          <w:szCs w:val="24"/>
        </w:rPr>
        <w:t>I</w:t>
      </w:r>
      <w:r w:rsidRPr="00880C8C">
        <w:rPr>
          <w:rFonts w:ascii="Times New Roman" w:hAnsi="Times New Roman" w:cs="Times New Roman"/>
          <w:sz w:val="24"/>
          <w:szCs w:val="24"/>
        </w:rPr>
        <w:t>ntermediate use of n in industry j</w:t>
      </w:r>
      <w:r>
        <w:rPr>
          <w:rFonts w:ascii="Times New Roman" w:hAnsi="Times New Roman" w:cs="Times New Roman"/>
          <w:sz w:val="24"/>
          <w:szCs w:val="24"/>
        </w:rPr>
        <w:t>,</w:t>
      </w:r>
      <w:r w:rsidRPr="00880C8C">
        <w:rPr>
          <w:rFonts w:ascii="Times New Roman" w:hAnsi="Times New Roman" w:cs="Times New Roman"/>
          <w:sz w:val="24"/>
          <w:szCs w:val="24"/>
        </w:rPr>
        <w:t xml:space="preserve"> region d </w:t>
      </w:r>
      <w:r>
        <w:rPr>
          <w:rFonts w:ascii="Times New Roman" w:hAnsi="Times New Roman" w:cs="Times New Roman"/>
          <w:sz w:val="24"/>
          <w:szCs w:val="24"/>
        </w:rPr>
        <w:t>estimat</w:t>
      </w:r>
      <w:r w:rsidRPr="00880C8C">
        <w:rPr>
          <w:rFonts w:ascii="Times New Roman" w:hAnsi="Times New Roman" w:cs="Times New Roman"/>
          <w:sz w:val="24"/>
          <w:szCs w:val="24"/>
        </w:rPr>
        <w:t xml:space="preserve">ed </w:t>
      </w:r>
      <w:r>
        <w:rPr>
          <w:rFonts w:ascii="Times New Roman" w:hAnsi="Times New Roman" w:cs="Times New Roman"/>
          <w:sz w:val="24"/>
          <w:szCs w:val="24"/>
        </w:rPr>
        <w:t>by applying US/Canada input-output coefficients and adjusting to reconcile absorption of n in d calculated by (</w:t>
      </w:r>
      <w:r w:rsidR="0019067E">
        <w:rPr>
          <w:rFonts w:ascii="Times New Roman" w:hAnsi="Times New Roman" w:cs="Times New Roman"/>
          <w:sz w:val="24"/>
          <w:szCs w:val="24"/>
        </w:rPr>
        <w:t>3</w:t>
      </w:r>
      <w:r>
        <w:rPr>
          <w:rFonts w:ascii="Times New Roman" w:hAnsi="Times New Roman" w:cs="Times New Roman"/>
          <w:sz w:val="24"/>
          <w:szCs w:val="24"/>
        </w:rPr>
        <w:t>.1) and (</w:t>
      </w:r>
      <w:r w:rsidR="0019067E">
        <w:rPr>
          <w:rFonts w:ascii="Times New Roman" w:hAnsi="Times New Roman" w:cs="Times New Roman"/>
          <w:sz w:val="24"/>
          <w:szCs w:val="24"/>
        </w:rPr>
        <w:t>3</w:t>
      </w:r>
      <w:r>
        <w:rPr>
          <w:rFonts w:ascii="Times New Roman" w:hAnsi="Times New Roman" w:cs="Times New Roman"/>
          <w:sz w:val="24"/>
          <w:szCs w:val="24"/>
        </w:rPr>
        <w:t>.2):</w:t>
      </w:r>
    </w:p>
    <w:p w:rsidR="001972C0" w:rsidRPr="00880C8C"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E47F5">
        <w:rPr>
          <w:rFonts w:ascii="Times New Roman" w:hAnsi="Times New Roman" w:cs="Times New Roman"/>
          <w:position w:val="-10"/>
          <w:sz w:val="24"/>
          <w:szCs w:val="24"/>
        </w:rPr>
        <w:object w:dxaOrig="7160" w:dyaOrig="320">
          <v:shape id="_x0000_i1074" type="#_x0000_t75" style="width:358.75pt;height:16.3pt" o:ole="">
            <v:imagedata r:id="rId107" o:title=""/>
          </v:shape>
          <o:OLEObject Type="Embed" ProgID="Equation.DSMT4" ShapeID="_x0000_i1074" DrawAspect="Content" ObjectID="_1616394694" r:id="rId108"/>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.4)</w:t>
      </w:r>
    </w:p>
    <w:p w:rsidR="001972C0" w:rsidRDefault="001972C0" w:rsidP="001972C0">
      <w:pPr>
        <w:tabs>
          <w:tab w:val="right" w:pos="8931"/>
        </w:tabs>
        <w:spacing w:before="120" w:after="0" w:line="240" w:lineRule="auto"/>
        <w:rPr>
          <w:rFonts w:ascii="Times New Roman" w:hAnsi="Times New Roman" w:cs="Times New Roman"/>
          <w:sz w:val="24"/>
          <w:szCs w:val="24"/>
        </w:rPr>
      </w:pPr>
      <w:r w:rsidRPr="00387CFF">
        <w:rPr>
          <w:rFonts w:ascii="Times New Roman" w:hAnsi="Times New Roman" w:cs="Times New Roman"/>
          <w:sz w:val="24"/>
          <w:szCs w:val="24"/>
        </w:rPr>
        <w:t>Other (</w:t>
      </w:r>
      <w:r>
        <w:rPr>
          <w:rFonts w:ascii="Times New Roman" w:hAnsi="Times New Roman" w:cs="Times New Roman"/>
          <w:sz w:val="24"/>
          <w:szCs w:val="24"/>
        </w:rPr>
        <w:t>N</w:t>
      </w:r>
      <w:r w:rsidRPr="00387CFF">
        <w:rPr>
          <w:rFonts w:ascii="Times New Roman" w:hAnsi="Times New Roman" w:cs="Times New Roman"/>
          <w:sz w:val="24"/>
          <w:szCs w:val="24"/>
        </w:rPr>
        <w:t>onMV</w:t>
      </w:r>
      <w:r>
        <w:rPr>
          <w:rFonts w:ascii="Times New Roman" w:hAnsi="Times New Roman" w:cs="Times New Roman"/>
          <w:sz w:val="24"/>
          <w:szCs w:val="24"/>
        </w:rPr>
        <w:t>H</w:t>
      </w:r>
      <w:r w:rsidRPr="00387CFF">
        <w:rPr>
          <w:rFonts w:ascii="Times New Roman" w:hAnsi="Times New Roman" w:cs="Times New Roman"/>
          <w:sz w:val="24"/>
          <w:szCs w:val="24"/>
        </w:rPr>
        <w:t xml:space="preserve">) demands </w:t>
      </w:r>
      <w:r>
        <w:rPr>
          <w:rFonts w:ascii="Times New Roman" w:hAnsi="Times New Roman" w:cs="Times New Roman"/>
          <w:sz w:val="24"/>
          <w:szCs w:val="24"/>
        </w:rPr>
        <w:t>for</w:t>
      </w:r>
      <w:r w:rsidRPr="00387CFF">
        <w:rPr>
          <w:rFonts w:ascii="Times New Roman" w:hAnsi="Times New Roman" w:cs="Times New Roman"/>
          <w:sz w:val="24"/>
          <w:szCs w:val="24"/>
        </w:rPr>
        <w:t xml:space="preserve"> n in region d after adjustment  </w:t>
      </w:r>
    </w:p>
    <w:p w:rsidR="001972C0" w:rsidRPr="00880C8C"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E47F5">
        <w:rPr>
          <w:rFonts w:ascii="Times New Roman" w:hAnsi="Times New Roman" w:cs="Times New Roman"/>
          <w:position w:val="-10"/>
          <w:sz w:val="24"/>
          <w:szCs w:val="24"/>
        </w:rPr>
        <w:object w:dxaOrig="7980" w:dyaOrig="300">
          <v:shape id="_x0000_i1075" type="#_x0000_t75" style="width:398.8pt;height:15.05pt" o:ole="">
            <v:imagedata r:id="rId109" o:title=""/>
          </v:shape>
          <o:OLEObject Type="Embed" ProgID="Equation.DSMT4" ShapeID="_x0000_i1075" DrawAspect="Content" ObjectID="_1616394695" r:id="rId110"/>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.5)</w:t>
      </w:r>
    </w:p>
    <w:p w:rsidR="001972C0" w:rsidRDefault="001972C0" w:rsidP="001972C0">
      <w:pPr>
        <w:keepNext/>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Ou</w:t>
      </w:r>
      <w:r w:rsidRPr="00387CFF">
        <w:rPr>
          <w:rFonts w:ascii="Times New Roman" w:hAnsi="Times New Roman" w:cs="Times New Roman"/>
          <w:sz w:val="24"/>
          <w:szCs w:val="24"/>
        </w:rPr>
        <w:t>tput of n in d after adjustment</w:t>
      </w:r>
    </w:p>
    <w:p w:rsidR="001972C0" w:rsidRPr="00387CFF" w:rsidRDefault="001972C0" w:rsidP="001972C0">
      <w:pPr>
        <w:keepNext/>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E4F0B">
        <w:rPr>
          <w:rFonts w:ascii="Times New Roman" w:hAnsi="Times New Roman" w:cs="Times New Roman"/>
          <w:position w:val="-28"/>
          <w:sz w:val="24"/>
          <w:szCs w:val="24"/>
        </w:rPr>
        <w:object w:dxaOrig="4980" w:dyaOrig="639">
          <v:shape id="_x0000_i1076" type="#_x0000_t75" style="width:249.2pt;height:31.95pt" o:ole="">
            <v:imagedata r:id="rId111" o:title=""/>
          </v:shape>
          <o:OLEObject Type="Embed" ProgID="Equation.DSMT4" ShapeID="_x0000_i1076" DrawAspect="Content" ObjectID="_1616394696" r:id="rId112"/>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.6)</w:t>
      </w:r>
    </w:p>
    <w:p w:rsidR="001972C0" w:rsidRPr="00387CFF"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Calculation of the source shares (imports by region and domestic) in d’s absorption of n:</w:t>
      </w:r>
      <w:r w:rsidRPr="007E62C0">
        <w:rPr>
          <w:rFonts w:ascii="Times New Roman" w:hAnsi="Times New Roman" w:cs="Times New Roman"/>
          <w:position w:val="-74"/>
          <w:sz w:val="24"/>
          <w:szCs w:val="24"/>
        </w:rPr>
        <w:object w:dxaOrig="6979" w:dyaOrig="1579">
          <v:shape id="_x0000_i1077" type="#_x0000_t75" style="width:348.75pt;height:78.9pt" o:ole="">
            <v:imagedata r:id="rId113" o:title=""/>
          </v:shape>
          <o:OLEObject Type="Embed" ProgID="Equation.DSMT4" ShapeID="_x0000_i1077" DrawAspect="Content" ObjectID="_1616394697" r:id="rId114"/>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.7)</w:t>
      </w:r>
    </w:p>
    <w:p w:rsidR="001972C0" w:rsidRPr="00D757BC" w:rsidRDefault="001972C0" w:rsidP="001972C0">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t xml:space="preserve">Solving the equation </w:t>
      </w:r>
      <w:r w:rsidRPr="00D757BC">
        <w:rPr>
          <w:rFonts w:ascii="Times New Roman" w:hAnsi="Times New Roman" w:cs="Times New Roman"/>
          <w:b/>
          <w:i/>
          <w:sz w:val="24"/>
          <w:szCs w:val="24"/>
        </w:rPr>
        <w:t>system</w:t>
      </w:r>
    </w:p>
    <w:p w:rsidR="001972C0" w:rsidRDefault="001972C0" w:rsidP="001972C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Substituting from (</w:t>
      </w:r>
      <w:r w:rsidR="0019067E">
        <w:rPr>
          <w:rFonts w:ascii="Times New Roman" w:hAnsi="Times New Roman" w:cs="Times New Roman"/>
          <w:sz w:val="24"/>
          <w:szCs w:val="24"/>
        </w:rPr>
        <w:t>3</w:t>
      </w:r>
      <w:r>
        <w:rPr>
          <w:rFonts w:ascii="Times New Roman" w:hAnsi="Times New Roman" w:cs="Times New Roman"/>
          <w:sz w:val="24"/>
          <w:szCs w:val="24"/>
        </w:rPr>
        <w:t>.3), (</w:t>
      </w:r>
      <w:r w:rsidR="0019067E">
        <w:rPr>
          <w:rFonts w:ascii="Times New Roman" w:hAnsi="Times New Roman" w:cs="Times New Roman"/>
          <w:sz w:val="24"/>
          <w:szCs w:val="24"/>
        </w:rPr>
        <w:t>3</w:t>
      </w:r>
      <w:r>
        <w:rPr>
          <w:rFonts w:ascii="Times New Roman" w:hAnsi="Times New Roman" w:cs="Times New Roman"/>
          <w:sz w:val="24"/>
          <w:szCs w:val="24"/>
        </w:rPr>
        <w:t>.4), (</w:t>
      </w:r>
      <w:r w:rsidR="0019067E">
        <w:rPr>
          <w:rFonts w:ascii="Times New Roman" w:hAnsi="Times New Roman" w:cs="Times New Roman"/>
          <w:sz w:val="24"/>
          <w:szCs w:val="24"/>
        </w:rPr>
        <w:t>3</w:t>
      </w:r>
      <w:r>
        <w:rPr>
          <w:rFonts w:ascii="Times New Roman" w:hAnsi="Times New Roman" w:cs="Times New Roman"/>
          <w:sz w:val="24"/>
          <w:szCs w:val="24"/>
        </w:rPr>
        <w:t>.5) and (</w:t>
      </w:r>
      <w:r w:rsidR="0019067E">
        <w:rPr>
          <w:rFonts w:ascii="Times New Roman" w:hAnsi="Times New Roman" w:cs="Times New Roman"/>
          <w:sz w:val="24"/>
          <w:szCs w:val="24"/>
        </w:rPr>
        <w:t>3</w:t>
      </w:r>
      <w:r>
        <w:rPr>
          <w:rFonts w:ascii="Times New Roman" w:hAnsi="Times New Roman" w:cs="Times New Roman"/>
          <w:sz w:val="24"/>
          <w:szCs w:val="24"/>
        </w:rPr>
        <w:t>.6) into (</w:t>
      </w:r>
      <w:r w:rsidR="0019067E">
        <w:rPr>
          <w:rFonts w:ascii="Times New Roman" w:hAnsi="Times New Roman" w:cs="Times New Roman"/>
          <w:sz w:val="24"/>
          <w:szCs w:val="24"/>
        </w:rPr>
        <w:t>3</w:t>
      </w:r>
      <w:r>
        <w:rPr>
          <w:rFonts w:ascii="Times New Roman" w:hAnsi="Times New Roman" w:cs="Times New Roman"/>
          <w:sz w:val="24"/>
          <w:szCs w:val="24"/>
        </w:rPr>
        <w:t>.1) and (</w:t>
      </w:r>
      <w:r w:rsidR="0019067E">
        <w:rPr>
          <w:rFonts w:ascii="Times New Roman" w:hAnsi="Times New Roman" w:cs="Times New Roman"/>
          <w:sz w:val="24"/>
          <w:szCs w:val="24"/>
        </w:rPr>
        <w:t>3</w:t>
      </w:r>
      <w:r>
        <w:rPr>
          <w:rFonts w:ascii="Times New Roman" w:hAnsi="Times New Roman" w:cs="Times New Roman"/>
          <w:sz w:val="24"/>
          <w:szCs w:val="24"/>
        </w:rPr>
        <w:t xml:space="preserve">.2) gives </w:t>
      </w:r>
    </w:p>
    <w:p w:rsidR="001972C0" w:rsidRDefault="001972C0" w:rsidP="001972C0">
      <w:pPr>
        <w:tabs>
          <w:tab w:val="right" w:pos="8931"/>
        </w:tabs>
        <w:spacing w:before="120" w:after="0" w:line="240" w:lineRule="auto"/>
        <w:rPr>
          <w:rFonts w:ascii="Times New Roman" w:hAnsi="Times New Roman" w:cs="Times New Roman"/>
          <w:sz w:val="24"/>
          <w:szCs w:val="24"/>
        </w:rPr>
      </w:pPr>
      <w:r w:rsidRPr="00207384">
        <w:rPr>
          <w:rFonts w:ascii="Times New Roman" w:hAnsi="Times New Roman" w:cs="Times New Roman"/>
          <w:position w:val="-62"/>
          <w:sz w:val="24"/>
          <w:szCs w:val="24"/>
        </w:rPr>
        <w:object w:dxaOrig="7860" w:dyaOrig="1760">
          <v:shape id="_x0000_i1078" type="#_x0000_t75" style="width:393.2pt;height:88.3pt" o:ole="">
            <v:imagedata r:id="rId115" o:title=""/>
          </v:shape>
          <o:OLEObject Type="Embed" ProgID="Equation.DSMT4" ShapeID="_x0000_i1078" DrawAspect="Content" ObjectID="_1616394698" r:id="rId116"/>
        </w:object>
      </w:r>
      <w:r>
        <w:rPr>
          <w:rFonts w:ascii="Times New Roman" w:hAnsi="Times New Roman" w:cs="Times New Roman"/>
          <w:sz w:val="24"/>
          <w:szCs w:val="24"/>
        </w:rPr>
        <w:tab/>
        <w:t>(</w:t>
      </w:r>
      <w:r w:rsidR="0019067E">
        <w:rPr>
          <w:rFonts w:ascii="Times New Roman" w:hAnsi="Times New Roman" w:cs="Times New Roman"/>
          <w:sz w:val="24"/>
          <w:szCs w:val="24"/>
        </w:rPr>
        <w:t>3</w:t>
      </w:r>
      <w:r>
        <w:rPr>
          <w:rFonts w:ascii="Times New Roman" w:hAnsi="Times New Roman" w:cs="Times New Roman"/>
          <w:sz w:val="24"/>
          <w:szCs w:val="24"/>
        </w:rPr>
        <w:t>.8)</w:t>
      </w:r>
    </w:p>
    <w:p w:rsidR="001972C0" w:rsidRDefault="001972C0" w:rsidP="001972C0">
      <w:pPr>
        <w:spacing w:before="120" w:after="0" w:line="240" w:lineRule="auto"/>
        <w:rPr>
          <w:rFonts w:ascii="Times New Roman" w:hAnsi="Times New Roman" w:cs="Times New Roman"/>
          <w:sz w:val="24"/>
          <w:szCs w:val="24"/>
        </w:rPr>
      </w:pPr>
      <w:r>
        <w:rPr>
          <w:rFonts w:ascii="Times New Roman" w:hAnsi="Times New Roman" w:cs="Times New Roman"/>
          <w:sz w:val="24"/>
          <w:szCs w:val="24"/>
        </w:rPr>
        <w:t>The values of the adjustment factors, ADJ(n,d) can be computed from (</w:t>
      </w:r>
      <w:r w:rsidR="0019067E">
        <w:rPr>
          <w:rFonts w:ascii="Times New Roman" w:hAnsi="Times New Roman" w:cs="Times New Roman"/>
          <w:sz w:val="24"/>
          <w:szCs w:val="24"/>
        </w:rPr>
        <w:t>3</w:t>
      </w:r>
      <w:r>
        <w:rPr>
          <w:rFonts w:ascii="Times New Roman" w:hAnsi="Times New Roman" w:cs="Times New Roman"/>
          <w:sz w:val="24"/>
          <w:szCs w:val="24"/>
        </w:rPr>
        <w:t>.8).  Once they have been computed the values of all the other unknowns in (</w:t>
      </w:r>
      <w:r w:rsidR="0019067E">
        <w:rPr>
          <w:rFonts w:ascii="Times New Roman" w:hAnsi="Times New Roman" w:cs="Times New Roman"/>
          <w:sz w:val="24"/>
          <w:szCs w:val="24"/>
        </w:rPr>
        <w:t>3</w:t>
      </w:r>
      <w:r>
        <w:rPr>
          <w:rFonts w:ascii="Times New Roman" w:hAnsi="Times New Roman" w:cs="Times New Roman"/>
          <w:sz w:val="24"/>
          <w:szCs w:val="24"/>
        </w:rPr>
        <w:t>.1) – (</w:t>
      </w:r>
      <w:r w:rsidR="0019067E">
        <w:rPr>
          <w:rFonts w:ascii="Times New Roman" w:hAnsi="Times New Roman" w:cs="Times New Roman"/>
          <w:sz w:val="24"/>
          <w:szCs w:val="24"/>
        </w:rPr>
        <w:t>3</w:t>
      </w:r>
      <w:r>
        <w:rPr>
          <w:rFonts w:ascii="Times New Roman" w:hAnsi="Times New Roman" w:cs="Times New Roman"/>
          <w:sz w:val="24"/>
          <w:szCs w:val="24"/>
        </w:rPr>
        <w:t xml:space="preserve">.7) can be determined recursively.  </w:t>
      </w:r>
    </w:p>
    <w:p w:rsidR="001972C0" w:rsidRPr="00D757BC" w:rsidRDefault="001972C0" w:rsidP="001972C0">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t xml:space="preserve">Deriving the GTAP-MVH database by applying SplitCom </w:t>
      </w:r>
    </w:p>
    <w:p w:rsidR="001972C0" w:rsidRDefault="001972C0" w:rsidP="001972C0">
      <w:pPr>
        <w:spacing w:before="120" w:after="0" w:line="240" w:lineRule="auto"/>
        <w:rPr>
          <w:rFonts w:ascii="Times New Roman" w:hAnsi="Times New Roman" w:cs="Times New Roman"/>
          <w:sz w:val="24"/>
          <w:szCs w:val="24"/>
        </w:rPr>
      </w:pPr>
      <w:r w:rsidRPr="005E293F">
        <w:rPr>
          <w:rFonts w:ascii="Times New Roman" w:hAnsi="Times New Roman" w:cs="Times New Roman"/>
          <w:sz w:val="24"/>
          <w:szCs w:val="24"/>
        </w:rPr>
        <w:t xml:space="preserve">The GTAP database </w:t>
      </w:r>
      <w:r>
        <w:rPr>
          <w:rFonts w:ascii="Times New Roman" w:hAnsi="Times New Roman" w:cs="Times New Roman"/>
          <w:sz w:val="24"/>
          <w:szCs w:val="24"/>
        </w:rPr>
        <w:t xml:space="preserve">on commodity and factor flows </w:t>
      </w:r>
      <w:r w:rsidRPr="005E293F">
        <w:rPr>
          <w:rFonts w:ascii="Times New Roman" w:hAnsi="Times New Roman" w:cs="Times New Roman"/>
          <w:sz w:val="24"/>
          <w:szCs w:val="24"/>
        </w:rPr>
        <w:t xml:space="preserve">can be organised into a NATIONAL matrix </w:t>
      </w:r>
      <w:r>
        <w:rPr>
          <w:rFonts w:ascii="Times New Roman" w:hAnsi="Times New Roman" w:cs="Times New Roman"/>
          <w:sz w:val="24"/>
          <w:szCs w:val="24"/>
        </w:rPr>
        <w:t xml:space="preserve">and </w:t>
      </w:r>
      <w:r w:rsidRPr="005E293F">
        <w:rPr>
          <w:rFonts w:ascii="Times New Roman" w:hAnsi="Times New Roman" w:cs="Times New Roman"/>
          <w:sz w:val="24"/>
          <w:szCs w:val="24"/>
        </w:rPr>
        <w:t xml:space="preserve">a TRADE matrix. </w:t>
      </w:r>
      <w:r>
        <w:rPr>
          <w:rFonts w:ascii="Times New Roman" w:hAnsi="Times New Roman" w:cs="Times New Roman"/>
          <w:sz w:val="24"/>
          <w:szCs w:val="24"/>
        </w:rPr>
        <w:t xml:space="preserve">The NATIONAL matrix shows for each region the flows of commodities (undifferentiated by source) to industries and domestic final uses (households, capital creators and government, but not exports).  The NATIONAL matrix also shows primary factor inputs to each industry.  </w:t>
      </w:r>
      <w:r w:rsidRPr="005E293F">
        <w:rPr>
          <w:rFonts w:ascii="Times New Roman" w:hAnsi="Times New Roman" w:cs="Times New Roman"/>
          <w:sz w:val="24"/>
          <w:szCs w:val="24"/>
        </w:rPr>
        <w:t xml:space="preserve">The TRADE matrix </w:t>
      </w:r>
      <w:r>
        <w:rPr>
          <w:rFonts w:ascii="Times New Roman" w:hAnsi="Times New Roman" w:cs="Times New Roman"/>
          <w:sz w:val="24"/>
          <w:szCs w:val="24"/>
        </w:rPr>
        <w:t>shows flows of each commodity from each region to each other region.  To disaggregate the mvh sector into our required 9 mvh coms/inds we must perform the following operations:</w:t>
      </w:r>
    </w:p>
    <w:p w:rsidR="001972C0" w:rsidRDefault="001972C0" w:rsidP="001972C0">
      <w:pPr>
        <w:pStyle w:val="ListParagraph"/>
        <w:numPr>
          <w:ilvl w:val="0"/>
          <w:numId w:val="26"/>
        </w:numPr>
        <w:spacing w:before="120" w:after="0" w:line="240" w:lineRule="auto"/>
        <w:rPr>
          <w:rFonts w:ascii="Times New Roman" w:hAnsi="Times New Roman" w:cs="Times New Roman"/>
          <w:sz w:val="24"/>
          <w:szCs w:val="24"/>
        </w:rPr>
      </w:pPr>
      <w:r>
        <w:rPr>
          <w:rFonts w:ascii="Times New Roman" w:hAnsi="Times New Roman" w:cs="Times New Roman"/>
          <w:sz w:val="24"/>
          <w:szCs w:val="24"/>
        </w:rPr>
        <w:t>split the original mvh-to-mvh flow in the NATIONAL matrix for each region in to 81 flows (9 by 9);</w:t>
      </w:r>
    </w:p>
    <w:p w:rsidR="001972C0" w:rsidRDefault="001972C0" w:rsidP="001972C0">
      <w:pPr>
        <w:pStyle w:val="ListParagraph"/>
        <w:numPr>
          <w:ilvl w:val="0"/>
          <w:numId w:val="26"/>
        </w:numPr>
        <w:spacing w:before="120" w:after="0" w:line="240" w:lineRule="auto"/>
        <w:rPr>
          <w:rFonts w:ascii="Times New Roman" w:hAnsi="Times New Roman" w:cs="Times New Roman"/>
          <w:sz w:val="24"/>
          <w:szCs w:val="24"/>
        </w:rPr>
      </w:pPr>
      <w:r>
        <w:rPr>
          <w:rFonts w:ascii="Times New Roman" w:hAnsi="Times New Roman" w:cs="Times New Roman"/>
          <w:sz w:val="24"/>
          <w:szCs w:val="24"/>
        </w:rPr>
        <w:t>split each other original mvh flow in the NATIONAL matrix for each region into 9 flows;</w:t>
      </w:r>
    </w:p>
    <w:p w:rsidR="001972C0" w:rsidRDefault="001972C0" w:rsidP="001972C0">
      <w:pPr>
        <w:pStyle w:val="ListParagraph"/>
        <w:numPr>
          <w:ilvl w:val="0"/>
          <w:numId w:val="26"/>
        </w:numPr>
        <w:spacing w:before="120" w:after="0" w:line="240" w:lineRule="auto"/>
        <w:rPr>
          <w:rFonts w:ascii="Times New Roman" w:hAnsi="Times New Roman" w:cs="Times New Roman"/>
          <w:sz w:val="24"/>
          <w:szCs w:val="24"/>
        </w:rPr>
      </w:pPr>
      <w:r>
        <w:rPr>
          <w:rFonts w:ascii="Times New Roman" w:hAnsi="Times New Roman" w:cs="Times New Roman"/>
          <w:sz w:val="24"/>
          <w:szCs w:val="24"/>
        </w:rPr>
        <w:t>split each original input flow into the original mvh sector in the NATIONAL matrix for each region into 9 flows.</w:t>
      </w:r>
    </w:p>
    <w:p w:rsidR="001972C0" w:rsidRDefault="001972C0" w:rsidP="001972C0">
      <w:pPr>
        <w:pStyle w:val="ListParagraph"/>
        <w:numPr>
          <w:ilvl w:val="0"/>
          <w:numId w:val="26"/>
        </w:numPr>
        <w:spacing w:before="120"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split each of the new 9-order mvh commodity flows into values supplied from 10 sources (domestic plus 9 import sources). </w:t>
      </w:r>
    </w:p>
    <w:p w:rsidR="001972C0" w:rsidRDefault="001972C0" w:rsidP="001972C0">
      <w:pPr>
        <w:pStyle w:val="ListParagraph"/>
        <w:numPr>
          <w:ilvl w:val="0"/>
          <w:numId w:val="26"/>
        </w:num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split each mvh flow in the original TRADE matrix into 9 flows.  </w:t>
      </w:r>
    </w:p>
    <w:p w:rsidR="001972C0" w:rsidRDefault="001972C0" w:rsidP="001972C0">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Horridge (2008) provides a convenient GEMPACK program, titled SplitCom, to perform these operations.  Users of the program must input to SplitCom initial shares to guide the splits.  We obtained these initial shares from data for Canada and the U.S. and the solution of the </w:t>
      </w:r>
      <w:r w:rsidR="00073430" w:rsidRPr="00C75576">
        <w:rPr>
          <w:rFonts w:ascii="Times New Roman" w:hAnsi="Times New Roman" w:cs="Times New Roman"/>
          <w:sz w:val="24"/>
          <w:szCs w:val="24"/>
        </w:rPr>
        <w:t>7</w:t>
      </w:r>
      <w:r w:rsidRPr="00C75576">
        <w:rPr>
          <w:rFonts w:ascii="Times New Roman" w:hAnsi="Times New Roman" w:cs="Times New Roman"/>
          <w:sz w:val="24"/>
          <w:szCs w:val="24"/>
        </w:rPr>
        <w:t xml:space="preserve"> equation system set out in (</w:t>
      </w:r>
      <w:r w:rsidR="0019067E" w:rsidRPr="00C75576">
        <w:rPr>
          <w:rFonts w:ascii="Times New Roman" w:hAnsi="Times New Roman" w:cs="Times New Roman"/>
          <w:sz w:val="24"/>
          <w:szCs w:val="24"/>
        </w:rPr>
        <w:t>3</w:t>
      </w:r>
      <w:r w:rsidRPr="00C75576">
        <w:rPr>
          <w:rFonts w:ascii="Times New Roman" w:hAnsi="Times New Roman" w:cs="Times New Roman"/>
          <w:sz w:val="24"/>
          <w:szCs w:val="24"/>
        </w:rPr>
        <w:t>.1) – (</w:t>
      </w:r>
      <w:r w:rsidR="0019067E" w:rsidRPr="00C75576">
        <w:rPr>
          <w:rFonts w:ascii="Times New Roman" w:hAnsi="Times New Roman" w:cs="Times New Roman"/>
          <w:sz w:val="24"/>
          <w:szCs w:val="24"/>
        </w:rPr>
        <w:t>3</w:t>
      </w:r>
      <w:r w:rsidRPr="00C75576">
        <w:rPr>
          <w:rFonts w:ascii="Times New Roman" w:hAnsi="Times New Roman" w:cs="Times New Roman"/>
          <w:sz w:val="24"/>
          <w:szCs w:val="24"/>
        </w:rPr>
        <w:t>.</w:t>
      </w:r>
      <w:r w:rsidR="00073430" w:rsidRPr="00C75576">
        <w:rPr>
          <w:rFonts w:ascii="Times New Roman" w:hAnsi="Times New Roman" w:cs="Times New Roman"/>
          <w:sz w:val="24"/>
          <w:szCs w:val="24"/>
        </w:rPr>
        <w:t>7</w:t>
      </w:r>
      <w:r w:rsidRPr="00C75576">
        <w:rPr>
          <w:rFonts w:ascii="Times New Roman" w:hAnsi="Times New Roman" w:cs="Times New Roman"/>
          <w:sz w:val="24"/>
          <w:szCs w:val="24"/>
        </w:rPr>
        <w:t>)</w:t>
      </w:r>
      <w:r>
        <w:rPr>
          <w:rFonts w:ascii="Times New Roman" w:hAnsi="Times New Roman" w:cs="Times New Roman"/>
          <w:sz w:val="24"/>
          <w:szCs w:val="24"/>
        </w:rPr>
        <w:t xml:space="preserve"> for the other 8 regions.  For the five operations (a) – (e) we used:</w:t>
      </w:r>
    </w:p>
    <w:p w:rsidR="001972C0" w:rsidRDefault="001972C0" w:rsidP="001972C0">
      <w:pPr>
        <w:pStyle w:val="ListParagraph"/>
        <w:spacing w:before="120" w:after="0"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split (a): </w:t>
      </w:r>
      <w:r w:rsidRPr="006C701A">
        <w:rPr>
          <w:rFonts w:ascii="Times New Roman" w:hAnsi="Times New Roman" w:cs="Times New Roman"/>
          <w:position w:val="-14"/>
          <w:sz w:val="24"/>
          <w:szCs w:val="24"/>
        </w:rPr>
        <w:object w:dxaOrig="3260" w:dyaOrig="380">
          <v:shape id="_x0000_i1079" type="#_x0000_t75" style="width:162.8pt;height:18.8pt" o:ole="">
            <v:imagedata r:id="rId117" o:title=""/>
          </v:shape>
          <o:OLEObject Type="Embed" ProgID="Equation.DSMT4" ShapeID="_x0000_i1079" DrawAspect="Content" ObjectID="_1616394699" r:id="rId118"/>
        </w:object>
      </w:r>
      <w:r>
        <w:rPr>
          <w:rFonts w:ascii="Times New Roman" w:hAnsi="Times New Roman" w:cs="Times New Roman"/>
          <w:sz w:val="24"/>
          <w:szCs w:val="24"/>
        </w:rPr>
        <w:t xml:space="preserve"> for all n, j</w:t>
      </w:r>
      <w:r>
        <w:rPr>
          <w:rFonts w:ascii="Times New Roman" w:hAnsi="Times New Roman" w:cs="Times New Roman"/>
          <w:sz w:val="24"/>
          <w:szCs w:val="24"/>
        </w:rPr>
        <w:sym w:font="Symbol" w:char="F0CE"/>
      </w:r>
      <w:r>
        <w:rPr>
          <w:rFonts w:ascii="Times New Roman" w:hAnsi="Times New Roman" w:cs="Times New Roman"/>
          <w:sz w:val="24"/>
          <w:szCs w:val="24"/>
        </w:rPr>
        <w:t>MVH and s</w:t>
      </w:r>
      <w:r>
        <w:rPr>
          <w:rFonts w:ascii="Times New Roman" w:hAnsi="Times New Roman" w:cs="Times New Roman"/>
          <w:sz w:val="24"/>
          <w:szCs w:val="24"/>
        </w:rPr>
        <w:sym w:font="Symbol" w:char="F0CE"/>
      </w:r>
      <w:r>
        <w:rPr>
          <w:rFonts w:ascii="Times New Roman" w:hAnsi="Times New Roman" w:cs="Times New Roman"/>
          <w:sz w:val="24"/>
          <w:szCs w:val="24"/>
        </w:rPr>
        <w:t>REG</w:t>
      </w:r>
    </w:p>
    <w:p w:rsidR="001972C0" w:rsidRDefault="001972C0" w:rsidP="001972C0">
      <w:pPr>
        <w:pStyle w:val="ListParagraph"/>
        <w:spacing w:before="120" w:after="0"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split (b): </w:t>
      </w:r>
      <w:r w:rsidRPr="006C701A">
        <w:rPr>
          <w:rFonts w:ascii="Times New Roman" w:hAnsi="Times New Roman" w:cs="Times New Roman"/>
          <w:position w:val="-14"/>
          <w:sz w:val="24"/>
          <w:szCs w:val="24"/>
        </w:rPr>
        <w:object w:dxaOrig="3220" w:dyaOrig="380">
          <v:shape id="_x0000_i1080" type="#_x0000_t75" style="width:160.3pt;height:18.8pt" o:ole="">
            <v:imagedata r:id="rId119" o:title=""/>
          </v:shape>
          <o:OLEObject Type="Embed" ProgID="Equation.DSMT4" ShapeID="_x0000_i1080" DrawAspect="Content" ObjectID="_1616394700" r:id="rId120"/>
        </w:object>
      </w:r>
      <w:r w:rsidRPr="006C701A">
        <w:rPr>
          <w:rFonts w:ascii="Times New Roman" w:hAnsi="Times New Roman" w:cs="Times New Roman"/>
          <w:sz w:val="24"/>
          <w:szCs w:val="24"/>
        </w:rPr>
        <w:t xml:space="preserve"> </w:t>
      </w:r>
      <w:r>
        <w:rPr>
          <w:rFonts w:ascii="Times New Roman" w:hAnsi="Times New Roman" w:cs="Times New Roman"/>
          <w:sz w:val="24"/>
          <w:szCs w:val="24"/>
        </w:rPr>
        <w:t xml:space="preserve">for all n </w:t>
      </w:r>
      <w:r>
        <w:rPr>
          <w:rFonts w:ascii="Times New Roman" w:hAnsi="Times New Roman" w:cs="Times New Roman"/>
          <w:sz w:val="24"/>
          <w:szCs w:val="24"/>
        </w:rPr>
        <w:sym w:font="Symbol" w:char="F0CE"/>
      </w:r>
      <w:r>
        <w:rPr>
          <w:rFonts w:ascii="Times New Roman" w:hAnsi="Times New Roman" w:cs="Times New Roman"/>
          <w:sz w:val="24"/>
          <w:szCs w:val="24"/>
        </w:rPr>
        <w:t xml:space="preserve">MVH, f </w:t>
      </w:r>
      <w:r>
        <w:rPr>
          <w:rFonts w:ascii="Times New Roman" w:hAnsi="Times New Roman" w:cs="Times New Roman"/>
          <w:sz w:val="24"/>
          <w:szCs w:val="24"/>
        </w:rPr>
        <w:sym w:font="Symbol" w:char="F0CE"/>
      </w:r>
      <w:r>
        <w:rPr>
          <w:rFonts w:ascii="Times New Roman" w:hAnsi="Times New Roman" w:cs="Times New Roman"/>
          <w:sz w:val="24"/>
          <w:szCs w:val="24"/>
        </w:rPr>
        <w:t>NonMVH and s</w:t>
      </w:r>
      <w:r>
        <w:rPr>
          <w:rFonts w:ascii="Times New Roman" w:hAnsi="Times New Roman" w:cs="Times New Roman"/>
          <w:sz w:val="24"/>
          <w:szCs w:val="24"/>
        </w:rPr>
        <w:sym w:font="Symbol" w:char="F0CE"/>
      </w:r>
      <w:r>
        <w:rPr>
          <w:rFonts w:ascii="Times New Roman" w:hAnsi="Times New Roman" w:cs="Times New Roman"/>
          <w:sz w:val="24"/>
          <w:szCs w:val="24"/>
        </w:rPr>
        <w:t>REG</w:t>
      </w:r>
    </w:p>
    <w:p w:rsidR="001972C0" w:rsidRDefault="001972C0" w:rsidP="001972C0">
      <w:pPr>
        <w:pStyle w:val="ListParagraph"/>
        <w:spacing w:before="120" w:after="0"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split (c): </w:t>
      </w:r>
      <w:r w:rsidRPr="006C701A">
        <w:rPr>
          <w:rFonts w:ascii="Times New Roman" w:hAnsi="Times New Roman" w:cs="Times New Roman"/>
          <w:position w:val="-14"/>
          <w:sz w:val="24"/>
          <w:szCs w:val="24"/>
        </w:rPr>
        <w:object w:dxaOrig="2780" w:dyaOrig="380">
          <v:shape id="_x0000_i1081" type="#_x0000_t75" style="width:137.75pt;height:18.8pt" o:ole="">
            <v:imagedata r:id="rId121" o:title=""/>
          </v:shape>
          <o:OLEObject Type="Embed" ProgID="Equation.DSMT4" ShapeID="_x0000_i1081" DrawAspect="Content" ObjectID="_1616394701" r:id="rId122"/>
        </w:object>
      </w:r>
      <w:r w:rsidRPr="006C701A">
        <w:rPr>
          <w:rFonts w:ascii="Times New Roman" w:hAnsi="Times New Roman" w:cs="Times New Roman"/>
          <w:sz w:val="24"/>
          <w:szCs w:val="24"/>
        </w:rPr>
        <w:t xml:space="preserve"> </w:t>
      </w:r>
      <w:r>
        <w:rPr>
          <w:rFonts w:ascii="Times New Roman" w:hAnsi="Times New Roman" w:cs="Times New Roman"/>
          <w:sz w:val="24"/>
          <w:szCs w:val="24"/>
        </w:rPr>
        <w:t xml:space="preserve">for all n </w:t>
      </w:r>
      <w:r>
        <w:rPr>
          <w:rFonts w:ascii="Times New Roman" w:hAnsi="Times New Roman" w:cs="Times New Roman"/>
          <w:sz w:val="24"/>
          <w:szCs w:val="24"/>
        </w:rPr>
        <w:sym w:font="Symbol" w:char="F0CE"/>
      </w:r>
      <w:r>
        <w:rPr>
          <w:rFonts w:ascii="Times New Roman" w:hAnsi="Times New Roman" w:cs="Times New Roman"/>
          <w:sz w:val="24"/>
          <w:szCs w:val="24"/>
        </w:rPr>
        <w:t xml:space="preserve">NonMVH_INPUT, j </w:t>
      </w:r>
      <w:r>
        <w:rPr>
          <w:rFonts w:ascii="Times New Roman" w:hAnsi="Times New Roman" w:cs="Times New Roman"/>
          <w:sz w:val="24"/>
          <w:szCs w:val="24"/>
        </w:rPr>
        <w:sym w:font="Symbol" w:char="F0CE"/>
      </w:r>
      <w:r>
        <w:rPr>
          <w:rFonts w:ascii="Times New Roman" w:hAnsi="Times New Roman" w:cs="Times New Roman"/>
          <w:sz w:val="24"/>
          <w:szCs w:val="24"/>
        </w:rPr>
        <w:t>MVH and s</w:t>
      </w:r>
      <w:r>
        <w:rPr>
          <w:rFonts w:ascii="Times New Roman" w:hAnsi="Times New Roman" w:cs="Times New Roman"/>
          <w:sz w:val="24"/>
          <w:szCs w:val="24"/>
        </w:rPr>
        <w:sym w:font="Symbol" w:char="F0CE"/>
      </w:r>
      <w:r>
        <w:rPr>
          <w:rFonts w:ascii="Times New Roman" w:hAnsi="Times New Roman" w:cs="Times New Roman"/>
          <w:sz w:val="24"/>
          <w:szCs w:val="24"/>
        </w:rPr>
        <w:t>REG</w:t>
      </w:r>
    </w:p>
    <w:p w:rsidR="001972C0" w:rsidRDefault="001972C0" w:rsidP="001972C0">
      <w:pPr>
        <w:pStyle w:val="ListParagraph"/>
        <w:spacing w:before="120" w:after="0" w:line="240" w:lineRule="auto"/>
        <w:ind w:left="567" w:hanging="283"/>
        <w:contextualSpacing w:val="0"/>
        <w:rPr>
          <w:rFonts w:ascii="Times New Roman" w:hAnsi="Times New Roman" w:cs="Times New Roman"/>
          <w:sz w:val="24"/>
          <w:szCs w:val="24"/>
        </w:rPr>
      </w:pPr>
      <w:r>
        <w:rPr>
          <w:rFonts w:ascii="Times New Roman" w:hAnsi="Times New Roman" w:cs="Times New Roman"/>
          <w:sz w:val="24"/>
          <w:szCs w:val="24"/>
        </w:rPr>
        <w:tab/>
        <w:t>where NonMVH_INPUT is the set of primary factors and commodities excluding MVH commodities</w:t>
      </w:r>
    </w:p>
    <w:p w:rsidR="001972C0" w:rsidRDefault="001972C0" w:rsidP="001972C0">
      <w:pPr>
        <w:pStyle w:val="ListParagraph"/>
        <w:spacing w:before="120" w:after="0"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split (d): </w:t>
      </w:r>
      <w:r w:rsidRPr="00974751">
        <w:rPr>
          <w:rFonts w:ascii="Times New Roman" w:hAnsi="Times New Roman" w:cs="Times New Roman"/>
          <w:position w:val="-10"/>
          <w:sz w:val="24"/>
          <w:szCs w:val="24"/>
        </w:rPr>
        <w:object w:dxaOrig="1180" w:dyaOrig="300">
          <v:shape id="_x0000_i1082" type="#_x0000_t75" style="width:58.25pt;height:15.05pt" o:ole="">
            <v:imagedata r:id="rId123" o:title=""/>
          </v:shape>
          <o:OLEObject Type="Embed" ProgID="Equation.DSMT4" ShapeID="_x0000_i1082" DrawAspect="Content" ObjectID="_1616394702" r:id="rId124"/>
        </w:object>
      </w:r>
      <w:r w:rsidRPr="006C701A">
        <w:rPr>
          <w:rFonts w:ascii="Times New Roman" w:hAnsi="Times New Roman" w:cs="Times New Roman"/>
          <w:sz w:val="24"/>
          <w:szCs w:val="24"/>
        </w:rPr>
        <w:t xml:space="preserve"> </w:t>
      </w:r>
      <w:r>
        <w:rPr>
          <w:rFonts w:ascii="Times New Roman" w:hAnsi="Times New Roman" w:cs="Times New Roman"/>
          <w:sz w:val="24"/>
          <w:szCs w:val="24"/>
        </w:rPr>
        <w:t xml:space="preserve">for all n </w:t>
      </w:r>
      <w:r>
        <w:rPr>
          <w:rFonts w:ascii="Times New Roman" w:hAnsi="Times New Roman" w:cs="Times New Roman"/>
          <w:sz w:val="24"/>
          <w:szCs w:val="24"/>
        </w:rPr>
        <w:sym w:font="Symbol" w:char="F0CE"/>
      </w:r>
      <w:r>
        <w:rPr>
          <w:rFonts w:ascii="Times New Roman" w:hAnsi="Times New Roman" w:cs="Times New Roman"/>
          <w:sz w:val="24"/>
          <w:szCs w:val="24"/>
        </w:rPr>
        <w:t>MVH, s</w:t>
      </w:r>
      <w:r>
        <w:rPr>
          <w:rFonts w:ascii="Times New Roman" w:hAnsi="Times New Roman" w:cs="Times New Roman"/>
          <w:sz w:val="24"/>
          <w:szCs w:val="24"/>
        </w:rPr>
        <w:sym w:font="Symbol" w:char="F0CE"/>
      </w:r>
      <w:r>
        <w:rPr>
          <w:rFonts w:ascii="Times New Roman" w:hAnsi="Times New Roman" w:cs="Times New Roman"/>
          <w:sz w:val="24"/>
          <w:szCs w:val="24"/>
        </w:rPr>
        <w:t>REG</w:t>
      </w:r>
    </w:p>
    <w:p w:rsidR="001972C0" w:rsidRDefault="001972C0" w:rsidP="001972C0">
      <w:pPr>
        <w:pStyle w:val="ListParagraph"/>
        <w:spacing w:before="120" w:after="0" w:line="240" w:lineRule="auto"/>
        <w:ind w:left="567" w:hanging="283"/>
        <w:contextualSpacing w:val="0"/>
        <w:rPr>
          <w:rFonts w:ascii="Times New Roman" w:hAnsi="Times New Roman" w:cs="Times New Roman"/>
          <w:sz w:val="24"/>
          <w:szCs w:val="24"/>
        </w:rPr>
      </w:pPr>
      <w:r>
        <w:rPr>
          <w:rFonts w:ascii="Times New Roman" w:hAnsi="Times New Roman" w:cs="Times New Roman"/>
          <w:sz w:val="24"/>
          <w:szCs w:val="24"/>
        </w:rPr>
        <w:t xml:space="preserve">split (e): </w:t>
      </w:r>
      <w:r w:rsidRPr="00E94D88">
        <w:rPr>
          <w:rFonts w:ascii="Times New Roman" w:hAnsi="Times New Roman" w:cs="Times New Roman"/>
          <w:position w:val="-14"/>
          <w:sz w:val="24"/>
          <w:szCs w:val="24"/>
        </w:rPr>
        <w:object w:dxaOrig="2880" w:dyaOrig="380">
          <v:shape id="_x0000_i1083" type="#_x0000_t75" style="width:2in;height:18.8pt" o:ole="">
            <v:imagedata r:id="rId125" o:title=""/>
          </v:shape>
          <o:OLEObject Type="Embed" ProgID="Equation.DSMT4" ShapeID="_x0000_i1083" DrawAspect="Content" ObjectID="_1616394703" r:id="rId126"/>
        </w:object>
      </w:r>
      <w:r w:rsidRPr="006C701A">
        <w:rPr>
          <w:rFonts w:ascii="Times New Roman" w:hAnsi="Times New Roman" w:cs="Times New Roman"/>
          <w:sz w:val="24"/>
          <w:szCs w:val="24"/>
        </w:rPr>
        <w:t xml:space="preserve"> </w:t>
      </w:r>
      <w:r>
        <w:rPr>
          <w:rFonts w:ascii="Times New Roman" w:hAnsi="Times New Roman" w:cs="Times New Roman"/>
          <w:sz w:val="24"/>
          <w:szCs w:val="24"/>
        </w:rPr>
        <w:t xml:space="preserve">for all n </w:t>
      </w:r>
      <w:r>
        <w:rPr>
          <w:rFonts w:ascii="Times New Roman" w:hAnsi="Times New Roman" w:cs="Times New Roman"/>
          <w:sz w:val="24"/>
          <w:szCs w:val="24"/>
        </w:rPr>
        <w:sym w:font="Symbol" w:char="F0CE"/>
      </w:r>
      <w:r>
        <w:rPr>
          <w:rFonts w:ascii="Times New Roman" w:hAnsi="Times New Roman" w:cs="Times New Roman"/>
          <w:sz w:val="24"/>
          <w:szCs w:val="24"/>
        </w:rPr>
        <w:t>MVH and s,d</w:t>
      </w:r>
      <w:r>
        <w:rPr>
          <w:rFonts w:ascii="Times New Roman" w:hAnsi="Times New Roman" w:cs="Times New Roman"/>
          <w:sz w:val="24"/>
          <w:szCs w:val="24"/>
        </w:rPr>
        <w:sym w:font="Symbol" w:char="F0CE"/>
      </w:r>
      <w:r>
        <w:rPr>
          <w:rFonts w:ascii="Times New Roman" w:hAnsi="Times New Roman" w:cs="Times New Roman"/>
          <w:sz w:val="24"/>
          <w:szCs w:val="24"/>
        </w:rPr>
        <w:t xml:space="preserve">REG, s ≠ d </w:t>
      </w:r>
    </w:p>
    <w:p w:rsidR="001972C0" w:rsidRDefault="001972C0" w:rsidP="001972C0">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Given these initial shares, SplitCom divides all of the original mvh-related flows into flows for our 9 disaggregated mvh coms/inds in a way that: (i) preserves the values of the initial mvh-sector flows; (ii) reinstates necessary GTAP balance conditions; and (iii) implies shares that deviate from the initial split shares (a) to (e) as little as possible.  </w:t>
      </w:r>
    </w:p>
    <w:p w:rsidR="00B46C2C" w:rsidRPr="00B46C2C" w:rsidRDefault="0019067E" w:rsidP="001972C0">
      <w:pPr>
        <w:pStyle w:val="ListParagraph"/>
        <w:spacing w:before="120" w:after="0" w:line="240" w:lineRule="auto"/>
        <w:ind w:left="0"/>
        <w:contextualSpacing w:val="0"/>
        <w:rPr>
          <w:rFonts w:ascii="Times New Roman" w:hAnsi="Times New Roman" w:cs="Times New Roman"/>
          <w:b/>
          <w:sz w:val="24"/>
          <w:szCs w:val="24"/>
        </w:rPr>
      </w:pPr>
      <w:bookmarkStart w:id="5" w:name="_Ref529806076"/>
      <w:r>
        <w:rPr>
          <w:rFonts w:ascii="Times New Roman" w:hAnsi="Times New Roman" w:cs="Times New Roman"/>
          <w:b/>
          <w:sz w:val="24"/>
          <w:szCs w:val="24"/>
        </w:rPr>
        <w:t>3</w:t>
      </w:r>
      <w:r w:rsidR="00B46C2C">
        <w:rPr>
          <w:rFonts w:ascii="Times New Roman" w:hAnsi="Times New Roman" w:cs="Times New Roman"/>
          <w:b/>
          <w:sz w:val="24"/>
          <w:szCs w:val="24"/>
        </w:rPr>
        <w:t xml:space="preserve">.3.  </w:t>
      </w:r>
      <w:r w:rsidR="00B46C2C" w:rsidRPr="00B46C2C">
        <w:rPr>
          <w:rFonts w:ascii="Times New Roman" w:hAnsi="Times New Roman" w:cs="Times New Roman"/>
          <w:b/>
          <w:sz w:val="24"/>
          <w:szCs w:val="24"/>
        </w:rPr>
        <w:t xml:space="preserve">Compilation of </w:t>
      </w:r>
      <w:r w:rsidR="00087475">
        <w:rPr>
          <w:rFonts w:ascii="Times New Roman" w:hAnsi="Times New Roman" w:cs="Times New Roman"/>
          <w:b/>
          <w:sz w:val="24"/>
          <w:szCs w:val="24"/>
        </w:rPr>
        <w:t>trade</w:t>
      </w:r>
      <w:r w:rsidR="00B46C2C" w:rsidRPr="00B46C2C">
        <w:rPr>
          <w:rFonts w:ascii="Times New Roman" w:hAnsi="Times New Roman" w:cs="Times New Roman"/>
          <w:b/>
          <w:sz w:val="24"/>
          <w:szCs w:val="24"/>
        </w:rPr>
        <w:t xml:space="preserve"> </w:t>
      </w:r>
      <w:bookmarkEnd w:id="5"/>
      <w:r w:rsidR="00B46C2C">
        <w:rPr>
          <w:rFonts w:ascii="Times New Roman" w:hAnsi="Times New Roman" w:cs="Times New Roman"/>
          <w:b/>
          <w:sz w:val="24"/>
          <w:szCs w:val="24"/>
        </w:rPr>
        <w:t>data</w:t>
      </w:r>
      <w:r w:rsidR="00087475">
        <w:rPr>
          <w:rFonts w:ascii="Times New Roman" w:hAnsi="Times New Roman" w:cs="Times New Roman"/>
          <w:b/>
          <w:sz w:val="24"/>
          <w:szCs w:val="24"/>
        </w:rPr>
        <w:t xml:space="preserve"> [</w:t>
      </w:r>
      <w:r w:rsidR="00087475" w:rsidRPr="00087475">
        <w:rPr>
          <w:rFonts w:ascii="Times New Roman" w:hAnsi="Times New Roman" w:cs="Times New Roman"/>
          <w:sz w:val="24"/>
          <w:szCs w:val="24"/>
        </w:rPr>
        <w:t>TR(n,s,d)</w:t>
      </w:r>
      <w:r w:rsidR="00087475">
        <w:rPr>
          <w:rFonts w:ascii="Times New Roman" w:hAnsi="Times New Roman" w:cs="Times New Roman"/>
          <w:b/>
          <w:sz w:val="24"/>
          <w:szCs w:val="24"/>
        </w:rPr>
        <w:t>]</w:t>
      </w:r>
    </w:p>
    <w:p w:rsidR="00B46C2C" w:rsidRPr="00B46C2C" w:rsidRDefault="00087475" w:rsidP="00B46C2C">
      <w:pPr>
        <w:tabs>
          <w:tab w:val="left" w:pos="709"/>
          <w:tab w:val="left" w:pos="993"/>
        </w:tabs>
        <w:spacing w:before="120" w:after="0" w:line="240" w:lineRule="auto"/>
        <w:rPr>
          <w:rFonts w:ascii="Times New Roman" w:hAnsi="Times New Roman" w:cs="Times New Roman"/>
          <w:sz w:val="24"/>
          <w:szCs w:val="24"/>
        </w:rPr>
      </w:pPr>
      <w:r>
        <w:rPr>
          <w:rFonts w:ascii="Times New Roman" w:hAnsi="Times New Roman" w:cs="Times New Roman"/>
          <w:sz w:val="24"/>
          <w:szCs w:val="24"/>
        </w:rPr>
        <w:t>We downloaded d</w:t>
      </w:r>
      <w:r w:rsidR="00B46C2C" w:rsidRPr="00B46C2C">
        <w:rPr>
          <w:rFonts w:ascii="Times New Roman" w:hAnsi="Times New Roman" w:cs="Times New Roman"/>
          <w:sz w:val="24"/>
          <w:szCs w:val="24"/>
        </w:rPr>
        <w:t xml:space="preserve">ata on import and export values for </w:t>
      </w:r>
      <w:r>
        <w:rPr>
          <w:rFonts w:ascii="Times New Roman" w:hAnsi="Times New Roman" w:cs="Times New Roman"/>
          <w:sz w:val="24"/>
          <w:szCs w:val="24"/>
        </w:rPr>
        <w:t>mvh</w:t>
      </w:r>
      <w:r w:rsidR="00B46C2C" w:rsidRPr="00B46C2C">
        <w:rPr>
          <w:rFonts w:ascii="Times New Roman" w:hAnsi="Times New Roman" w:cs="Times New Roman"/>
          <w:sz w:val="24"/>
          <w:szCs w:val="24"/>
        </w:rPr>
        <w:t xml:space="preserve"> </w:t>
      </w:r>
      <w:r>
        <w:rPr>
          <w:rFonts w:ascii="Times New Roman" w:hAnsi="Times New Roman" w:cs="Times New Roman"/>
          <w:sz w:val="24"/>
          <w:szCs w:val="24"/>
        </w:rPr>
        <w:t>products</w:t>
      </w:r>
      <w:r w:rsidR="00B46C2C" w:rsidRPr="00B46C2C">
        <w:rPr>
          <w:rFonts w:ascii="Times New Roman" w:hAnsi="Times New Roman" w:cs="Times New Roman"/>
          <w:sz w:val="24"/>
          <w:szCs w:val="24"/>
        </w:rPr>
        <w:t xml:space="preserve"> at the 6-digit HS (Harmonised co</w:t>
      </w:r>
      <w:r>
        <w:rPr>
          <w:rFonts w:ascii="Times New Roman" w:hAnsi="Times New Roman" w:cs="Times New Roman"/>
          <w:sz w:val="24"/>
          <w:szCs w:val="24"/>
        </w:rPr>
        <w:t xml:space="preserve">de) level for the year 2015 </w:t>
      </w:r>
      <w:r w:rsidR="00B46C2C" w:rsidRPr="00B46C2C">
        <w:rPr>
          <w:rFonts w:ascii="Times New Roman" w:hAnsi="Times New Roman" w:cs="Times New Roman"/>
          <w:sz w:val="24"/>
          <w:szCs w:val="24"/>
        </w:rPr>
        <w:t xml:space="preserve">from the COMTRADE database (UN Comtrade 2018, Chapters 84 and 87). </w:t>
      </w:r>
      <w:r>
        <w:rPr>
          <w:rFonts w:ascii="Times New Roman" w:hAnsi="Times New Roman" w:cs="Times New Roman"/>
          <w:sz w:val="24"/>
          <w:szCs w:val="24"/>
        </w:rPr>
        <w:t xml:space="preserve"> </w:t>
      </w:r>
    </w:p>
    <w:p w:rsidR="00B46C2C" w:rsidRPr="00B46C2C" w:rsidRDefault="00B46C2C" w:rsidP="00B46C2C">
      <w:pPr>
        <w:tabs>
          <w:tab w:val="left" w:pos="993"/>
        </w:tabs>
        <w:spacing w:before="120" w:after="0" w:line="240" w:lineRule="auto"/>
        <w:rPr>
          <w:rFonts w:ascii="Times New Roman" w:hAnsi="Times New Roman" w:cs="Times New Roman"/>
          <w:sz w:val="24"/>
          <w:szCs w:val="24"/>
        </w:rPr>
      </w:pPr>
      <w:r w:rsidRPr="00B46C2C">
        <w:rPr>
          <w:rFonts w:ascii="Times New Roman" w:hAnsi="Times New Roman" w:cs="Times New Roman"/>
          <w:sz w:val="24"/>
          <w:szCs w:val="24"/>
        </w:rPr>
        <w:t xml:space="preserve">The data were then mapped and aggregated to the 9 new </w:t>
      </w:r>
      <w:r w:rsidR="00087475">
        <w:rPr>
          <w:rFonts w:ascii="Times New Roman" w:hAnsi="Times New Roman" w:cs="Times New Roman"/>
          <w:sz w:val="24"/>
          <w:szCs w:val="24"/>
        </w:rPr>
        <w:t>mvh</w:t>
      </w:r>
      <w:r w:rsidRPr="00B46C2C">
        <w:rPr>
          <w:rFonts w:ascii="Times New Roman" w:hAnsi="Times New Roman" w:cs="Times New Roman"/>
          <w:sz w:val="24"/>
          <w:szCs w:val="24"/>
        </w:rPr>
        <w:t xml:space="preserve"> </w:t>
      </w:r>
      <w:r w:rsidR="00087475">
        <w:rPr>
          <w:rFonts w:ascii="Times New Roman" w:hAnsi="Times New Roman" w:cs="Times New Roman"/>
          <w:sz w:val="24"/>
          <w:szCs w:val="24"/>
        </w:rPr>
        <w:t>commodities</w:t>
      </w:r>
      <w:r w:rsidRPr="00B46C2C">
        <w:rPr>
          <w:rFonts w:ascii="Times New Roman" w:hAnsi="Times New Roman" w:cs="Times New Roman"/>
          <w:sz w:val="24"/>
          <w:szCs w:val="24"/>
        </w:rPr>
        <w:t xml:space="preserve"> for the 10 GTAP-MVH regions. </w:t>
      </w:r>
      <w:r w:rsidR="00FE5487">
        <w:rPr>
          <w:rFonts w:ascii="Times New Roman" w:hAnsi="Times New Roman" w:cs="Times New Roman"/>
          <w:sz w:val="24"/>
          <w:szCs w:val="24"/>
        </w:rPr>
        <w:t xml:space="preserve"> </w:t>
      </w:r>
      <w:r w:rsidRPr="00B46C2C">
        <w:rPr>
          <w:rFonts w:ascii="Times New Roman" w:hAnsi="Times New Roman" w:cs="Times New Roman"/>
          <w:sz w:val="24"/>
          <w:szCs w:val="24"/>
        </w:rPr>
        <w:t xml:space="preserve">The concordance between 6-digit HS codes and </w:t>
      </w:r>
      <w:r w:rsidR="00087475">
        <w:rPr>
          <w:rFonts w:ascii="Times New Roman" w:hAnsi="Times New Roman" w:cs="Times New Roman"/>
          <w:sz w:val="24"/>
          <w:szCs w:val="24"/>
        </w:rPr>
        <w:t>the 9 mvh</w:t>
      </w:r>
      <w:r w:rsidRPr="00B46C2C">
        <w:rPr>
          <w:rFonts w:ascii="Times New Roman" w:hAnsi="Times New Roman" w:cs="Times New Roman"/>
          <w:sz w:val="24"/>
          <w:szCs w:val="24"/>
        </w:rPr>
        <w:t xml:space="preserve"> </w:t>
      </w:r>
      <w:r w:rsidR="00087475">
        <w:rPr>
          <w:rFonts w:ascii="Times New Roman" w:hAnsi="Times New Roman" w:cs="Times New Roman"/>
          <w:sz w:val="24"/>
          <w:szCs w:val="24"/>
        </w:rPr>
        <w:t>commodities</w:t>
      </w:r>
      <w:r w:rsidRPr="00B46C2C">
        <w:rPr>
          <w:rFonts w:ascii="Times New Roman" w:hAnsi="Times New Roman" w:cs="Times New Roman"/>
          <w:sz w:val="24"/>
          <w:szCs w:val="24"/>
        </w:rPr>
        <w:t xml:space="preserve"> </w:t>
      </w:r>
      <w:r w:rsidR="00087475">
        <w:rPr>
          <w:rFonts w:ascii="Times New Roman" w:hAnsi="Times New Roman" w:cs="Times New Roman"/>
          <w:sz w:val="24"/>
          <w:szCs w:val="24"/>
        </w:rPr>
        <w:t>in GTAP-MVH i</w:t>
      </w:r>
      <w:r w:rsidRPr="00B46C2C">
        <w:rPr>
          <w:rFonts w:ascii="Times New Roman" w:hAnsi="Times New Roman" w:cs="Times New Roman"/>
          <w:sz w:val="24"/>
          <w:szCs w:val="24"/>
        </w:rPr>
        <w:t xml:space="preserve">s reported in </w:t>
      </w:r>
      <w:r w:rsidRPr="00B46C2C">
        <w:rPr>
          <w:rFonts w:ascii="Times New Roman" w:hAnsi="Times New Roman" w:cs="Times New Roman"/>
          <w:sz w:val="24"/>
          <w:szCs w:val="24"/>
        </w:rPr>
        <w:fldChar w:fldCharType="begin"/>
      </w:r>
      <w:r w:rsidRPr="00B46C2C">
        <w:rPr>
          <w:rFonts w:ascii="Times New Roman" w:hAnsi="Times New Roman" w:cs="Times New Roman"/>
          <w:sz w:val="24"/>
          <w:szCs w:val="24"/>
        </w:rPr>
        <w:instrText xml:space="preserve"> REF _Ref528585891 \h  \* MERGEFORMAT </w:instrText>
      </w:r>
      <w:r w:rsidRPr="00B46C2C">
        <w:rPr>
          <w:rFonts w:ascii="Times New Roman" w:hAnsi="Times New Roman" w:cs="Times New Roman"/>
          <w:sz w:val="24"/>
          <w:szCs w:val="24"/>
        </w:rPr>
      </w:r>
      <w:r w:rsidRPr="00B46C2C">
        <w:rPr>
          <w:rFonts w:ascii="Times New Roman" w:hAnsi="Times New Roman" w:cs="Times New Roman"/>
          <w:sz w:val="24"/>
          <w:szCs w:val="24"/>
        </w:rPr>
        <w:fldChar w:fldCharType="separate"/>
      </w:r>
      <w:r w:rsidR="00B33522" w:rsidRPr="00B33522">
        <w:rPr>
          <w:rFonts w:ascii="Times New Roman" w:hAnsi="Times New Roman" w:cs="Times New Roman"/>
          <w:sz w:val="24"/>
          <w:szCs w:val="24"/>
        </w:rPr>
        <w:t xml:space="preserve">Table </w:t>
      </w:r>
      <w:r w:rsidRPr="00B46C2C">
        <w:rPr>
          <w:rFonts w:ascii="Times New Roman" w:hAnsi="Times New Roman" w:cs="Times New Roman"/>
          <w:sz w:val="24"/>
          <w:szCs w:val="24"/>
        </w:rPr>
        <w:fldChar w:fldCharType="end"/>
      </w:r>
      <w:r w:rsidR="00073430">
        <w:rPr>
          <w:rFonts w:ascii="Times New Roman" w:hAnsi="Times New Roman" w:cs="Times New Roman"/>
          <w:sz w:val="24"/>
          <w:szCs w:val="24"/>
        </w:rPr>
        <w:t>3.1</w:t>
      </w:r>
      <w:r w:rsidRPr="00B46C2C">
        <w:rPr>
          <w:rFonts w:ascii="Times New Roman" w:hAnsi="Times New Roman" w:cs="Times New Roman"/>
          <w:sz w:val="24"/>
          <w:szCs w:val="24"/>
        </w:rPr>
        <w:t xml:space="preserve">. </w:t>
      </w:r>
      <w:r w:rsidR="00FE5487">
        <w:rPr>
          <w:rFonts w:ascii="Times New Roman" w:hAnsi="Times New Roman" w:cs="Times New Roman"/>
          <w:sz w:val="24"/>
          <w:szCs w:val="24"/>
        </w:rPr>
        <w:t xml:space="preserve"> </w:t>
      </w:r>
      <w:r w:rsidRPr="00B46C2C">
        <w:rPr>
          <w:rFonts w:ascii="Times New Roman" w:hAnsi="Times New Roman" w:cs="Times New Roman"/>
          <w:sz w:val="24"/>
          <w:szCs w:val="24"/>
        </w:rPr>
        <w:t xml:space="preserve">The concordance is based on Aguiar (2016) and a careful examination of HS codes and their descriptions, as well as the descriptions of the </w:t>
      </w:r>
      <w:r w:rsidR="00087475">
        <w:rPr>
          <w:rFonts w:ascii="Times New Roman" w:hAnsi="Times New Roman" w:cs="Times New Roman"/>
          <w:sz w:val="24"/>
          <w:szCs w:val="24"/>
        </w:rPr>
        <w:t>9 mvh</w:t>
      </w:r>
      <w:r w:rsidRPr="00B46C2C">
        <w:rPr>
          <w:rFonts w:ascii="Times New Roman" w:hAnsi="Times New Roman" w:cs="Times New Roman"/>
          <w:sz w:val="24"/>
          <w:szCs w:val="24"/>
        </w:rPr>
        <w:t xml:space="preserve"> </w:t>
      </w:r>
      <w:r w:rsidR="00087475">
        <w:rPr>
          <w:rFonts w:ascii="Times New Roman" w:hAnsi="Times New Roman" w:cs="Times New Roman"/>
          <w:sz w:val="24"/>
          <w:szCs w:val="24"/>
        </w:rPr>
        <w:t>commodities</w:t>
      </w:r>
      <w:r w:rsidRPr="00B46C2C">
        <w:rPr>
          <w:rFonts w:ascii="Times New Roman" w:hAnsi="Times New Roman" w:cs="Times New Roman"/>
          <w:sz w:val="24"/>
          <w:szCs w:val="24"/>
        </w:rPr>
        <w:t xml:space="preserve"> in NAICS (United States Census Bureau 2017).</w:t>
      </w:r>
    </w:p>
    <w:p w:rsidR="00FE5487" w:rsidRPr="00B46C2C" w:rsidRDefault="00FE5487" w:rsidP="00FE5487">
      <w:pPr>
        <w:tabs>
          <w:tab w:val="left" w:pos="993"/>
        </w:tabs>
        <w:spacing w:before="120" w:after="0" w:line="240" w:lineRule="auto"/>
        <w:rPr>
          <w:rFonts w:ascii="Times New Roman" w:hAnsi="Times New Roman" w:cs="Times New Roman"/>
          <w:sz w:val="24"/>
          <w:szCs w:val="24"/>
        </w:rPr>
      </w:pPr>
      <w:r w:rsidRPr="00B46C2C">
        <w:rPr>
          <w:rFonts w:ascii="Times New Roman" w:hAnsi="Times New Roman" w:cs="Times New Roman"/>
          <w:sz w:val="24"/>
          <w:szCs w:val="24"/>
        </w:rPr>
        <w:t xml:space="preserve">The COMTRADE data come in the form EXPORTS(c,s,d), i.e. exports of commodity </w:t>
      </w:r>
      <w:r w:rsidRPr="00B46C2C">
        <w:rPr>
          <w:rFonts w:ascii="Times New Roman" w:hAnsi="Times New Roman" w:cs="Times New Roman"/>
          <w:i/>
          <w:sz w:val="24"/>
          <w:szCs w:val="24"/>
        </w:rPr>
        <w:t>c</w:t>
      </w:r>
      <w:r w:rsidRPr="00B46C2C">
        <w:rPr>
          <w:rFonts w:ascii="Times New Roman" w:hAnsi="Times New Roman" w:cs="Times New Roman"/>
          <w:sz w:val="24"/>
          <w:szCs w:val="24"/>
        </w:rPr>
        <w:t xml:space="preserve"> from reporting  region </w:t>
      </w:r>
      <w:r w:rsidRPr="00B46C2C">
        <w:rPr>
          <w:rFonts w:ascii="Times New Roman" w:hAnsi="Times New Roman" w:cs="Times New Roman"/>
          <w:i/>
          <w:sz w:val="24"/>
          <w:szCs w:val="24"/>
        </w:rPr>
        <w:t>s</w:t>
      </w:r>
      <w:r w:rsidRPr="00B46C2C">
        <w:rPr>
          <w:rFonts w:ascii="Times New Roman" w:hAnsi="Times New Roman" w:cs="Times New Roman"/>
          <w:sz w:val="24"/>
          <w:szCs w:val="24"/>
        </w:rPr>
        <w:t xml:space="preserve"> to partner region </w:t>
      </w:r>
      <w:r w:rsidRPr="00B46C2C">
        <w:rPr>
          <w:rFonts w:ascii="Times New Roman" w:hAnsi="Times New Roman" w:cs="Times New Roman"/>
          <w:i/>
          <w:sz w:val="24"/>
          <w:szCs w:val="24"/>
        </w:rPr>
        <w:t>d</w:t>
      </w:r>
      <w:r w:rsidRPr="00B46C2C">
        <w:rPr>
          <w:rFonts w:ascii="Times New Roman" w:hAnsi="Times New Roman" w:cs="Times New Roman"/>
          <w:sz w:val="24"/>
          <w:szCs w:val="24"/>
        </w:rPr>
        <w:t xml:space="preserve">, and  IMPORTS(c,d,s), i.e. imports of </w:t>
      </w:r>
      <w:r w:rsidRPr="00B46C2C">
        <w:rPr>
          <w:rFonts w:ascii="Times New Roman" w:hAnsi="Times New Roman" w:cs="Times New Roman"/>
          <w:i/>
          <w:sz w:val="24"/>
          <w:szCs w:val="24"/>
        </w:rPr>
        <w:t>c</w:t>
      </w:r>
      <w:r w:rsidRPr="00B46C2C">
        <w:rPr>
          <w:rFonts w:ascii="Times New Roman" w:hAnsi="Times New Roman" w:cs="Times New Roman"/>
          <w:sz w:val="24"/>
          <w:szCs w:val="24"/>
        </w:rPr>
        <w:t xml:space="preserve"> to reporting region </w:t>
      </w:r>
      <w:r w:rsidRPr="00B46C2C">
        <w:rPr>
          <w:rFonts w:ascii="Times New Roman" w:hAnsi="Times New Roman" w:cs="Times New Roman"/>
          <w:i/>
          <w:sz w:val="24"/>
          <w:szCs w:val="24"/>
        </w:rPr>
        <w:t>d</w:t>
      </w:r>
      <w:r w:rsidRPr="00B46C2C">
        <w:rPr>
          <w:rFonts w:ascii="Times New Roman" w:hAnsi="Times New Roman" w:cs="Times New Roman"/>
          <w:sz w:val="24"/>
          <w:szCs w:val="24"/>
        </w:rPr>
        <w:t xml:space="preserve"> from partner region </w:t>
      </w:r>
      <w:r w:rsidRPr="00B46C2C">
        <w:rPr>
          <w:rFonts w:ascii="Times New Roman" w:hAnsi="Times New Roman" w:cs="Times New Roman"/>
          <w:i/>
          <w:sz w:val="24"/>
          <w:szCs w:val="24"/>
        </w:rPr>
        <w:t>s</w:t>
      </w:r>
      <w:r w:rsidRPr="00B46C2C">
        <w:rPr>
          <w:rFonts w:ascii="Times New Roman" w:hAnsi="Times New Roman" w:cs="Times New Roman"/>
          <w:sz w:val="24"/>
          <w:szCs w:val="24"/>
        </w:rPr>
        <w:t xml:space="preserve">. </w:t>
      </w:r>
      <w:r w:rsidR="00500BB7">
        <w:rPr>
          <w:rFonts w:ascii="Times New Roman" w:hAnsi="Times New Roman" w:cs="Times New Roman"/>
          <w:sz w:val="24"/>
          <w:szCs w:val="24"/>
        </w:rPr>
        <w:t xml:space="preserve"> </w:t>
      </w:r>
      <w:r w:rsidRPr="00B46C2C">
        <w:rPr>
          <w:rFonts w:ascii="Times New Roman" w:hAnsi="Times New Roman" w:cs="Times New Roman"/>
          <w:sz w:val="24"/>
          <w:szCs w:val="24"/>
        </w:rPr>
        <w:t xml:space="preserve">In principle, these two types of data must match, i.e. for the same commodity </w:t>
      </w:r>
      <w:r w:rsidRPr="00B46C2C">
        <w:rPr>
          <w:rFonts w:ascii="Times New Roman" w:hAnsi="Times New Roman" w:cs="Times New Roman"/>
          <w:i/>
          <w:sz w:val="24"/>
          <w:szCs w:val="24"/>
        </w:rPr>
        <w:t>c</w:t>
      </w:r>
      <w:r w:rsidRPr="00B46C2C">
        <w:rPr>
          <w:rFonts w:ascii="Times New Roman" w:hAnsi="Times New Roman" w:cs="Times New Roman"/>
          <w:sz w:val="24"/>
          <w:szCs w:val="24"/>
        </w:rPr>
        <w:t xml:space="preserve"> and the same country pair </w:t>
      </w:r>
      <w:r w:rsidRPr="00B46C2C">
        <w:rPr>
          <w:rFonts w:ascii="Times New Roman" w:hAnsi="Times New Roman" w:cs="Times New Roman"/>
          <w:i/>
          <w:sz w:val="24"/>
          <w:szCs w:val="24"/>
        </w:rPr>
        <w:t>s</w:t>
      </w:r>
      <w:r w:rsidRPr="00B46C2C">
        <w:rPr>
          <w:rFonts w:ascii="Times New Roman" w:hAnsi="Times New Roman" w:cs="Times New Roman"/>
          <w:sz w:val="24"/>
          <w:szCs w:val="24"/>
        </w:rPr>
        <w:t>,</w:t>
      </w:r>
      <w:r w:rsidRPr="00B46C2C">
        <w:rPr>
          <w:rFonts w:ascii="Times New Roman" w:hAnsi="Times New Roman" w:cs="Times New Roman"/>
          <w:i/>
          <w:sz w:val="24"/>
          <w:szCs w:val="24"/>
        </w:rPr>
        <w:t>d</w:t>
      </w:r>
      <w:r w:rsidRPr="00B46C2C">
        <w:rPr>
          <w:rFonts w:ascii="Times New Roman" w:hAnsi="Times New Roman" w:cs="Times New Roman"/>
          <w:sz w:val="24"/>
          <w:szCs w:val="24"/>
        </w:rPr>
        <w:t xml:space="preserve">, we expect EXPORTS(c,s,d) = IMPORTS (c,d,s). </w:t>
      </w:r>
      <w:r w:rsidR="00500BB7">
        <w:rPr>
          <w:rFonts w:ascii="Times New Roman" w:hAnsi="Times New Roman" w:cs="Times New Roman"/>
          <w:sz w:val="24"/>
          <w:szCs w:val="24"/>
        </w:rPr>
        <w:t xml:space="preserve"> </w:t>
      </w:r>
      <w:r w:rsidRPr="00B46C2C">
        <w:rPr>
          <w:rFonts w:ascii="Times New Roman" w:hAnsi="Times New Roman" w:cs="Times New Roman"/>
          <w:sz w:val="24"/>
          <w:szCs w:val="24"/>
        </w:rPr>
        <w:t xml:space="preserve">However, it is well-known that there are discrepancies in these data (see, for example, Gelhar 1996, Ferrantino et al. 2012, Shaar 2017). </w:t>
      </w:r>
      <w:r w:rsidR="00500BB7">
        <w:rPr>
          <w:rFonts w:ascii="Times New Roman" w:hAnsi="Times New Roman" w:cs="Times New Roman"/>
          <w:sz w:val="24"/>
          <w:szCs w:val="24"/>
        </w:rPr>
        <w:t xml:space="preserve"> </w:t>
      </w:r>
      <w:r w:rsidRPr="00B46C2C">
        <w:rPr>
          <w:rFonts w:ascii="Times New Roman" w:hAnsi="Times New Roman" w:cs="Times New Roman"/>
          <w:sz w:val="24"/>
          <w:szCs w:val="24"/>
        </w:rPr>
        <w:t xml:space="preserve">Reconciling them is a complex process. </w:t>
      </w:r>
      <w:r w:rsidR="00500BB7">
        <w:rPr>
          <w:rFonts w:ascii="Times New Roman" w:hAnsi="Times New Roman" w:cs="Times New Roman"/>
          <w:sz w:val="24"/>
          <w:szCs w:val="24"/>
        </w:rPr>
        <w:t xml:space="preserve"> </w:t>
      </w:r>
      <w:r w:rsidRPr="00B46C2C">
        <w:rPr>
          <w:rFonts w:ascii="Times New Roman" w:hAnsi="Times New Roman" w:cs="Times New Roman"/>
          <w:sz w:val="24"/>
          <w:szCs w:val="24"/>
        </w:rPr>
        <w:t xml:space="preserve">Within the scope of this project, the following procedure was used: </w:t>
      </w:r>
    </w:p>
    <w:p w:rsidR="00FE5487" w:rsidRPr="00B46C2C" w:rsidRDefault="00500BB7" w:rsidP="00500BB7">
      <w:pPr>
        <w:pStyle w:val="ListParagraph"/>
        <w:spacing w:before="120" w:after="0"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Step 1.  </w:t>
      </w:r>
      <w:r w:rsidR="00FE5487" w:rsidRPr="00B46C2C">
        <w:rPr>
          <w:rFonts w:ascii="Times New Roman" w:hAnsi="Times New Roman" w:cs="Times New Roman"/>
          <w:sz w:val="24"/>
          <w:szCs w:val="24"/>
        </w:rPr>
        <w:t xml:space="preserve">According to UN guidelines (UN 2013), exports should be reported at FOB prices, and imports should be reported at CIF prices. Most countries follow this recommendation, but some do not (see UN 2008). Specifically, among the 10 regions in GTAP-MVH, the USA and Canada report imports at FOB, not CIF prices. Hence, the first step was to convert all COMTRADE import values (except those reported by the US and Canada) to FOB prices, using the FOB/CIF ratio for the motor vehicle sector in the original GTAP database.  </w:t>
      </w:r>
    </w:p>
    <w:p w:rsidR="0077254E" w:rsidRPr="00B46C2C" w:rsidRDefault="0077254E" w:rsidP="0077254E">
      <w:pPr>
        <w:pStyle w:val="Caption"/>
        <w:keepNext/>
        <w:spacing w:before="120" w:after="0" w:line="240" w:lineRule="auto"/>
        <w:jc w:val="center"/>
        <w:rPr>
          <w:rFonts w:ascii="Times New Roman" w:hAnsi="Times New Roman"/>
          <w:sz w:val="24"/>
          <w:szCs w:val="24"/>
        </w:rPr>
      </w:pPr>
      <w:bookmarkStart w:id="6" w:name="_Ref528585891"/>
      <w:r w:rsidRPr="00B46C2C">
        <w:rPr>
          <w:rFonts w:ascii="Times New Roman" w:hAnsi="Times New Roman"/>
          <w:sz w:val="24"/>
          <w:szCs w:val="24"/>
        </w:rPr>
        <w:lastRenderedPageBreak/>
        <w:t xml:space="preserve">Table </w:t>
      </w:r>
      <w:bookmarkEnd w:id="6"/>
      <w:r>
        <w:rPr>
          <w:rFonts w:ascii="Times New Roman" w:hAnsi="Times New Roman"/>
          <w:noProof/>
          <w:sz w:val="24"/>
          <w:szCs w:val="24"/>
        </w:rPr>
        <w:t>3.1</w:t>
      </w:r>
      <w:r w:rsidRPr="00B46C2C">
        <w:rPr>
          <w:rFonts w:ascii="Times New Roman" w:hAnsi="Times New Roman"/>
          <w:sz w:val="24"/>
          <w:szCs w:val="24"/>
        </w:rPr>
        <w:t xml:space="preserve">. </w:t>
      </w:r>
      <w:r>
        <w:rPr>
          <w:rFonts w:ascii="Times New Roman" w:hAnsi="Times New Roman"/>
          <w:sz w:val="24"/>
          <w:szCs w:val="24"/>
        </w:rPr>
        <w:t xml:space="preserve"> </w:t>
      </w:r>
      <w:r w:rsidRPr="00B46C2C">
        <w:rPr>
          <w:rFonts w:ascii="Times New Roman" w:hAnsi="Times New Roman"/>
          <w:sz w:val="24"/>
          <w:szCs w:val="24"/>
        </w:rPr>
        <w:t xml:space="preserve">Concordance between </w:t>
      </w:r>
      <w:r>
        <w:rPr>
          <w:rFonts w:ascii="Times New Roman" w:hAnsi="Times New Roman"/>
          <w:sz w:val="24"/>
          <w:szCs w:val="24"/>
        </w:rPr>
        <w:t>mvh</w:t>
      </w:r>
      <w:r w:rsidRPr="00B46C2C">
        <w:rPr>
          <w:rFonts w:ascii="Times New Roman" w:hAnsi="Times New Roman"/>
          <w:sz w:val="24"/>
          <w:szCs w:val="24"/>
        </w:rPr>
        <w:t xml:space="preserve"> </w:t>
      </w:r>
      <w:r>
        <w:rPr>
          <w:rFonts w:ascii="Times New Roman" w:hAnsi="Times New Roman"/>
          <w:sz w:val="24"/>
          <w:szCs w:val="24"/>
        </w:rPr>
        <w:t>commodities</w:t>
      </w:r>
      <w:r w:rsidRPr="00B46C2C">
        <w:rPr>
          <w:rFonts w:ascii="Times New Roman" w:hAnsi="Times New Roman"/>
          <w:sz w:val="24"/>
          <w:szCs w:val="24"/>
        </w:rPr>
        <w:t xml:space="preserve"> in GTAP-MVH and 6-digit HS codes</w:t>
      </w:r>
    </w:p>
    <w:tbl>
      <w:tblPr>
        <w:tblW w:w="8925" w:type="dxa"/>
        <w:tblLayout w:type="fixed"/>
        <w:tblLook w:val="04A0" w:firstRow="1" w:lastRow="0" w:firstColumn="1" w:lastColumn="0" w:noHBand="0" w:noVBand="1"/>
      </w:tblPr>
      <w:tblGrid>
        <w:gridCol w:w="557"/>
        <w:gridCol w:w="2272"/>
        <w:gridCol w:w="6096"/>
      </w:tblGrid>
      <w:tr w:rsidR="0077254E" w:rsidRPr="00B46C2C" w:rsidTr="001501F1">
        <w:trPr>
          <w:trHeight w:val="300"/>
        </w:trPr>
        <w:tc>
          <w:tcPr>
            <w:tcW w:w="557" w:type="dxa"/>
            <w:tcBorders>
              <w:top w:val="single" w:sz="18" w:space="0" w:color="7F7F7F" w:themeColor="text1" w:themeTint="80"/>
              <w:bottom w:val="single" w:sz="18" w:space="0" w:color="7F7F7F" w:themeColor="text1" w:themeTint="80"/>
              <w:right w:val="single" w:sz="4" w:space="0" w:color="auto"/>
            </w:tcBorders>
            <w:shd w:val="clear" w:color="auto" w:fill="auto"/>
            <w:vAlign w:val="center"/>
          </w:tcPr>
          <w:p w:rsidR="0077254E" w:rsidRPr="00B46C2C" w:rsidRDefault="0077254E" w:rsidP="001501F1">
            <w:pPr>
              <w:spacing w:after="0" w:line="240" w:lineRule="auto"/>
              <w:jc w:val="center"/>
              <w:rPr>
                <w:rFonts w:ascii="Times New Roman" w:eastAsia="Times New Roman" w:hAnsi="Times New Roman" w:cs="Times New Roman"/>
                <w:sz w:val="20"/>
                <w:szCs w:val="20"/>
              </w:rPr>
            </w:pPr>
          </w:p>
        </w:tc>
        <w:tc>
          <w:tcPr>
            <w:tcW w:w="2272" w:type="dxa"/>
            <w:tcBorders>
              <w:top w:val="single" w:sz="18" w:space="0" w:color="7F7F7F" w:themeColor="text1" w:themeTint="80"/>
              <w:left w:val="single" w:sz="4" w:space="0" w:color="auto"/>
              <w:bottom w:val="single" w:sz="18" w:space="0" w:color="7F7F7F" w:themeColor="text1" w:themeTint="80"/>
              <w:right w:val="single" w:sz="4" w:space="0" w:color="auto"/>
            </w:tcBorders>
            <w:shd w:val="clear" w:color="auto" w:fill="auto"/>
            <w:noWrap/>
            <w:vAlign w:val="center"/>
          </w:tcPr>
          <w:p w:rsidR="0077254E" w:rsidRPr="00B46C2C" w:rsidRDefault="0077254E" w:rsidP="001501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mvh commodities in </w:t>
            </w:r>
            <w:r w:rsidRPr="00B46C2C">
              <w:rPr>
                <w:rFonts w:ascii="Times New Roman" w:eastAsia="Times New Roman" w:hAnsi="Times New Roman" w:cs="Times New Roman"/>
                <w:sz w:val="20"/>
                <w:szCs w:val="20"/>
              </w:rPr>
              <w:t xml:space="preserve">GTAP-MVH </w:t>
            </w:r>
          </w:p>
        </w:tc>
        <w:tc>
          <w:tcPr>
            <w:tcW w:w="6096" w:type="dxa"/>
            <w:tcBorders>
              <w:top w:val="single" w:sz="18" w:space="0" w:color="7F7F7F" w:themeColor="text1" w:themeTint="80"/>
              <w:left w:val="single" w:sz="4" w:space="0" w:color="auto"/>
              <w:bottom w:val="single" w:sz="18" w:space="0" w:color="7F7F7F" w:themeColor="text1" w:themeTint="80"/>
              <w:right w:val="single" w:sz="8" w:space="0" w:color="E0E0E0"/>
            </w:tcBorders>
            <w:vAlign w:val="center"/>
          </w:tcPr>
          <w:p w:rsidR="0077254E" w:rsidRPr="00B46C2C" w:rsidRDefault="0077254E" w:rsidP="001501F1">
            <w:pPr>
              <w:spacing w:after="0" w:line="240" w:lineRule="auto"/>
              <w:jc w:val="center"/>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HS code</w:t>
            </w:r>
          </w:p>
        </w:tc>
      </w:tr>
      <w:tr w:rsidR="0077254E" w:rsidRPr="00B46C2C" w:rsidTr="001501F1">
        <w:trPr>
          <w:trHeight w:val="300"/>
        </w:trPr>
        <w:tc>
          <w:tcPr>
            <w:tcW w:w="557" w:type="dxa"/>
            <w:tcBorders>
              <w:top w:val="single" w:sz="18" w:space="0" w:color="7F7F7F" w:themeColor="text1" w:themeTint="80"/>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13</w:t>
            </w:r>
          </w:p>
        </w:tc>
        <w:tc>
          <w:tcPr>
            <w:tcW w:w="2272" w:type="dxa"/>
            <w:tcBorders>
              <w:top w:val="single" w:sz="18" w:space="0" w:color="7F7F7F" w:themeColor="text1" w:themeTint="80"/>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hAnsi="Times New Roman" w:cs="Times New Roman"/>
                <w:sz w:val="20"/>
                <w:szCs w:val="20"/>
              </w:rPr>
              <w:t>Automobile manufacturing</w:t>
            </w:r>
          </w:p>
        </w:tc>
        <w:tc>
          <w:tcPr>
            <w:tcW w:w="6096" w:type="dxa"/>
            <w:tcBorders>
              <w:top w:val="single" w:sz="18" w:space="0" w:color="7F7F7F" w:themeColor="text1" w:themeTint="80"/>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8702 (</w:t>
            </w:r>
            <w:hyperlink r:id="rId127" w:tgtFrame="_blank" w:history="1">
              <w:r w:rsidRPr="00B46C2C">
                <w:rPr>
                  <w:rFonts w:ascii="Times New Roman" w:eastAsia="Times New Roman" w:hAnsi="Times New Roman" w:cs="Times New Roman"/>
                  <w:sz w:val="20"/>
                  <w:szCs w:val="20"/>
                </w:rPr>
                <w:t>Motor vehicles for the transport of ten or more persons, including the driver.</w:t>
              </w:r>
            </w:hyperlink>
            <w:r w:rsidRPr="00B46C2C">
              <w:rPr>
                <w:rFonts w:ascii="Times New Roman" w:eastAsia="Times New Roman" w:hAnsi="Times New Roman" w:cs="Times New Roman"/>
                <w:sz w:val="20"/>
                <w:szCs w:val="20"/>
              </w:rPr>
              <w:t>)</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8703 - (Motor cars and other motor vehicles principally designed for the transport of persons, including station wagons and racing cars.)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8706 (chassis fitted with engines, for motor vehicles)</w:t>
            </w: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14</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Motor vehicle gasoline engine and engine parts manufacturing</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840731 – 840734, 840820, 840891, 840899 (Spark ignition reciprocating piston engines and parts)</w:t>
            </w: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15</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Motor vehicle steering, suspension component (except spring) manufacturing</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 xml:space="preserve">870880 (Suspension systems and parts thereof) </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870894 (Steering wheels, columns, boxes)</w:t>
            </w: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16</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Motor vehicle brakes and brake systems</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870830 (Brakes and servo-brakes of motor vehicle)</w:t>
            </w: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17</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Motor vehicle transmission and power train parts</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870840</w:t>
            </w:r>
            <w:r w:rsidRPr="00B46C2C">
              <w:rPr>
                <w:rFonts w:ascii="Times New Roman" w:eastAsia="Times New Roman" w:hAnsi="Times New Roman" w:cs="Times New Roman"/>
                <w:sz w:val="20"/>
                <w:szCs w:val="20"/>
              </w:rPr>
              <w:tab/>
              <w:t>(Gear boxes and parts thereof)</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870850 (Drive-axles with differential, whether/not provided with other transmission components, &amp; non-driving axles; parts thereof of the motor vehicles of headings 87.01 to 87.05.)</w:t>
            </w: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18</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Motor vehicle interior trim, seats and seat parts</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870821 (Safety seat belts for motor vehicles)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870870 (Road wheels and parts and accessories thereof)</w:t>
            </w:r>
            <w:r w:rsidRPr="00500BB7">
              <w:rPr>
                <w:rStyle w:val="FootnoteReference"/>
                <w:rFonts w:ascii="Times New Roman" w:eastAsia="Times New Roman" w:hAnsi="Times New Roman" w:cs="Times New Roman"/>
                <w:sz w:val="18"/>
                <w:szCs w:val="18"/>
              </w:rPr>
              <w:footnoteReference w:id="10"/>
            </w:r>
          </w:p>
          <w:p w:rsidR="0077254E" w:rsidRPr="00B46C2C" w:rsidRDefault="0077254E" w:rsidP="001501F1">
            <w:pPr>
              <w:spacing w:after="0" w:line="240" w:lineRule="auto"/>
              <w:rPr>
                <w:rFonts w:ascii="Times New Roman" w:eastAsia="Times New Roman" w:hAnsi="Times New Roman" w:cs="Times New Roman"/>
                <w:sz w:val="20"/>
                <w:szCs w:val="20"/>
              </w:rPr>
            </w:pP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19</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Motor vehicle metal stamping (fenders, tops, body parts, trim, and molding)</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8707 (Bodies (including cabs), for the motor vehicles of headings 87.01 to 87.05)</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870810 (Bumpers and parts)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 xml:space="preserve">870829 (Parts &amp; accessories of bodies (incl. cabs) of the motor vehicles of 87.01-87.05, </w:t>
            </w:r>
            <w:r w:rsidRPr="00B46C2C">
              <w:rPr>
                <w:rFonts w:ascii="Times New Roman" w:eastAsia="Times New Roman" w:hAnsi="Times New Roman" w:cs="Times New Roman"/>
                <w:i/>
                <w:sz w:val="20"/>
                <w:szCs w:val="20"/>
              </w:rPr>
              <w:t>n</w:t>
            </w:r>
            <w:r w:rsidRPr="00B46C2C">
              <w:rPr>
                <w:rFonts w:ascii="Times New Roman" w:eastAsia="Times New Roman" w:hAnsi="Times New Roman" w:cs="Times New Roman"/>
                <w:sz w:val="20"/>
                <w:szCs w:val="20"/>
              </w:rPr>
              <w:t>.e.</w:t>
            </w:r>
            <w:r w:rsidRPr="00B46C2C">
              <w:rPr>
                <w:rFonts w:ascii="Times New Roman" w:eastAsia="Times New Roman" w:hAnsi="Times New Roman" w:cs="Times New Roman"/>
                <w:i/>
                <w:sz w:val="20"/>
                <w:szCs w:val="20"/>
              </w:rPr>
              <w:t>s</w:t>
            </w:r>
            <w:r w:rsidRPr="00B46C2C">
              <w:rPr>
                <w:rFonts w:ascii="Times New Roman" w:eastAsia="Times New Roman" w:hAnsi="Times New Roman" w:cs="Times New Roman"/>
                <w:sz w:val="20"/>
                <w:szCs w:val="20"/>
              </w:rPr>
              <w:t>. in 87.08)</w:t>
            </w:r>
          </w:p>
        </w:tc>
      </w:tr>
      <w:tr w:rsidR="0077254E" w:rsidRPr="00B46C2C" w:rsidTr="001501F1">
        <w:trPr>
          <w:trHeight w:val="300"/>
        </w:trPr>
        <w:tc>
          <w:tcPr>
            <w:tcW w:w="557" w:type="dxa"/>
            <w:tcBorders>
              <w:top w:val="single" w:sz="4" w:space="0" w:color="auto"/>
              <w:bottom w:val="single" w:sz="4" w:space="0" w:color="auto"/>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20</w:t>
            </w:r>
          </w:p>
        </w:tc>
        <w:tc>
          <w:tcPr>
            <w:tcW w:w="2272" w:type="dxa"/>
            <w:tcBorders>
              <w:top w:val="single" w:sz="4" w:space="0" w:color="auto"/>
              <w:left w:val="single" w:sz="4" w:space="0" w:color="auto"/>
              <w:bottom w:val="single" w:sz="4" w:space="0" w:color="auto"/>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Other motor vehicle parts manufacturing</w:t>
            </w:r>
          </w:p>
        </w:tc>
        <w:tc>
          <w:tcPr>
            <w:tcW w:w="6096" w:type="dxa"/>
            <w:tcBorders>
              <w:top w:val="single" w:sz="4" w:space="0" w:color="auto"/>
              <w:left w:val="single" w:sz="4" w:space="0" w:color="auto"/>
              <w:bottom w:val="single" w:sz="4" w:space="0" w:color="auto"/>
              <w:right w:val="single" w:sz="8" w:space="0" w:color="E0E0E0"/>
            </w:tcBorders>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870891 (Radiators and parts)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870892 (Silencers and exhaust pipes)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870893 (Clutches and parts thereof, for tractors)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870895 (Safety airbags with inflator system)</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870899 (Other parts &amp; accessories for motor vehicle)</w:t>
            </w:r>
          </w:p>
        </w:tc>
      </w:tr>
      <w:tr w:rsidR="0077254E" w:rsidRPr="00B46C2C" w:rsidTr="001501F1">
        <w:trPr>
          <w:trHeight w:val="300"/>
        </w:trPr>
        <w:tc>
          <w:tcPr>
            <w:tcW w:w="557" w:type="dxa"/>
            <w:tcBorders>
              <w:top w:val="single" w:sz="4" w:space="0" w:color="auto"/>
              <w:bottom w:val="single" w:sz="18" w:space="0" w:color="7F7F7F" w:themeColor="text1" w:themeTint="80"/>
              <w:right w:val="single" w:sz="4" w:space="0" w:color="auto"/>
            </w:tcBorders>
            <w:shd w:val="clear" w:color="auto" w:fill="auto"/>
          </w:tcPr>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21</w:t>
            </w:r>
          </w:p>
        </w:tc>
        <w:tc>
          <w:tcPr>
            <w:tcW w:w="2272" w:type="dxa"/>
            <w:tcBorders>
              <w:top w:val="single" w:sz="4" w:space="0" w:color="auto"/>
              <w:left w:val="single" w:sz="4" w:space="0" w:color="auto"/>
              <w:bottom w:val="single" w:sz="18" w:space="0" w:color="7F7F7F" w:themeColor="text1" w:themeTint="80"/>
              <w:right w:val="single" w:sz="4" w:space="0" w:color="auto"/>
            </w:tcBorders>
            <w:shd w:val="clear" w:color="auto" w:fill="auto"/>
            <w:noWrap/>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Truck, utility vehicle, trailer, motor home, travel trailer and camper manufacturing</w:t>
            </w:r>
          </w:p>
        </w:tc>
        <w:tc>
          <w:tcPr>
            <w:tcW w:w="6096" w:type="dxa"/>
            <w:tcBorders>
              <w:top w:val="single" w:sz="4" w:space="0" w:color="auto"/>
              <w:left w:val="single" w:sz="4" w:space="0" w:color="auto"/>
              <w:bottom w:val="single" w:sz="18" w:space="0" w:color="7F7F7F" w:themeColor="text1" w:themeTint="80"/>
              <w:right w:val="single" w:sz="8" w:space="0" w:color="E0E0E0"/>
            </w:tcBorders>
          </w:tcPr>
          <w:p w:rsidR="0077254E" w:rsidRPr="00B46C2C" w:rsidRDefault="0077254E" w:rsidP="001501F1">
            <w:pPr>
              <w:spacing w:after="0" w:line="240" w:lineRule="auto"/>
              <w:rPr>
                <w:rFonts w:ascii="Times New Roman" w:hAnsi="Times New Roman" w:cs="Times New Roman"/>
                <w:sz w:val="20"/>
                <w:szCs w:val="20"/>
              </w:rPr>
            </w:pPr>
            <w:r w:rsidRPr="00B46C2C">
              <w:rPr>
                <w:rFonts w:ascii="Times New Roman" w:hAnsi="Times New Roman" w:cs="Times New Roman"/>
                <w:sz w:val="20"/>
                <w:szCs w:val="20"/>
              </w:rPr>
              <w:t>870120 (Road tractors for semitrailers)</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hAnsi="Times New Roman" w:cs="Times New Roman"/>
                <w:sz w:val="20"/>
                <w:szCs w:val="20"/>
              </w:rPr>
              <w:t>8704 (</w:t>
            </w:r>
            <w:hyperlink r:id="rId128" w:tgtFrame="_blank" w:history="1">
              <w:r w:rsidRPr="00B46C2C">
                <w:rPr>
                  <w:rFonts w:ascii="Times New Roman" w:eastAsia="Times New Roman" w:hAnsi="Times New Roman" w:cs="Times New Roman"/>
                  <w:sz w:val="20"/>
                  <w:szCs w:val="20"/>
                </w:rPr>
                <w:t>Motor vehicles for the transport of goods.</w:t>
              </w:r>
            </w:hyperlink>
            <w:r w:rsidRPr="00B46C2C">
              <w:rPr>
                <w:rFonts w:ascii="Times New Roman" w:eastAsia="Times New Roman" w:hAnsi="Times New Roman" w:cs="Times New Roman"/>
                <w:sz w:val="20"/>
                <w:szCs w:val="20"/>
              </w:rPr>
              <w:t>)</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8705 (Special purpose motor vehicles, other than those principally designed for the transport of persons or goods (for example, breakdown lorries, crane lorries, fire fighting vehicles, concrete-mixer lorries, road sweeper lorries, spraying lorries, mobile work)</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8709 (</w:t>
            </w:r>
            <w:hyperlink r:id="rId129" w:tgtFrame="_blank" w:history="1">
              <w:r w:rsidRPr="00B46C2C">
                <w:rPr>
                  <w:rFonts w:ascii="Times New Roman" w:eastAsia="Times New Roman" w:hAnsi="Times New Roman" w:cs="Times New Roman"/>
                  <w:sz w:val="20"/>
                  <w:szCs w:val="20"/>
                </w:rPr>
                <w:t>Works trucks, self-propelled, not fitted with lifting or handling equipment, of the type used in factories, warehouses, dock areas or airports for short distance transport of goods; tractors of the type used on railway station platforms; parts of the fore</w:t>
              </w:r>
            </w:hyperlink>
            <w:r w:rsidRPr="00B46C2C">
              <w:rPr>
                <w:rFonts w:ascii="Times New Roman" w:eastAsia="Times New Roman" w:hAnsi="Times New Roman" w:cs="Times New Roman"/>
                <w:sz w:val="20"/>
                <w:szCs w:val="20"/>
              </w:rPr>
              <w:t>)</w:t>
            </w:r>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8710 (</w:t>
            </w:r>
            <w:hyperlink r:id="rId130" w:tgtFrame="_blank" w:history="1">
              <w:r w:rsidRPr="00B46C2C">
                <w:rPr>
                  <w:rFonts w:ascii="Times New Roman" w:eastAsia="Times New Roman" w:hAnsi="Times New Roman" w:cs="Times New Roman"/>
                  <w:sz w:val="20"/>
                  <w:szCs w:val="20"/>
                </w:rPr>
                <w:t>Tanks and other armoured fighting vehicles, motorised, whether or not fitted with weapons, and parts of such vehicles.</w:t>
              </w:r>
            </w:hyperlink>
            <w:hyperlink r:id="rId131" w:tgtFrame="_blank" w:history="1">
              <w:r w:rsidRPr="00B46C2C">
                <w:rPr>
                  <w:rFonts w:ascii="Times New Roman" w:eastAsia="Times New Roman" w:hAnsi="Times New Roman" w:cs="Times New Roman"/>
                  <w:sz w:val="20"/>
                  <w:szCs w:val="20"/>
                </w:rPr>
                <w:t>)</w:t>
              </w:r>
            </w:hyperlink>
          </w:p>
          <w:p w:rsidR="0077254E" w:rsidRPr="00B46C2C" w:rsidRDefault="0077254E" w:rsidP="001501F1">
            <w:pPr>
              <w:spacing w:after="0" w:line="240" w:lineRule="auto"/>
              <w:rPr>
                <w:rFonts w:ascii="Times New Roman" w:eastAsia="Times New Roman" w:hAnsi="Times New Roman" w:cs="Times New Roman"/>
                <w:sz w:val="20"/>
                <w:szCs w:val="20"/>
              </w:rPr>
            </w:pPr>
            <w:r w:rsidRPr="00B46C2C">
              <w:rPr>
                <w:rFonts w:ascii="Times New Roman" w:eastAsia="Times New Roman" w:hAnsi="Times New Roman" w:cs="Times New Roman"/>
                <w:sz w:val="20"/>
                <w:szCs w:val="20"/>
              </w:rPr>
              <w:t>8716 (</w:t>
            </w:r>
            <w:hyperlink r:id="rId132" w:tgtFrame="_blank" w:history="1">
              <w:r w:rsidRPr="00B46C2C">
                <w:rPr>
                  <w:rFonts w:ascii="Times New Roman" w:eastAsia="Times New Roman" w:hAnsi="Times New Roman" w:cs="Times New Roman"/>
                  <w:sz w:val="20"/>
                  <w:szCs w:val="20"/>
                </w:rPr>
                <w:t>Trailers and semi-trailers; other vehicles, not mechanically propelled; parts thereof.</w:t>
              </w:r>
            </w:hyperlink>
            <w:hyperlink r:id="rId133" w:tgtFrame="_blank" w:history="1">
              <w:r w:rsidRPr="00B46C2C">
                <w:rPr>
                  <w:rFonts w:ascii="Times New Roman" w:eastAsia="Times New Roman" w:hAnsi="Times New Roman" w:cs="Times New Roman"/>
                  <w:sz w:val="20"/>
                  <w:szCs w:val="20"/>
                </w:rPr>
                <w:t>)</w:t>
              </w:r>
            </w:hyperlink>
            <w:r w:rsidRPr="00B46C2C">
              <w:rPr>
                <w:rFonts w:ascii="Times New Roman" w:eastAsia="Times New Roman" w:hAnsi="Times New Roman" w:cs="Times New Roman"/>
                <w:sz w:val="20"/>
                <w:szCs w:val="20"/>
              </w:rPr>
              <w:t xml:space="preserve"> excl. 871680 (Other vehicles, not mechanically propelled, nes)</w:t>
            </w:r>
          </w:p>
        </w:tc>
      </w:tr>
    </w:tbl>
    <w:p w:rsidR="0077254E" w:rsidRDefault="0077254E" w:rsidP="0077254E">
      <w:pPr>
        <w:tabs>
          <w:tab w:val="left" w:pos="993"/>
        </w:tabs>
        <w:spacing w:before="120" w:after="0" w:line="240" w:lineRule="auto"/>
        <w:rPr>
          <w:rFonts w:ascii="Times New Roman" w:hAnsi="Times New Roman" w:cs="Times New Roman"/>
          <w:i/>
          <w:sz w:val="24"/>
          <w:szCs w:val="24"/>
        </w:rPr>
      </w:pPr>
    </w:p>
    <w:p w:rsidR="0077254E" w:rsidRDefault="0077254E">
      <w:pPr>
        <w:rPr>
          <w:rFonts w:ascii="Times New Roman" w:hAnsi="Times New Roman" w:cs="Times New Roman"/>
          <w:sz w:val="24"/>
          <w:szCs w:val="24"/>
        </w:rPr>
      </w:pPr>
      <w:r>
        <w:rPr>
          <w:rFonts w:ascii="Times New Roman" w:hAnsi="Times New Roman" w:cs="Times New Roman"/>
          <w:sz w:val="24"/>
          <w:szCs w:val="24"/>
        </w:rPr>
        <w:br w:type="page"/>
      </w:r>
    </w:p>
    <w:p w:rsidR="00FE5487" w:rsidRPr="00B46C2C" w:rsidRDefault="00500BB7" w:rsidP="00500BB7">
      <w:pPr>
        <w:pStyle w:val="ListParagraph"/>
        <w:spacing w:before="120" w:after="0"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Step 2.  </w:t>
      </w:r>
      <w:r w:rsidR="00FE5487" w:rsidRPr="00B46C2C">
        <w:rPr>
          <w:rFonts w:ascii="Times New Roman" w:hAnsi="Times New Roman" w:cs="Times New Roman"/>
          <w:sz w:val="24"/>
          <w:szCs w:val="24"/>
        </w:rPr>
        <w:t>Next, we explored the discrepancies between export and import values of the same commodity flows between the same country pairs, now all at FOB prices. The discrepancies can be quite large. The ratios of export values to import values ranged from 0.3 to 23. There are several approaches to reconciling these discrepancies. For example, Gelhar (1996) and Shaar (2017) compile reliability and data quality indices for all countries, and then accept the reported trade flows of the more reliable partner in each country pair. Calderon et al. (2007) give primacy to the data reported by the country with the higher income in each country pair. The first approach requires significant resources and was beyond the scope of the current project. Hence, we adopted the second approach. Specifically:</w:t>
      </w:r>
    </w:p>
    <w:p w:rsidR="00FE5487" w:rsidRPr="00B46C2C" w:rsidRDefault="00FE5487" w:rsidP="00500BB7">
      <w:pPr>
        <w:pStyle w:val="ListParagraph"/>
        <w:numPr>
          <w:ilvl w:val="0"/>
          <w:numId w:val="19"/>
        </w:numPr>
        <w:spacing w:before="120" w:after="0" w:line="240" w:lineRule="auto"/>
        <w:ind w:left="567" w:hanging="283"/>
        <w:contextualSpacing w:val="0"/>
        <w:rPr>
          <w:rFonts w:ascii="Times New Roman" w:hAnsi="Times New Roman" w:cs="Times New Roman"/>
          <w:sz w:val="24"/>
          <w:szCs w:val="24"/>
        </w:rPr>
      </w:pPr>
      <w:r w:rsidRPr="00B46C2C">
        <w:rPr>
          <w:rFonts w:ascii="Times New Roman" w:hAnsi="Times New Roman" w:cs="Times New Roman"/>
          <w:sz w:val="24"/>
          <w:szCs w:val="24"/>
        </w:rPr>
        <w:t xml:space="preserve">Among GTAP-MVH’s 10 regions, we consider USA, Canada, Japan, South Korea, Germany, EU26 and the UK as higher income countries, and the remaining regions (Mexico, China and RoW) as lower income countries. </w:t>
      </w:r>
    </w:p>
    <w:p w:rsidR="00FE5487" w:rsidRPr="00B46C2C" w:rsidRDefault="00FE5487" w:rsidP="00500BB7">
      <w:pPr>
        <w:pStyle w:val="ListParagraph"/>
        <w:numPr>
          <w:ilvl w:val="0"/>
          <w:numId w:val="19"/>
        </w:numPr>
        <w:spacing w:before="120" w:after="0" w:line="240" w:lineRule="auto"/>
        <w:ind w:left="567" w:hanging="283"/>
        <w:contextualSpacing w:val="0"/>
        <w:rPr>
          <w:rFonts w:ascii="Times New Roman" w:hAnsi="Times New Roman" w:cs="Times New Roman"/>
          <w:sz w:val="24"/>
          <w:szCs w:val="24"/>
        </w:rPr>
      </w:pPr>
      <w:r w:rsidRPr="00B46C2C">
        <w:rPr>
          <w:rFonts w:ascii="Times New Roman" w:hAnsi="Times New Roman" w:cs="Times New Roman"/>
          <w:sz w:val="24"/>
          <w:szCs w:val="24"/>
        </w:rPr>
        <w:t>For trade flows from higher income countries to lower income countries, we adopted export values reported by the higher income countries.</w:t>
      </w:r>
    </w:p>
    <w:p w:rsidR="00FE5487" w:rsidRPr="00B46C2C" w:rsidRDefault="00FE5487" w:rsidP="00500BB7">
      <w:pPr>
        <w:pStyle w:val="ListParagraph"/>
        <w:numPr>
          <w:ilvl w:val="0"/>
          <w:numId w:val="19"/>
        </w:numPr>
        <w:spacing w:before="120" w:after="0" w:line="240" w:lineRule="auto"/>
        <w:ind w:left="567" w:hanging="283"/>
        <w:contextualSpacing w:val="0"/>
        <w:rPr>
          <w:rFonts w:ascii="Times New Roman" w:hAnsi="Times New Roman" w:cs="Times New Roman"/>
          <w:sz w:val="24"/>
          <w:szCs w:val="24"/>
        </w:rPr>
      </w:pPr>
      <w:r w:rsidRPr="00B46C2C">
        <w:rPr>
          <w:rFonts w:ascii="Times New Roman" w:hAnsi="Times New Roman" w:cs="Times New Roman"/>
          <w:sz w:val="24"/>
          <w:szCs w:val="24"/>
        </w:rPr>
        <w:t>For trade flows from lower income countries to higher income countries, we adopted import values reported by higher income countries.</w:t>
      </w:r>
    </w:p>
    <w:p w:rsidR="00FE5487" w:rsidRPr="00B46C2C" w:rsidRDefault="00FE5487" w:rsidP="00500BB7">
      <w:pPr>
        <w:pStyle w:val="ListParagraph"/>
        <w:numPr>
          <w:ilvl w:val="0"/>
          <w:numId w:val="19"/>
        </w:numPr>
        <w:spacing w:before="120" w:after="0" w:line="240" w:lineRule="auto"/>
        <w:ind w:left="567" w:hanging="283"/>
        <w:contextualSpacing w:val="0"/>
        <w:rPr>
          <w:rFonts w:ascii="Times New Roman" w:hAnsi="Times New Roman" w:cs="Times New Roman"/>
          <w:sz w:val="24"/>
          <w:szCs w:val="24"/>
        </w:rPr>
      </w:pPr>
      <w:r w:rsidRPr="00B46C2C">
        <w:rPr>
          <w:rFonts w:ascii="Times New Roman" w:hAnsi="Times New Roman" w:cs="Times New Roman"/>
          <w:sz w:val="24"/>
          <w:szCs w:val="24"/>
        </w:rPr>
        <w:t>For trade flows amongst similar income level country pairs, we adopted the average values of imports and exports.</w:t>
      </w:r>
    </w:p>
    <w:p w:rsidR="00500BB7" w:rsidRPr="00B46C2C" w:rsidRDefault="0019067E" w:rsidP="00500BB7">
      <w:pPr>
        <w:pStyle w:val="ListParagraph"/>
        <w:spacing w:before="120" w:after="0" w:line="240" w:lineRule="auto"/>
        <w:ind w:left="0"/>
        <w:contextualSpacing w:val="0"/>
        <w:rPr>
          <w:rFonts w:ascii="Times New Roman" w:hAnsi="Times New Roman" w:cs="Times New Roman"/>
          <w:b/>
          <w:sz w:val="24"/>
          <w:szCs w:val="24"/>
        </w:rPr>
      </w:pPr>
      <w:r>
        <w:rPr>
          <w:rFonts w:ascii="Times New Roman" w:hAnsi="Times New Roman" w:cs="Times New Roman"/>
          <w:b/>
          <w:sz w:val="24"/>
          <w:szCs w:val="24"/>
        </w:rPr>
        <w:t>3</w:t>
      </w:r>
      <w:r w:rsidR="00500BB7">
        <w:rPr>
          <w:rFonts w:ascii="Times New Roman" w:hAnsi="Times New Roman" w:cs="Times New Roman"/>
          <w:b/>
          <w:sz w:val="24"/>
          <w:szCs w:val="24"/>
        </w:rPr>
        <w:t>.4.  Setting the initial guesses for use in equation system (</w:t>
      </w:r>
      <w:r>
        <w:rPr>
          <w:rFonts w:ascii="Times New Roman" w:hAnsi="Times New Roman" w:cs="Times New Roman"/>
          <w:b/>
          <w:sz w:val="24"/>
          <w:szCs w:val="24"/>
        </w:rPr>
        <w:t>3</w:t>
      </w:r>
      <w:r w:rsidR="00500BB7">
        <w:rPr>
          <w:rFonts w:ascii="Times New Roman" w:hAnsi="Times New Roman" w:cs="Times New Roman"/>
          <w:b/>
          <w:sz w:val="24"/>
          <w:szCs w:val="24"/>
        </w:rPr>
        <w:t>.1) – (</w:t>
      </w:r>
      <w:r>
        <w:rPr>
          <w:rFonts w:ascii="Times New Roman" w:hAnsi="Times New Roman" w:cs="Times New Roman"/>
          <w:b/>
          <w:sz w:val="24"/>
          <w:szCs w:val="24"/>
        </w:rPr>
        <w:t>3</w:t>
      </w:r>
      <w:r w:rsidR="00500BB7">
        <w:rPr>
          <w:rFonts w:ascii="Times New Roman" w:hAnsi="Times New Roman" w:cs="Times New Roman"/>
          <w:b/>
          <w:sz w:val="24"/>
          <w:szCs w:val="24"/>
        </w:rPr>
        <w:t>.7)</w:t>
      </w:r>
    </w:p>
    <w:p w:rsidR="007C48D0" w:rsidRPr="00500BB7" w:rsidRDefault="007C48D0" w:rsidP="00500BB7">
      <w:pPr>
        <w:keepNext/>
        <w:spacing w:before="120" w:after="0" w:line="240" w:lineRule="auto"/>
        <w:rPr>
          <w:rFonts w:ascii="Times New Roman" w:hAnsi="Times New Roman" w:cs="Times New Roman"/>
          <w:i/>
          <w:sz w:val="24"/>
          <w:szCs w:val="24"/>
        </w:rPr>
      </w:pPr>
      <w:bookmarkStart w:id="7" w:name="_Ref529368111"/>
      <w:bookmarkEnd w:id="3"/>
      <w:bookmarkEnd w:id="4"/>
      <w:r w:rsidRPr="00500BB7">
        <w:rPr>
          <w:rFonts w:ascii="Times New Roman" w:hAnsi="Times New Roman" w:cs="Times New Roman"/>
          <w:i/>
          <w:sz w:val="24"/>
          <w:szCs w:val="24"/>
        </w:rPr>
        <w:t xml:space="preserve">(a) </w:t>
      </w:r>
      <w:r w:rsidR="00982117">
        <w:rPr>
          <w:rFonts w:ascii="Times New Roman" w:hAnsi="Times New Roman" w:cs="Times New Roman"/>
          <w:i/>
          <w:sz w:val="24"/>
          <w:szCs w:val="24"/>
        </w:rPr>
        <w:t>Outputs o</w:t>
      </w:r>
      <w:r w:rsidRPr="00500BB7">
        <w:rPr>
          <w:rFonts w:ascii="Times New Roman" w:hAnsi="Times New Roman" w:cs="Times New Roman"/>
          <w:i/>
          <w:sz w:val="24"/>
          <w:szCs w:val="24"/>
        </w:rPr>
        <w:t xml:space="preserve">f new </w:t>
      </w:r>
      <w:r w:rsidR="00EA4719">
        <w:rPr>
          <w:rFonts w:ascii="Times New Roman" w:hAnsi="Times New Roman" w:cs="Times New Roman"/>
          <w:i/>
          <w:sz w:val="24"/>
          <w:szCs w:val="24"/>
        </w:rPr>
        <w:t>mvh</w:t>
      </w:r>
      <w:r w:rsidRPr="00500BB7">
        <w:rPr>
          <w:rFonts w:ascii="Times New Roman" w:hAnsi="Times New Roman" w:cs="Times New Roman"/>
          <w:i/>
          <w:sz w:val="24"/>
          <w:szCs w:val="24"/>
        </w:rPr>
        <w:t xml:space="preserve"> industries in output</w:t>
      </w:r>
      <w:r w:rsidR="00107A7B">
        <w:rPr>
          <w:rFonts w:ascii="Times New Roman" w:hAnsi="Times New Roman" w:cs="Times New Roman"/>
          <w:i/>
          <w:sz w:val="24"/>
          <w:szCs w:val="24"/>
        </w:rPr>
        <w:t>:</w:t>
      </w:r>
      <w:r w:rsidRPr="00107A7B">
        <w:rPr>
          <w:rFonts w:ascii="Times New Roman" w:hAnsi="Times New Roman" w:cs="Times New Roman"/>
          <w:i/>
          <w:sz w:val="24"/>
          <w:szCs w:val="24"/>
        </w:rPr>
        <w:t xml:space="preserve"> </w:t>
      </w:r>
      <w:r w:rsidR="00982117" w:rsidRPr="00107A7B">
        <w:rPr>
          <w:rFonts w:ascii="Times New Roman" w:hAnsi="Times New Roman" w:cs="Times New Roman"/>
          <w:i/>
          <w:sz w:val="24"/>
          <w:szCs w:val="24"/>
        </w:rPr>
        <w:t>VQ1(n,s) for n</w:t>
      </w:r>
      <w:r w:rsidR="00982117" w:rsidRPr="00107A7B">
        <w:rPr>
          <w:rFonts w:ascii="Times New Roman" w:hAnsi="Times New Roman" w:cs="Times New Roman"/>
          <w:i/>
          <w:sz w:val="24"/>
          <w:szCs w:val="24"/>
        </w:rPr>
        <w:sym w:font="Symbol" w:char="F0CE"/>
      </w:r>
      <w:r w:rsidR="00982117" w:rsidRPr="00107A7B">
        <w:rPr>
          <w:rFonts w:ascii="Times New Roman" w:hAnsi="Times New Roman" w:cs="Times New Roman"/>
          <w:i/>
          <w:sz w:val="24"/>
          <w:szCs w:val="24"/>
        </w:rPr>
        <w:t>MVH, s</w:t>
      </w:r>
      <w:r w:rsidR="00982117" w:rsidRPr="00107A7B">
        <w:rPr>
          <w:rFonts w:ascii="Times New Roman" w:hAnsi="Times New Roman" w:cs="Times New Roman"/>
          <w:i/>
          <w:sz w:val="24"/>
          <w:szCs w:val="24"/>
        </w:rPr>
        <w:sym w:font="Symbol" w:char="F0CE"/>
      </w:r>
      <w:r w:rsidR="00982117" w:rsidRPr="00107A7B">
        <w:rPr>
          <w:rFonts w:ascii="Times New Roman" w:hAnsi="Times New Roman" w:cs="Times New Roman"/>
          <w:i/>
          <w:sz w:val="24"/>
          <w:szCs w:val="24"/>
        </w:rPr>
        <w:t>OTHREG</w:t>
      </w:r>
      <w:r w:rsidR="00982117" w:rsidRPr="00500BB7">
        <w:rPr>
          <w:rFonts w:ascii="Times New Roman" w:hAnsi="Times New Roman" w:cs="Times New Roman"/>
          <w:i/>
          <w:sz w:val="24"/>
          <w:szCs w:val="24"/>
        </w:rPr>
        <w:t xml:space="preserve"> </w:t>
      </w:r>
    </w:p>
    <w:p w:rsidR="007C48D0" w:rsidRPr="00500BB7" w:rsidRDefault="007C48D0" w:rsidP="001F5271">
      <w:pPr>
        <w:pStyle w:val="ListParagraph"/>
        <w:numPr>
          <w:ilvl w:val="0"/>
          <w:numId w:val="28"/>
        </w:numPr>
        <w:spacing w:before="120" w:after="0" w:line="240" w:lineRule="auto"/>
        <w:ind w:left="284" w:hanging="284"/>
        <w:contextualSpacing w:val="0"/>
        <w:rPr>
          <w:rFonts w:ascii="Times New Roman" w:hAnsi="Times New Roman" w:cs="Times New Roman"/>
          <w:sz w:val="24"/>
          <w:szCs w:val="24"/>
        </w:rPr>
      </w:pPr>
      <w:r w:rsidRPr="00500BB7">
        <w:rPr>
          <w:rFonts w:ascii="Times New Roman" w:hAnsi="Times New Roman" w:cs="Times New Roman"/>
          <w:sz w:val="24"/>
          <w:szCs w:val="24"/>
        </w:rPr>
        <w:t xml:space="preserve">For Canada: IO data identifies all of the required 9 new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industries, hence the </w:t>
      </w:r>
      <w:r w:rsidR="00107A7B">
        <w:rPr>
          <w:rFonts w:ascii="Times New Roman" w:hAnsi="Times New Roman" w:cs="Times New Roman"/>
          <w:sz w:val="24"/>
          <w:szCs w:val="24"/>
        </w:rPr>
        <w:t>outputs</w:t>
      </w:r>
      <w:r w:rsidRPr="00500BB7">
        <w:rPr>
          <w:rFonts w:ascii="Times New Roman" w:hAnsi="Times New Roman" w:cs="Times New Roman"/>
          <w:sz w:val="24"/>
          <w:szCs w:val="24"/>
        </w:rPr>
        <w:t xml:space="preserve"> can be calculated directly from the IO data.</w:t>
      </w:r>
    </w:p>
    <w:p w:rsidR="007C48D0" w:rsidRPr="003C5EF3" w:rsidRDefault="007C48D0" w:rsidP="001F5271">
      <w:pPr>
        <w:pStyle w:val="ListParagraph"/>
        <w:numPr>
          <w:ilvl w:val="0"/>
          <w:numId w:val="28"/>
        </w:numPr>
        <w:spacing w:before="120" w:after="0" w:line="240" w:lineRule="auto"/>
        <w:ind w:left="284" w:hanging="284"/>
        <w:contextualSpacing w:val="0"/>
        <w:rPr>
          <w:rFonts w:ascii="Times New Roman" w:hAnsi="Times New Roman" w:cs="Times New Roman"/>
          <w:sz w:val="24"/>
          <w:szCs w:val="24"/>
        </w:rPr>
      </w:pPr>
      <w:r w:rsidRPr="003C5EF3">
        <w:rPr>
          <w:rFonts w:ascii="Times New Roman" w:hAnsi="Times New Roman" w:cs="Times New Roman"/>
          <w:sz w:val="24"/>
          <w:szCs w:val="24"/>
        </w:rPr>
        <w:t xml:space="preserve">For the USA: IO data identifies 7 of the required new </w:t>
      </w:r>
      <w:r w:rsidR="00EA4719">
        <w:rPr>
          <w:rFonts w:ascii="Times New Roman" w:hAnsi="Times New Roman" w:cs="Times New Roman"/>
          <w:sz w:val="24"/>
          <w:szCs w:val="24"/>
        </w:rPr>
        <w:t>mvh</w:t>
      </w:r>
      <w:r w:rsidRPr="003C5EF3">
        <w:rPr>
          <w:rFonts w:ascii="Times New Roman" w:hAnsi="Times New Roman" w:cs="Times New Roman"/>
          <w:sz w:val="24"/>
          <w:szCs w:val="24"/>
        </w:rPr>
        <w:t xml:space="preserve"> industries. Only 2 of the required </w:t>
      </w:r>
      <w:r w:rsidR="00EA4719">
        <w:rPr>
          <w:rFonts w:ascii="Times New Roman" w:hAnsi="Times New Roman" w:cs="Times New Roman"/>
          <w:sz w:val="24"/>
          <w:szCs w:val="24"/>
        </w:rPr>
        <w:t>mvh</w:t>
      </w:r>
      <w:r w:rsidRPr="003C5EF3">
        <w:rPr>
          <w:rFonts w:ascii="Times New Roman" w:hAnsi="Times New Roman" w:cs="Times New Roman"/>
          <w:sz w:val="24"/>
          <w:szCs w:val="24"/>
        </w:rPr>
        <w:t xml:space="preserve"> industries are aggregated into one sector. We use Canadian shares for these 2 industries to split the aggregated sector in the US data. </w:t>
      </w:r>
    </w:p>
    <w:p w:rsidR="007C48D0" w:rsidRPr="003C5EF3" w:rsidRDefault="007C48D0" w:rsidP="001F5271">
      <w:pPr>
        <w:pStyle w:val="ListParagraph"/>
        <w:numPr>
          <w:ilvl w:val="0"/>
          <w:numId w:val="29"/>
        </w:numPr>
        <w:spacing w:before="120" w:after="0" w:line="240" w:lineRule="auto"/>
        <w:ind w:left="284" w:hanging="284"/>
        <w:contextualSpacing w:val="0"/>
        <w:rPr>
          <w:rFonts w:ascii="Times New Roman" w:hAnsi="Times New Roman" w:cs="Times New Roman"/>
          <w:sz w:val="24"/>
          <w:szCs w:val="24"/>
        </w:rPr>
      </w:pPr>
      <w:r w:rsidRPr="00500BB7">
        <w:rPr>
          <w:rFonts w:ascii="Times New Roman" w:hAnsi="Times New Roman" w:cs="Times New Roman"/>
          <w:sz w:val="24"/>
          <w:szCs w:val="24"/>
        </w:rPr>
        <w:t xml:space="preserve">For other individual countries for which there are detailed input-output data, namely China, Japan, and South Korea, the </w:t>
      </w:r>
      <w:r w:rsidR="00107A7B">
        <w:rPr>
          <w:rFonts w:ascii="Times New Roman" w:hAnsi="Times New Roman" w:cs="Times New Roman"/>
          <w:sz w:val="24"/>
          <w:szCs w:val="24"/>
        </w:rPr>
        <w:t>outputs</w:t>
      </w:r>
      <w:r w:rsidRPr="00500BB7">
        <w:rPr>
          <w:rFonts w:ascii="Times New Roman" w:hAnsi="Times New Roman" w:cs="Times New Roman"/>
          <w:sz w:val="24"/>
          <w:szCs w:val="24"/>
        </w:rPr>
        <w:t xml:space="preserve"> were calculated directly from their official input-output data as listed in </w:t>
      </w:r>
      <w:r w:rsidR="00D35A7B">
        <w:rPr>
          <w:rFonts w:ascii="Times New Roman" w:hAnsi="Times New Roman" w:cs="Times New Roman"/>
          <w:sz w:val="24"/>
          <w:szCs w:val="24"/>
        </w:rPr>
        <w:t xml:space="preserve">subsection </w:t>
      </w:r>
      <w:r w:rsidR="0019067E">
        <w:rPr>
          <w:rFonts w:ascii="Times New Roman" w:hAnsi="Times New Roman" w:cs="Times New Roman"/>
          <w:sz w:val="24"/>
          <w:szCs w:val="24"/>
        </w:rPr>
        <w:t>3</w:t>
      </w:r>
      <w:r w:rsidR="00D35A7B">
        <w:rPr>
          <w:rFonts w:ascii="Times New Roman" w:hAnsi="Times New Roman" w:cs="Times New Roman"/>
          <w:sz w:val="24"/>
          <w:szCs w:val="24"/>
        </w:rPr>
        <w:t>.1</w:t>
      </w:r>
      <w:r w:rsidRPr="00500BB7">
        <w:rPr>
          <w:rFonts w:ascii="Times New Roman" w:hAnsi="Times New Roman" w:cs="Times New Roman"/>
          <w:sz w:val="24"/>
          <w:szCs w:val="24"/>
        </w:rPr>
        <w:t xml:space="preserve">. </w:t>
      </w:r>
      <w:r w:rsidR="00D35A7B">
        <w:rPr>
          <w:rFonts w:ascii="Times New Roman" w:hAnsi="Times New Roman" w:cs="Times New Roman"/>
          <w:sz w:val="24"/>
          <w:szCs w:val="24"/>
        </w:rPr>
        <w:t xml:space="preserve"> </w:t>
      </w:r>
      <w:r w:rsidRPr="00500BB7">
        <w:rPr>
          <w:rFonts w:ascii="Times New Roman" w:hAnsi="Times New Roman" w:cs="Times New Roman"/>
          <w:sz w:val="24"/>
          <w:szCs w:val="24"/>
        </w:rPr>
        <w:t xml:space="preserve">The </w:t>
      </w:r>
      <w:r w:rsidR="00EA4719">
        <w:rPr>
          <w:rFonts w:ascii="Times New Roman" w:hAnsi="Times New Roman" w:cs="Times New Roman"/>
          <w:sz w:val="24"/>
          <w:szCs w:val="24"/>
        </w:rPr>
        <w:t>mvh</w:t>
      </w:r>
      <w:r w:rsidRPr="003C5EF3">
        <w:rPr>
          <w:rFonts w:ascii="Times New Roman" w:hAnsi="Times New Roman" w:cs="Times New Roman"/>
          <w:sz w:val="24"/>
          <w:szCs w:val="24"/>
        </w:rPr>
        <w:t xml:space="preserve"> industries in these data are usually somewhat more aggregated than the required industries. </w:t>
      </w:r>
      <w:r w:rsidR="00D35A7B">
        <w:rPr>
          <w:rFonts w:ascii="Times New Roman" w:hAnsi="Times New Roman" w:cs="Times New Roman"/>
          <w:sz w:val="24"/>
          <w:szCs w:val="24"/>
        </w:rPr>
        <w:t xml:space="preserve"> </w:t>
      </w:r>
      <w:r w:rsidRPr="003C5EF3">
        <w:rPr>
          <w:rFonts w:ascii="Times New Roman" w:hAnsi="Times New Roman" w:cs="Times New Roman"/>
          <w:sz w:val="24"/>
          <w:szCs w:val="24"/>
        </w:rPr>
        <w:t xml:space="preserve">In these cases, </w:t>
      </w:r>
      <w:r w:rsidRPr="00D35A7B">
        <w:rPr>
          <w:rFonts w:ascii="Times New Roman" w:hAnsi="Times New Roman" w:cs="Times New Roman"/>
          <w:sz w:val="24"/>
          <w:szCs w:val="24"/>
          <w:shd w:val="clear" w:color="auto" w:fill="FFFFFF" w:themeFill="background1"/>
        </w:rPr>
        <w:t xml:space="preserve">we use the shares of the more detailed industries in the aggregate industries in the USA and Canada (i.e. USCAN data) to undertake the splits. </w:t>
      </w:r>
      <w:r w:rsidR="00EA4719">
        <w:rPr>
          <w:rFonts w:ascii="Times New Roman" w:hAnsi="Times New Roman" w:cs="Times New Roman"/>
          <w:sz w:val="24"/>
          <w:szCs w:val="24"/>
          <w:shd w:val="clear" w:color="auto" w:fill="FFFFFF" w:themeFill="background1"/>
        </w:rPr>
        <w:t xml:space="preserve"> </w:t>
      </w:r>
      <w:r w:rsidRPr="003C5EF3">
        <w:rPr>
          <w:rFonts w:ascii="Times New Roman" w:hAnsi="Times New Roman" w:cs="Times New Roman"/>
          <w:sz w:val="24"/>
          <w:szCs w:val="24"/>
        </w:rPr>
        <w:t xml:space="preserve">For example, the Japanese input-output data distinguishes 4 </w:t>
      </w:r>
      <w:r w:rsidR="00EA4719">
        <w:rPr>
          <w:rFonts w:ascii="Times New Roman" w:hAnsi="Times New Roman" w:cs="Times New Roman"/>
          <w:sz w:val="24"/>
          <w:szCs w:val="24"/>
        </w:rPr>
        <w:t>mvh</w:t>
      </w:r>
      <w:r w:rsidRPr="003C5EF3">
        <w:rPr>
          <w:rFonts w:ascii="Times New Roman" w:hAnsi="Times New Roman" w:cs="Times New Roman"/>
          <w:sz w:val="24"/>
          <w:szCs w:val="24"/>
        </w:rPr>
        <w:t xml:space="preserve"> industries, namely (i) </w:t>
      </w:r>
      <w:r w:rsidRPr="003C5EF3">
        <w:rPr>
          <w:rFonts w:ascii="Times New Roman" w:hAnsi="Times New Roman" w:cs="Times New Roman"/>
          <w:i/>
          <w:sz w:val="24"/>
          <w:szCs w:val="24"/>
        </w:rPr>
        <w:t>Automobiles</w:t>
      </w:r>
      <w:r w:rsidRPr="003C5EF3">
        <w:rPr>
          <w:rFonts w:ascii="Times New Roman" w:hAnsi="Times New Roman" w:cs="Times New Roman"/>
          <w:sz w:val="24"/>
          <w:szCs w:val="24"/>
        </w:rPr>
        <w:t xml:space="preserve">; (ii) </w:t>
      </w:r>
      <w:r w:rsidRPr="003C5EF3">
        <w:rPr>
          <w:rFonts w:ascii="Times New Roman" w:hAnsi="Times New Roman" w:cs="Times New Roman"/>
          <w:i/>
          <w:sz w:val="24"/>
          <w:szCs w:val="24"/>
        </w:rPr>
        <w:t>Trucks, utility vehicles, and trailers</w:t>
      </w:r>
      <w:r w:rsidRPr="003C5EF3">
        <w:rPr>
          <w:rFonts w:ascii="Times New Roman" w:hAnsi="Times New Roman" w:cs="Times New Roman"/>
          <w:sz w:val="24"/>
          <w:szCs w:val="24"/>
        </w:rPr>
        <w:t xml:space="preserve">; (iii) </w:t>
      </w:r>
      <w:r w:rsidR="00EA4719">
        <w:rPr>
          <w:rFonts w:ascii="Times New Roman" w:hAnsi="Times New Roman" w:cs="Times New Roman"/>
          <w:i/>
          <w:sz w:val="24"/>
          <w:szCs w:val="24"/>
        </w:rPr>
        <w:t>mvh</w:t>
      </w:r>
      <w:r w:rsidRPr="003C5EF3">
        <w:rPr>
          <w:rFonts w:ascii="Times New Roman" w:hAnsi="Times New Roman" w:cs="Times New Roman"/>
          <w:i/>
          <w:sz w:val="24"/>
          <w:szCs w:val="24"/>
        </w:rPr>
        <w:t xml:space="preserve"> gas engines and parts</w:t>
      </w:r>
      <w:r w:rsidRPr="003C5EF3">
        <w:rPr>
          <w:rFonts w:ascii="Times New Roman" w:hAnsi="Times New Roman" w:cs="Times New Roman"/>
          <w:sz w:val="24"/>
          <w:szCs w:val="24"/>
        </w:rPr>
        <w:t xml:space="preserve">; and (iv) </w:t>
      </w:r>
      <w:r w:rsidRPr="003C5EF3">
        <w:rPr>
          <w:rFonts w:ascii="Times New Roman" w:hAnsi="Times New Roman" w:cs="Times New Roman"/>
          <w:i/>
          <w:sz w:val="24"/>
          <w:szCs w:val="24"/>
        </w:rPr>
        <w:t>Other motor vehicle parts</w:t>
      </w:r>
      <w:r w:rsidRPr="003C5EF3">
        <w:rPr>
          <w:rFonts w:ascii="Times New Roman" w:hAnsi="Times New Roman" w:cs="Times New Roman"/>
          <w:sz w:val="24"/>
          <w:szCs w:val="24"/>
        </w:rPr>
        <w:t xml:space="preserve">. </w:t>
      </w:r>
      <w:r w:rsidR="00EA4719">
        <w:rPr>
          <w:rFonts w:ascii="Times New Roman" w:hAnsi="Times New Roman" w:cs="Times New Roman"/>
          <w:sz w:val="24"/>
          <w:szCs w:val="24"/>
        </w:rPr>
        <w:t xml:space="preserve"> </w:t>
      </w:r>
      <w:r w:rsidRPr="003C5EF3">
        <w:rPr>
          <w:rFonts w:ascii="Times New Roman" w:hAnsi="Times New Roman" w:cs="Times New Roman"/>
          <w:sz w:val="24"/>
          <w:szCs w:val="24"/>
        </w:rPr>
        <w:t xml:space="preserve">The first 3 industries are the same as those required for GTAP-MVH. </w:t>
      </w:r>
      <w:r w:rsidR="00D35A7B">
        <w:rPr>
          <w:rFonts w:ascii="Times New Roman" w:hAnsi="Times New Roman" w:cs="Times New Roman"/>
          <w:sz w:val="24"/>
          <w:szCs w:val="24"/>
        </w:rPr>
        <w:t xml:space="preserve"> </w:t>
      </w:r>
      <w:r w:rsidRPr="003C5EF3">
        <w:rPr>
          <w:rFonts w:ascii="Times New Roman" w:hAnsi="Times New Roman" w:cs="Times New Roman"/>
          <w:sz w:val="24"/>
          <w:szCs w:val="24"/>
        </w:rPr>
        <w:t xml:space="preserve">The last industry is an aggregation of the 6 remaining required </w:t>
      </w:r>
      <w:r w:rsidR="00EA4719">
        <w:rPr>
          <w:rFonts w:ascii="Times New Roman" w:hAnsi="Times New Roman" w:cs="Times New Roman"/>
          <w:sz w:val="24"/>
          <w:szCs w:val="24"/>
        </w:rPr>
        <w:t>mvh</w:t>
      </w:r>
      <w:r w:rsidRPr="003C5EF3">
        <w:rPr>
          <w:rFonts w:ascii="Times New Roman" w:hAnsi="Times New Roman" w:cs="Times New Roman"/>
          <w:sz w:val="24"/>
          <w:szCs w:val="24"/>
        </w:rPr>
        <w:t xml:space="preserve"> industries. </w:t>
      </w:r>
      <w:r w:rsidR="00D35A7B">
        <w:rPr>
          <w:rFonts w:ascii="Times New Roman" w:hAnsi="Times New Roman" w:cs="Times New Roman"/>
          <w:sz w:val="24"/>
          <w:szCs w:val="24"/>
        </w:rPr>
        <w:t xml:space="preserve"> </w:t>
      </w:r>
      <w:r w:rsidRPr="00D35A7B">
        <w:rPr>
          <w:rFonts w:ascii="Times New Roman" w:hAnsi="Times New Roman" w:cs="Times New Roman"/>
          <w:sz w:val="24"/>
          <w:szCs w:val="24"/>
        </w:rPr>
        <w:t xml:space="preserve">We used the shares of these 6 industries in their aggregate sector from the USCAN database to split the corresponding aggregate sector in the Japanese data into the 6 required </w:t>
      </w:r>
      <w:r w:rsidR="00EA4719">
        <w:rPr>
          <w:rFonts w:ascii="Times New Roman" w:hAnsi="Times New Roman" w:cs="Times New Roman"/>
          <w:sz w:val="24"/>
          <w:szCs w:val="24"/>
        </w:rPr>
        <w:t>mvh</w:t>
      </w:r>
      <w:r w:rsidRPr="00D35A7B">
        <w:rPr>
          <w:rFonts w:ascii="Times New Roman" w:hAnsi="Times New Roman" w:cs="Times New Roman"/>
          <w:sz w:val="24"/>
          <w:szCs w:val="24"/>
        </w:rPr>
        <w:t xml:space="preserve"> industries.</w:t>
      </w:r>
      <w:r w:rsidRPr="003C5EF3">
        <w:rPr>
          <w:rFonts w:ascii="Times New Roman" w:hAnsi="Times New Roman" w:cs="Times New Roman"/>
          <w:sz w:val="24"/>
          <w:szCs w:val="24"/>
        </w:rPr>
        <w:t xml:space="preserve"> </w:t>
      </w:r>
    </w:p>
    <w:p w:rsidR="007C48D0" w:rsidRPr="00500BB7" w:rsidRDefault="007C48D0" w:rsidP="001F5271">
      <w:pPr>
        <w:pStyle w:val="ListParagraph"/>
        <w:numPr>
          <w:ilvl w:val="0"/>
          <w:numId w:val="29"/>
        </w:numPr>
        <w:spacing w:before="120" w:after="0" w:line="240" w:lineRule="auto"/>
        <w:ind w:left="284" w:hanging="284"/>
        <w:contextualSpacing w:val="0"/>
        <w:rPr>
          <w:rFonts w:ascii="Times New Roman" w:hAnsi="Times New Roman" w:cs="Times New Roman"/>
          <w:sz w:val="24"/>
          <w:szCs w:val="24"/>
        </w:rPr>
      </w:pPr>
      <w:r w:rsidRPr="00500BB7">
        <w:rPr>
          <w:rFonts w:ascii="Times New Roman" w:hAnsi="Times New Roman" w:cs="Times New Roman"/>
          <w:sz w:val="24"/>
          <w:szCs w:val="24"/>
        </w:rPr>
        <w:t xml:space="preserve">For the remaining countries/regions (Mexico, Germany, EU26, the UK and RoW) the </w:t>
      </w:r>
      <w:r w:rsidR="00107A7B">
        <w:rPr>
          <w:rFonts w:ascii="Times New Roman" w:hAnsi="Times New Roman" w:cs="Times New Roman"/>
          <w:sz w:val="24"/>
          <w:szCs w:val="24"/>
        </w:rPr>
        <w:t>outputs</w:t>
      </w:r>
      <w:r w:rsidRPr="00500BB7">
        <w:rPr>
          <w:rFonts w:ascii="Times New Roman" w:hAnsi="Times New Roman" w:cs="Times New Roman"/>
          <w:sz w:val="24"/>
          <w:szCs w:val="24"/>
        </w:rPr>
        <w:t xml:space="preserve"> were calculated from data published by the United Nations Industrial Development Organization (UNIDO 2018).</w:t>
      </w:r>
      <w:r w:rsidR="00EA4719">
        <w:rPr>
          <w:rFonts w:ascii="Times New Roman" w:hAnsi="Times New Roman" w:cs="Times New Roman"/>
          <w:sz w:val="24"/>
          <w:szCs w:val="24"/>
        </w:rPr>
        <w:t xml:space="preserve"> </w:t>
      </w:r>
      <w:r w:rsidRPr="00500BB7">
        <w:rPr>
          <w:rFonts w:ascii="Times New Roman" w:hAnsi="Times New Roman" w:cs="Times New Roman"/>
          <w:sz w:val="24"/>
          <w:szCs w:val="24"/>
        </w:rPr>
        <w:t xml:space="preserve"> UNIDO data are at a 4-digit level of disaggregation, and hence do not provide information for all 9 new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industries (some of which are at 6-digit level).  They provide information on 2 aggregated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sectors: (i) </w:t>
      </w:r>
      <w:r w:rsidRPr="00500BB7">
        <w:rPr>
          <w:rFonts w:ascii="Times New Roman" w:hAnsi="Times New Roman" w:cs="Times New Roman"/>
          <w:i/>
          <w:sz w:val="24"/>
          <w:szCs w:val="24"/>
        </w:rPr>
        <w:t>Cars, trucks and trailers</w:t>
      </w:r>
      <w:r w:rsidRPr="00500BB7">
        <w:rPr>
          <w:rFonts w:ascii="Times New Roman" w:hAnsi="Times New Roman" w:cs="Times New Roman"/>
          <w:sz w:val="24"/>
          <w:szCs w:val="24"/>
        </w:rPr>
        <w:t xml:space="preserve">, and (ii) </w:t>
      </w:r>
      <w:r w:rsidRPr="00500BB7">
        <w:rPr>
          <w:rFonts w:ascii="Times New Roman" w:hAnsi="Times New Roman" w:cs="Times New Roman"/>
          <w:i/>
          <w:sz w:val="24"/>
          <w:szCs w:val="24"/>
        </w:rPr>
        <w:t>Parts and accessories for motor vehicles</w:t>
      </w:r>
      <w:r w:rsidRPr="00500BB7">
        <w:rPr>
          <w:rFonts w:ascii="Times New Roman" w:hAnsi="Times New Roman" w:cs="Times New Roman"/>
          <w:sz w:val="24"/>
          <w:szCs w:val="24"/>
        </w:rPr>
        <w:t xml:space="preserve">. </w:t>
      </w:r>
      <w:r w:rsidR="00EA4719">
        <w:rPr>
          <w:rFonts w:ascii="Times New Roman" w:hAnsi="Times New Roman" w:cs="Times New Roman"/>
          <w:sz w:val="24"/>
          <w:szCs w:val="24"/>
        </w:rPr>
        <w:t xml:space="preserve"> </w:t>
      </w:r>
      <w:r w:rsidRPr="00500BB7">
        <w:rPr>
          <w:rFonts w:ascii="Times New Roman" w:hAnsi="Times New Roman" w:cs="Times New Roman"/>
          <w:sz w:val="24"/>
          <w:szCs w:val="24"/>
        </w:rPr>
        <w:t>The aggregate ‘</w:t>
      </w:r>
      <w:r w:rsidRPr="00500BB7">
        <w:rPr>
          <w:rFonts w:ascii="Times New Roman" w:hAnsi="Times New Roman" w:cs="Times New Roman"/>
          <w:i/>
          <w:sz w:val="24"/>
          <w:szCs w:val="24"/>
        </w:rPr>
        <w:t>Parts and accessories for motor vehicles</w:t>
      </w:r>
      <w:r w:rsidRPr="00500BB7">
        <w:rPr>
          <w:rFonts w:ascii="Times New Roman" w:hAnsi="Times New Roman" w:cs="Times New Roman"/>
          <w:sz w:val="24"/>
          <w:szCs w:val="24"/>
        </w:rPr>
        <w:t xml:space="preserve">’ industry in the UNIDO data were then </w:t>
      </w:r>
      <w:r w:rsidRPr="00500BB7">
        <w:rPr>
          <w:rFonts w:ascii="Times New Roman" w:hAnsi="Times New Roman" w:cs="Times New Roman"/>
          <w:sz w:val="24"/>
          <w:szCs w:val="24"/>
        </w:rPr>
        <w:lastRenderedPageBreak/>
        <w:t>disaggregated into 2 aggregate industries ‘</w:t>
      </w:r>
      <w:r w:rsidR="00EA4719">
        <w:rPr>
          <w:rFonts w:ascii="Times New Roman" w:hAnsi="Times New Roman" w:cs="Times New Roman"/>
          <w:i/>
          <w:sz w:val="24"/>
          <w:szCs w:val="24"/>
        </w:rPr>
        <w:t>mvh</w:t>
      </w:r>
      <w:r w:rsidRPr="00500BB7">
        <w:rPr>
          <w:rFonts w:ascii="Times New Roman" w:hAnsi="Times New Roman" w:cs="Times New Roman"/>
          <w:i/>
          <w:sz w:val="24"/>
          <w:szCs w:val="24"/>
        </w:rPr>
        <w:t xml:space="preserve"> gas engines</w:t>
      </w:r>
      <w:r w:rsidRPr="00500BB7">
        <w:rPr>
          <w:rFonts w:ascii="Times New Roman" w:hAnsi="Times New Roman" w:cs="Times New Roman"/>
          <w:sz w:val="24"/>
          <w:szCs w:val="24"/>
        </w:rPr>
        <w:t>’ and ‘</w:t>
      </w:r>
      <w:r w:rsidRPr="00500BB7">
        <w:rPr>
          <w:rFonts w:ascii="Times New Roman" w:hAnsi="Times New Roman" w:cs="Times New Roman"/>
          <w:i/>
          <w:sz w:val="24"/>
          <w:szCs w:val="24"/>
        </w:rPr>
        <w:t xml:space="preserve">Other </w:t>
      </w:r>
      <w:r w:rsidR="00EA4719">
        <w:rPr>
          <w:rFonts w:ascii="Times New Roman" w:hAnsi="Times New Roman" w:cs="Times New Roman"/>
          <w:i/>
          <w:sz w:val="24"/>
          <w:szCs w:val="24"/>
        </w:rPr>
        <w:t>mvh</w:t>
      </w:r>
      <w:r w:rsidRPr="00500BB7">
        <w:rPr>
          <w:rFonts w:ascii="Times New Roman" w:hAnsi="Times New Roman" w:cs="Times New Roman"/>
          <w:i/>
          <w:sz w:val="24"/>
          <w:szCs w:val="24"/>
        </w:rPr>
        <w:t xml:space="preserve"> parts</w:t>
      </w:r>
      <w:r w:rsidRPr="00500BB7">
        <w:rPr>
          <w:rFonts w:ascii="Times New Roman" w:hAnsi="Times New Roman" w:cs="Times New Roman"/>
          <w:sz w:val="24"/>
          <w:szCs w:val="24"/>
        </w:rPr>
        <w:t xml:space="preserve">’, using data from Barnes reports (Barnes reports 2017a-c).  At this stage, we have 3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aggregate industries, namely: (1) </w:t>
      </w:r>
      <w:r w:rsidRPr="00500BB7">
        <w:rPr>
          <w:rFonts w:ascii="Times New Roman" w:hAnsi="Times New Roman" w:cs="Times New Roman"/>
          <w:i/>
          <w:sz w:val="24"/>
          <w:szCs w:val="24"/>
        </w:rPr>
        <w:t>Cars, trucks and trailers</w:t>
      </w:r>
      <w:r w:rsidRPr="00500BB7">
        <w:rPr>
          <w:rFonts w:ascii="Times New Roman" w:hAnsi="Times New Roman" w:cs="Times New Roman"/>
          <w:sz w:val="24"/>
          <w:szCs w:val="24"/>
        </w:rPr>
        <w:t xml:space="preserve">; (2) </w:t>
      </w:r>
      <w:r w:rsidR="00EA4719">
        <w:rPr>
          <w:rFonts w:ascii="Times New Roman" w:hAnsi="Times New Roman" w:cs="Times New Roman"/>
          <w:i/>
          <w:sz w:val="24"/>
          <w:szCs w:val="24"/>
        </w:rPr>
        <w:t>mvh</w:t>
      </w:r>
      <w:r w:rsidRPr="00500BB7">
        <w:rPr>
          <w:rFonts w:ascii="Times New Roman" w:hAnsi="Times New Roman" w:cs="Times New Roman"/>
          <w:i/>
          <w:sz w:val="24"/>
          <w:szCs w:val="24"/>
        </w:rPr>
        <w:t xml:space="preserve"> gas engines</w:t>
      </w:r>
      <w:r w:rsidRPr="00500BB7">
        <w:rPr>
          <w:rFonts w:ascii="Times New Roman" w:hAnsi="Times New Roman" w:cs="Times New Roman"/>
          <w:sz w:val="24"/>
          <w:szCs w:val="24"/>
        </w:rPr>
        <w:t xml:space="preserve">; and (3) </w:t>
      </w:r>
      <w:r w:rsidRPr="00500BB7">
        <w:rPr>
          <w:rFonts w:ascii="Times New Roman" w:hAnsi="Times New Roman" w:cs="Times New Roman"/>
          <w:i/>
          <w:sz w:val="24"/>
          <w:szCs w:val="24"/>
        </w:rPr>
        <w:t xml:space="preserve">other </w:t>
      </w:r>
      <w:r w:rsidR="00EA4719">
        <w:rPr>
          <w:rFonts w:ascii="Times New Roman" w:hAnsi="Times New Roman" w:cs="Times New Roman"/>
          <w:i/>
          <w:sz w:val="24"/>
          <w:szCs w:val="24"/>
        </w:rPr>
        <w:t>mvh</w:t>
      </w:r>
      <w:r w:rsidRPr="00500BB7">
        <w:rPr>
          <w:rFonts w:ascii="Times New Roman" w:hAnsi="Times New Roman" w:cs="Times New Roman"/>
          <w:i/>
          <w:sz w:val="24"/>
          <w:szCs w:val="24"/>
        </w:rPr>
        <w:t xml:space="preserve"> parts</w:t>
      </w:r>
      <w:r w:rsidRPr="00500BB7">
        <w:rPr>
          <w:rFonts w:ascii="Times New Roman" w:hAnsi="Times New Roman" w:cs="Times New Roman"/>
          <w:sz w:val="24"/>
          <w:szCs w:val="24"/>
        </w:rPr>
        <w:t xml:space="preserve">. </w:t>
      </w:r>
      <w:r w:rsidR="00EA4719">
        <w:rPr>
          <w:rFonts w:ascii="Times New Roman" w:hAnsi="Times New Roman" w:cs="Times New Roman"/>
          <w:sz w:val="24"/>
          <w:szCs w:val="24"/>
        </w:rPr>
        <w:t xml:space="preserve"> </w:t>
      </w:r>
      <w:r w:rsidRPr="00500BB7">
        <w:rPr>
          <w:rFonts w:ascii="Times New Roman" w:hAnsi="Times New Roman" w:cs="Times New Roman"/>
          <w:sz w:val="24"/>
          <w:szCs w:val="24"/>
        </w:rPr>
        <w:t xml:space="preserve">These 3 aggregate industries were then disaggregated to the required 9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industries, using the average shares of the 9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industries in the corresponding 3 aggregated industries as calculated from the USCAN matrix. </w:t>
      </w:r>
    </w:p>
    <w:p w:rsidR="007C48D0" w:rsidRPr="00500BB7" w:rsidRDefault="007C48D0" w:rsidP="00500BB7">
      <w:pPr>
        <w:keepNext/>
        <w:spacing w:before="120" w:after="0" w:line="240" w:lineRule="auto"/>
        <w:rPr>
          <w:rFonts w:ascii="Times New Roman" w:hAnsi="Times New Roman" w:cs="Times New Roman"/>
          <w:i/>
          <w:sz w:val="24"/>
          <w:szCs w:val="24"/>
        </w:rPr>
      </w:pPr>
      <w:r w:rsidRPr="00500BB7">
        <w:rPr>
          <w:rFonts w:ascii="Times New Roman" w:hAnsi="Times New Roman" w:cs="Times New Roman"/>
          <w:i/>
          <w:sz w:val="24"/>
          <w:szCs w:val="24"/>
        </w:rPr>
        <w:t xml:space="preserve">(b) Production technologies of new </w:t>
      </w:r>
      <w:r w:rsidR="00EA4719">
        <w:rPr>
          <w:rFonts w:ascii="Times New Roman" w:hAnsi="Times New Roman" w:cs="Times New Roman"/>
          <w:i/>
          <w:sz w:val="24"/>
          <w:szCs w:val="24"/>
        </w:rPr>
        <w:t>mvh</w:t>
      </w:r>
      <w:r w:rsidRPr="00500BB7">
        <w:rPr>
          <w:rFonts w:ascii="Times New Roman" w:hAnsi="Times New Roman" w:cs="Times New Roman"/>
          <w:i/>
          <w:sz w:val="24"/>
          <w:szCs w:val="24"/>
        </w:rPr>
        <w:t xml:space="preserve"> industries</w:t>
      </w:r>
      <w:r w:rsidR="00107A7B">
        <w:rPr>
          <w:rFonts w:ascii="Times New Roman" w:hAnsi="Times New Roman" w:cs="Times New Roman"/>
          <w:i/>
          <w:sz w:val="24"/>
          <w:szCs w:val="24"/>
        </w:rPr>
        <w:t xml:space="preserve"> and demands for new mvh products outside the mvh sector:</w:t>
      </w:r>
      <w:r w:rsidR="00107A7B" w:rsidRPr="00107A7B">
        <w:rPr>
          <w:rFonts w:ascii="Times New Roman" w:hAnsi="Times New Roman" w:cs="Times New Roman"/>
          <w:i/>
          <w:sz w:val="24"/>
          <w:szCs w:val="24"/>
        </w:rPr>
        <w:t xml:space="preserve"> Z1(n,j,s) for n, j</w:t>
      </w:r>
      <w:r w:rsidR="00107A7B" w:rsidRPr="00107A7B">
        <w:rPr>
          <w:rFonts w:ascii="Times New Roman" w:hAnsi="Times New Roman" w:cs="Times New Roman"/>
          <w:i/>
          <w:sz w:val="24"/>
          <w:szCs w:val="24"/>
        </w:rPr>
        <w:sym w:font="Symbol" w:char="F0CE"/>
      </w:r>
      <w:r w:rsidR="00107A7B" w:rsidRPr="00107A7B">
        <w:rPr>
          <w:rFonts w:ascii="Times New Roman" w:hAnsi="Times New Roman" w:cs="Times New Roman"/>
          <w:i/>
          <w:sz w:val="24"/>
          <w:szCs w:val="24"/>
        </w:rPr>
        <w:t>MVH, s</w:t>
      </w:r>
      <w:r w:rsidR="00107A7B" w:rsidRPr="00107A7B">
        <w:rPr>
          <w:rFonts w:ascii="Times New Roman" w:hAnsi="Times New Roman" w:cs="Times New Roman"/>
          <w:i/>
          <w:sz w:val="24"/>
          <w:szCs w:val="24"/>
        </w:rPr>
        <w:sym w:font="Symbol" w:char="F0CE"/>
      </w:r>
      <w:r w:rsidR="00107A7B" w:rsidRPr="00107A7B">
        <w:rPr>
          <w:rFonts w:ascii="Times New Roman" w:hAnsi="Times New Roman" w:cs="Times New Roman"/>
          <w:i/>
          <w:sz w:val="24"/>
          <w:szCs w:val="24"/>
        </w:rPr>
        <w:t xml:space="preserve">OTHREG and ODD1(n,f,s) for n </w:t>
      </w:r>
      <w:r w:rsidR="00107A7B" w:rsidRPr="00107A7B">
        <w:rPr>
          <w:rFonts w:ascii="Times New Roman" w:hAnsi="Times New Roman" w:cs="Times New Roman"/>
          <w:i/>
          <w:sz w:val="24"/>
          <w:szCs w:val="24"/>
        </w:rPr>
        <w:sym w:font="Symbol" w:char="F0CE"/>
      </w:r>
      <w:r w:rsidR="00107A7B" w:rsidRPr="00107A7B">
        <w:rPr>
          <w:rFonts w:ascii="Times New Roman" w:hAnsi="Times New Roman" w:cs="Times New Roman"/>
          <w:i/>
          <w:sz w:val="24"/>
          <w:szCs w:val="24"/>
        </w:rPr>
        <w:t>MVH, f</w:t>
      </w:r>
      <w:r w:rsidR="00107A7B" w:rsidRPr="00107A7B">
        <w:rPr>
          <w:rFonts w:ascii="Times New Roman" w:hAnsi="Times New Roman" w:cs="Times New Roman"/>
          <w:i/>
          <w:sz w:val="24"/>
          <w:szCs w:val="24"/>
        </w:rPr>
        <w:sym w:font="Symbol" w:char="F0CE"/>
      </w:r>
      <w:r w:rsidR="00107A7B" w:rsidRPr="00107A7B">
        <w:rPr>
          <w:rFonts w:ascii="Times New Roman" w:hAnsi="Times New Roman" w:cs="Times New Roman"/>
          <w:i/>
          <w:sz w:val="24"/>
          <w:szCs w:val="24"/>
        </w:rPr>
        <w:t>NonMVH, s</w:t>
      </w:r>
      <w:r w:rsidR="00107A7B" w:rsidRPr="00107A7B">
        <w:rPr>
          <w:rFonts w:ascii="Times New Roman" w:hAnsi="Times New Roman" w:cs="Times New Roman"/>
          <w:i/>
          <w:sz w:val="24"/>
          <w:szCs w:val="24"/>
        </w:rPr>
        <w:sym w:font="Symbol" w:char="F0CE"/>
      </w:r>
      <w:r w:rsidR="00107A7B" w:rsidRPr="00107A7B">
        <w:rPr>
          <w:rFonts w:ascii="Times New Roman" w:hAnsi="Times New Roman" w:cs="Times New Roman"/>
          <w:i/>
          <w:sz w:val="24"/>
          <w:szCs w:val="24"/>
        </w:rPr>
        <w:t>OTHREG</w:t>
      </w:r>
    </w:p>
    <w:p w:rsidR="007C48D0" w:rsidRDefault="007C48D0" w:rsidP="00500BB7">
      <w:pPr>
        <w:spacing w:before="120" w:after="0" w:line="240" w:lineRule="auto"/>
        <w:rPr>
          <w:rFonts w:ascii="Times New Roman" w:hAnsi="Times New Roman" w:cs="Times New Roman"/>
          <w:sz w:val="24"/>
          <w:szCs w:val="24"/>
        </w:rPr>
      </w:pPr>
      <w:r w:rsidRPr="00500BB7">
        <w:rPr>
          <w:rFonts w:ascii="Times New Roman" w:hAnsi="Times New Roman" w:cs="Times New Roman"/>
          <w:color w:val="000000" w:themeColor="text1"/>
          <w:sz w:val="24"/>
          <w:szCs w:val="24"/>
        </w:rPr>
        <w:t xml:space="preserve">An industry’s production technology is described by the composition of intermediate and factor inputs required to produce a given level of the industry’s output. </w:t>
      </w:r>
      <w:r w:rsidR="00EA4719">
        <w:rPr>
          <w:rFonts w:ascii="Times New Roman" w:hAnsi="Times New Roman" w:cs="Times New Roman"/>
          <w:color w:val="000000" w:themeColor="text1"/>
          <w:sz w:val="24"/>
          <w:szCs w:val="24"/>
        </w:rPr>
        <w:t xml:space="preserve"> </w:t>
      </w:r>
      <w:r w:rsidRPr="00500BB7">
        <w:rPr>
          <w:rFonts w:ascii="Times New Roman" w:hAnsi="Times New Roman" w:cs="Times New Roman"/>
          <w:color w:val="000000" w:themeColor="text1"/>
          <w:sz w:val="24"/>
          <w:szCs w:val="24"/>
        </w:rPr>
        <w:t xml:space="preserve">We need information on the composition of the inputs to each of the </w:t>
      </w:r>
      <w:r w:rsidRPr="00500BB7">
        <w:rPr>
          <w:rFonts w:ascii="Times New Roman" w:hAnsi="Times New Roman" w:cs="Times New Roman"/>
          <w:sz w:val="24"/>
          <w:szCs w:val="24"/>
        </w:rPr>
        <w:t xml:space="preserve">new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industries</w:t>
      </w:r>
      <w:r w:rsidRPr="00500BB7">
        <w:rPr>
          <w:rFonts w:ascii="Times New Roman" w:hAnsi="Times New Roman" w:cs="Times New Roman"/>
          <w:color w:val="000000" w:themeColor="text1"/>
          <w:sz w:val="24"/>
          <w:szCs w:val="24"/>
        </w:rPr>
        <w:t xml:space="preserve"> in each region. </w:t>
      </w:r>
      <w:r w:rsidR="00EA4719">
        <w:rPr>
          <w:rFonts w:ascii="Times New Roman" w:hAnsi="Times New Roman" w:cs="Times New Roman"/>
          <w:color w:val="000000" w:themeColor="text1"/>
          <w:sz w:val="24"/>
          <w:szCs w:val="24"/>
        </w:rPr>
        <w:t xml:space="preserve"> </w:t>
      </w:r>
      <w:r w:rsidRPr="00500BB7">
        <w:rPr>
          <w:rFonts w:ascii="Times New Roman" w:hAnsi="Times New Roman" w:cs="Times New Roman"/>
          <w:color w:val="000000" w:themeColor="text1"/>
          <w:sz w:val="24"/>
          <w:szCs w:val="24"/>
        </w:rPr>
        <w:t xml:space="preserve">To create the initial disaggregated database, we began by using production technologies (i.e. input cost shares) of each of the new </w:t>
      </w:r>
      <w:r w:rsidR="00EA4719">
        <w:rPr>
          <w:rFonts w:ascii="Times New Roman" w:hAnsi="Times New Roman" w:cs="Times New Roman"/>
          <w:color w:val="000000" w:themeColor="text1"/>
          <w:sz w:val="24"/>
          <w:szCs w:val="24"/>
        </w:rPr>
        <w:t>mvh</w:t>
      </w:r>
      <w:r w:rsidRPr="00500BB7">
        <w:rPr>
          <w:rFonts w:ascii="Times New Roman" w:hAnsi="Times New Roman" w:cs="Times New Roman"/>
          <w:color w:val="000000" w:themeColor="text1"/>
          <w:sz w:val="24"/>
          <w:szCs w:val="24"/>
        </w:rPr>
        <w:t xml:space="preserve"> industries as described in the USCAN matrix. </w:t>
      </w:r>
      <w:r w:rsidR="00EA4719">
        <w:rPr>
          <w:rFonts w:ascii="Times New Roman" w:hAnsi="Times New Roman" w:cs="Times New Roman"/>
          <w:color w:val="000000" w:themeColor="text1"/>
          <w:sz w:val="24"/>
          <w:szCs w:val="24"/>
        </w:rPr>
        <w:t xml:space="preserve"> </w:t>
      </w:r>
      <w:r w:rsidRPr="00500BB7">
        <w:rPr>
          <w:rFonts w:ascii="Times New Roman" w:hAnsi="Times New Roman" w:cs="Times New Roman"/>
          <w:color w:val="000000" w:themeColor="text1"/>
          <w:sz w:val="24"/>
          <w:szCs w:val="24"/>
        </w:rPr>
        <w:t xml:space="preserve">That is, we assumed that the production technologies for each of the new </w:t>
      </w:r>
      <w:r w:rsidR="00EA4719">
        <w:rPr>
          <w:rFonts w:ascii="Times New Roman" w:hAnsi="Times New Roman" w:cs="Times New Roman"/>
          <w:color w:val="000000" w:themeColor="text1"/>
          <w:sz w:val="24"/>
          <w:szCs w:val="24"/>
        </w:rPr>
        <w:t>mvh</w:t>
      </w:r>
      <w:r w:rsidRPr="00500BB7">
        <w:rPr>
          <w:rFonts w:ascii="Times New Roman" w:hAnsi="Times New Roman" w:cs="Times New Roman"/>
          <w:color w:val="000000" w:themeColor="text1"/>
          <w:sz w:val="24"/>
          <w:szCs w:val="24"/>
        </w:rPr>
        <w:t xml:space="preserve"> industries in every region are the same as those of the U.S and Canada.</w:t>
      </w:r>
      <w:r w:rsidRPr="00500BB7">
        <w:rPr>
          <w:rFonts w:ascii="Times New Roman" w:hAnsi="Times New Roman" w:cs="Times New Roman"/>
          <w:sz w:val="24"/>
          <w:szCs w:val="24"/>
        </w:rPr>
        <w:t xml:space="preserve"> </w:t>
      </w:r>
      <w:r w:rsidR="00EA4719">
        <w:rPr>
          <w:rFonts w:ascii="Times New Roman" w:hAnsi="Times New Roman" w:cs="Times New Roman"/>
          <w:sz w:val="24"/>
          <w:szCs w:val="24"/>
        </w:rPr>
        <w:t xml:space="preserve"> </w:t>
      </w:r>
      <w:r w:rsidRPr="00500BB7">
        <w:rPr>
          <w:rFonts w:ascii="Times New Roman" w:hAnsi="Times New Roman" w:cs="Times New Roman"/>
          <w:sz w:val="24"/>
          <w:szCs w:val="24"/>
        </w:rPr>
        <w:t xml:space="preserve">We think this assumption is acceptable because the new </w:t>
      </w:r>
      <w:r w:rsidR="00EA4719">
        <w:rPr>
          <w:rFonts w:ascii="Times New Roman" w:hAnsi="Times New Roman" w:cs="Times New Roman"/>
          <w:sz w:val="24"/>
          <w:szCs w:val="24"/>
        </w:rPr>
        <w:t>mvh</w:t>
      </w:r>
      <w:r w:rsidRPr="00500BB7">
        <w:rPr>
          <w:rFonts w:ascii="Times New Roman" w:hAnsi="Times New Roman" w:cs="Times New Roman"/>
          <w:sz w:val="24"/>
          <w:szCs w:val="24"/>
        </w:rPr>
        <w:t xml:space="preserve"> industries are sophisticated manufacturing industries, often representing subsidiaries of multi-national firms, and are thus likely to have similar production technologies.  An alternative approach would have been to use the input structures from the input-output tables for the individual countries.  We judged that this was problematic because of uncertainties concerning the comparability across countries of industrial classifications.  </w:t>
      </w:r>
    </w:p>
    <w:p w:rsidR="00107A7B" w:rsidRDefault="00107A7B" w:rsidP="00500BB7">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For our initial guesses of flows of mvh products to users outside the mvh sector </w:t>
      </w:r>
      <w:r w:rsidR="009E2F12">
        <w:rPr>
          <w:rFonts w:ascii="Times New Roman" w:hAnsi="Times New Roman" w:cs="Times New Roman"/>
          <w:sz w:val="24"/>
          <w:szCs w:val="24"/>
        </w:rPr>
        <w:t xml:space="preserve">our approach was to use mvh data at the most detailed level available in national input-output tables and then fill in what was not readily available by </w:t>
      </w:r>
      <w:r>
        <w:rPr>
          <w:rFonts w:ascii="Times New Roman" w:hAnsi="Times New Roman" w:cs="Times New Roman"/>
          <w:sz w:val="24"/>
          <w:szCs w:val="24"/>
        </w:rPr>
        <w:t>rel</w:t>
      </w:r>
      <w:r w:rsidR="009E2F12">
        <w:rPr>
          <w:rFonts w:ascii="Times New Roman" w:hAnsi="Times New Roman" w:cs="Times New Roman"/>
          <w:sz w:val="24"/>
          <w:szCs w:val="24"/>
        </w:rPr>
        <w:t>ying</w:t>
      </w:r>
      <w:r>
        <w:rPr>
          <w:rFonts w:ascii="Times New Roman" w:hAnsi="Times New Roman" w:cs="Times New Roman"/>
          <w:sz w:val="24"/>
          <w:szCs w:val="24"/>
        </w:rPr>
        <w:t xml:space="preserve"> on shares from the USCAN data. </w:t>
      </w:r>
    </w:p>
    <w:p w:rsidR="009E2F12" w:rsidRPr="00500BB7" w:rsidRDefault="009E2F12" w:rsidP="00500BB7">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It should be emphasized that the procedures outlined in this subsection are used merely to provide initial guesses.  We can be confident that the initial guesses are significantly improved by the use of detailed trade data as described in subsection </w:t>
      </w:r>
      <w:r w:rsidR="0019067E">
        <w:rPr>
          <w:rFonts w:ascii="Times New Roman" w:hAnsi="Times New Roman" w:cs="Times New Roman"/>
          <w:sz w:val="24"/>
          <w:szCs w:val="24"/>
        </w:rPr>
        <w:t>3</w:t>
      </w:r>
      <w:r>
        <w:rPr>
          <w:rFonts w:ascii="Times New Roman" w:hAnsi="Times New Roman" w:cs="Times New Roman"/>
          <w:sz w:val="24"/>
          <w:szCs w:val="24"/>
        </w:rPr>
        <w:t>.2.  For example, if initially</w:t>
      </w:r>
      <w:r w:rsidR="00221EFC">
        <w:rPr>
          <w:rFonts w:ascii="Times New Roman" w:hAnsi="Times New Roman" w:cs="Times New Roman"/>
          <w:sz w:val="24"/>
          <w:szCs w:val="24"/>
        </w:rPr>
        <w:t xml:space="preserve"> the procedure in this subsection give </w:t>
      </w:r>
      <w:r>
        <w:rPr>
          <w:rFonts w:ascii="Times New Roman" w:hAnsi="Times New Roman" w:cs="Times New Roman"/>
          <w:sz w:val="24"/>
          <w:szCs w:val="24"/>
        </w:rPr>
        <w:t xml:space="preserve">country s a low </w:t>
      </w:r>
      <w:r w:rsidR="00221EFC">
        <w:rPr>
          <w:rFonts w:ascii="Times New Roman" w:hAnsi="Times New Roman" w:cs="Times New Roman"/>
          <w:sz w:val="24"/>
          <w:szCs w:val="24"/>
        </w:rPr>
        <w:t xml:space="preserve">value for </w:t>
      </w:r>
      <w:r>
        <w:rPr>
          <w:rFonts w:ascii="Times New Roman" w:hAnsi="Times New Roman" w:cs="Times New Roman"/>
          <w:sz w:val="24"/>
          <w:szCs w:val="24"/>
        </w:rPr>
        <w:t>output of mvh gasoline engines but the trade data show a large quantity of exports</w:t>
      </w:r>
      <w:r w:rsidR="00221EFC">
        <w:rPr>
          <w:rFonts w:ascii="Times New Roman" w:hAnsi="Times New Roman" w:cs="Times New Roman"/>
          <w:sz w:val="24"/>
          <w:szCs w:val="24"/>
        </w:rPr>
        <w:t>,</w:t>
      </w:r>
      <w:r>
        <w:rPr>
          <w:rFonts w:ascii="Times New Roman" w:hAnsi="Times New Roman" w:cs="Times New Roman"/>
          <w:sz w:val="24"/>
          <w:szCs w:val="24"/>
        </w:rPr>
        <w:t xml:space="preserve"> then the equation system in </w:t>
      </w:r>
      <w:r w:rsidR="0019067E">
        <w:rPr>
          <w:rFonts w:ascii="Times New Roman" w:hAnsi="Times New Roman" w:cs="Times New Roman"/>
          <w:sz w:val="24"/>
          <w:szCs w:val="24"/>
        </w:rPr>
        <w:t>3</w:t>
      </w:r>
      <w:r>
        <w:rPr>
          <w:rFonts w:ascii="Times New Roman" w:hAnsi="Times New Roman" w:cs="Times New Roman"/>
          <w:sz w:val="24"/>
          <w:szCs w:val="24"/>
        </w:rPr>
        <w:t xml:space="preserve">.2 leads to a significant upward revision of the value of s’s output of this product.  </w:t>
      </w:r>
    </w:p>
    <w:bookmarkEnd w:id="7"/>
    <w:p w:rsidR="00E37F9A" w:rsidRPr="00B46C2C" w:rsidRDefault="0019067E" w:rsidP="00E37F9A">
      <w:pPr>
        <w:pStyle w:val="ListParagraph"/>
        <w:spacing w:before="120" w:after="0" w:line="240" w:lineRule="auto"/>
        <w:ind w:left="0"/>
        <w:contextualSpacing w:val="0"/>
        <w:rPr>
          <w:rFonts w:ascii="Times New Roman" w:hAnsi="Times New Roman" w:cs="Times New Roman"/>
          <w:b/>
          <w:sz w:val="24"/>
          <w:szCs w:val="24"/>
        </w:rPr>
      </w:pPr>
      <w:r>
        <w:rPr>
          <w:rFonts w:ascii="Times New Roman" w:hAnsi="Times New Roman" w:cs="Times New Roman"/>
          <w:b/>
          <w:sz w:val="24"/>
          <w:szCs w:val="24"/>
        </w:rPr>
        <w:t>3</w:t>
      </w:r>
      <w:r w:rsidR="00E37F9A">
        <w:rPr>
          <w:rFonts w:ascii="Times New Roman" w:hAnsi="Times New Roman" w:cs="Times New Roman"/>
          <w:b/>
          <w:sz w:val="24"/>
          <w:szCs w:val="24"/>
        </w:rPr>
        <w:t xml:space="preserve">.5.  </w:t>
      </w:r>
      <w:r w:rsidR="00A500DC">
        <w:rPr>
          <w:rFonts w:ascii="Times New Roman" w:hAnsi="Times New Roman" w:cs="Times New Roman"/>
          <w:b/>
          <w:sz w:val="24"/>
          <w:szCs w:val="24"/>
        </w:rPr>
        <w:t>Sales matrices for disaggregated mvh products: outcomes of the disaggregation procedures</w:t>
      </w:r>
    </w:p>
    <w:p w:rsidR="00D37224" w:rsidRPr="00E37F9A" w:rsidRDefault="00D37224" w:rsidP="00E37F9A">
      <w:pPr>
        <w:spacing w:before="120" w:after="0" w:line="240" w:lineRule="auto"/>
        <w:rPr>
          <w:rFonts w:ascii="Times New Roman" w:hAnsi="Times New Roman" w:cs="Times New Roman"/>
          <w:sz w:val="24"/>
          <w:szCs w:val="24"/>
          <w:lang w:eastAsia="en-AU"/>
        </w:rPr>
      </w:pPr>
      <w:r w:rsidRPr="00E37F9A">
        <w:rPr>
          <w:rFonts w:ascii="Times New Roman" w:hAnsi="Times New Roman" w:cs="Times New Roman"/>
          <w:sz w:val="24"/>
          <w:szCs w:val="24"/>
          <w:lang w:eastAsia="en-AU"/>
        </w:rPr>
        <w:t>Table</w:t>
      </w:r>
      <w:r w:rsidR="00282FCE">
        <w:rPr>
          <w:rFonts w:ascii="Times New Roman" w:hAnsi="Times New Roman" w:cs="Times New Roman"/>
          <w:sz w:val="24"/>
          <w:szCs w:val="24"/>
          <w:lang w:eastAsia="en-AU"/>
        </w:rPr>
        <w:t>s</w:t>
      </w:r>
      <w:r w:rsidRPr="00E37F9A">
        <w:rPr>
          <w:rFonts w:ascii="Times New Roman" w:hAnsi="Times New Roman" w:cs="Times New Roman"/>
          <w:sz w:val="24"/>
          <w:szCs w:val="24"/>
          <w:lang w:eastAsia="en-AU"/>
        </w:rPr>
        <w:t xml:space="preserve"> </w:t>
      </w:r>
      <w:r w:rsidR="0019067E">
        <w:rPr>
          <w:rFonts w:ascii="Times New Roman" w:hAnsi="Times New Roman" w:cs="Times New Roman"/>
          <w:sz w:val="24"/>
          <w:szCs w:val="24"/>
          <w:lang w:eastAsia="en-AU"/>
        </w:rPr>
        <w:t>3</w:t>
      </w:r>
      <w:r w:rsidR="00551EA9">
        <w:rPr>
          <w:rFonts w:ascii="Times New Roman" w:hAnsi="Times New Roman" w:cs="Times New Roman"/>
          <w:sz w:val="24"/>
          <w:szCs w:val="24"/>
          <w:lang w:eastAsia="en-AU"/>
        </w:rPr>
        <w:t>.2a -</w:t>
      </w:r>
      <w:r w:rsidR="00551EA9" w:rsidRPr="00551EA9">
        <w:rPr>
          <w:rFonts w:ascii="Times New Roman" w:hAnsi="Times New Roman" w:cs="Times New Roman"/>
          <w:sz w:val="24"/>
          <w:szCs w:val="24"/>
          <w:lang w:eastAsia="en-AU"/>
        </w:rPr>
        <w:t xml:space="preserve"> </w:t>
      </w:r>
      <w:r w:rsidR="0019067E">
        <w:rPr>
          <w:rFonts w:ascii="Times New Roman" w:hAnsi="Times New Roman" w:cs="Times New Roman"/>
          <w:sz w:val="24"/>
          <w:szCs w:val="24"/>
          <w:lang w:eastAsia="en-AU"/>
        </w:rPr>
        <w:t>3</w:t>
      </w:r>
      <w:r w:rsidR="00551EA9">
        <w:rPr>
          <w:rFonts w:ascii="Times New Roman" w:hAnsi="Times New Roman" w:cs="Times New Roman"/>
          <w:sz w:val="24"/>
          <w:szCs w:val="24"/>
          <w:lang w:eastAsia="en-AU"/>
        </w:rPr>
        <w:t xml:space="preserve">.2i </w:t>
      </w:r>
      <w:r w:rsidRPr="00E37F9A">
        <w:rPr>
          <w:rFonts w:ascii="Times New Roman" w:hAnsi="Times New Roman" w:cs="Times New Roman"/>
          <w:sz w:val="24"/>
          <w:szCs w:val="24"/>
          <w:lang w:eastAsia="en-AU"/>
        </w:rPr>
        <w:t xml:space="preserve">contain </w:t>
      </w:r>
      <w:r w:rsidR="00551EA9">
        <w:rPr>
          <w:rFonts w:ascii="Times New Roman" w:hAnsi="Times New Roman" w:cs="Times New Roman"/>
          <w:sz w:val="24"/>
          <w:szCs w:val="24"/>
          <w:lang w:eastAsia="en-AU"/>
        </w:rPr>
        <w:t xml:space="preserve">sales matrices for the 9 mvh commodities </w:t>
      </w:r>
      <w:r w:rsidR="00282FCE">
        <w:rPr>
          <w:rFonts w:ascii="Times New Roman" w:hAnsi="Times New Roman" w:cs="Times New Roman"/>
          <w:sz w:val="24"/>
          <w:szCs w:val="24"/>
          <w:lang w:eastAsia="en-AU"/>
        </w:rPr>
        <w:t xml:space="preserve">in GTAP-MVH.  These were </w:t>
      </w:r>
      <w:r w:rsidR="00551EA9">
        <w:rPr>
          <w:rFonts w:ascii="Times New Roman" w:hAnsi="Times New Roman" w:cs="Times New Roman"/>
          <w:sz w:val="24"/>
          <w:szCs w:val="24"/>
          <w:lang w:eastAsia="en-AU"/>
        </w:rPr>
        <w:t xml:space="preserve">generated by disaggregating GTAP-2011 data using the disaggregation procedures described in subsections </w:t>
      </w:r>
      <w:r w:rsidR="0019067E">
        <w:rPr>
          <w:rFonts w:ascii="Times New Roman" w:hAnsi="Times New Roman" w:cs="Times New Roman"/>
          <w:sz w:val="24"/>
          <w:szCs w:val="24"/>
          <w:lang w:eastAsia="en-AU"/>
        </w:rPr>
        <w:t>3</w:t>
      </w:r>
      <w:r w:rsidR="00551EA9">
        <w:rPr>
          <w:rFonts w:ascii="Times New Roman" w:hAnsi="Times New Roman" w:cs="Times New Roman"/>
          <w:sz w:val="24"/>
          <w:szCs w:val="24"/>
          <w:lang w:eastAsia="en-AU"/>
        </w:rPr>
        <w:t xml:space="preserve">.1 to </w:t>
      </w:r>
      <w:r w:rsidR="0019067E">
        <w:rPr>
          <w:rFonts w:ascii="Times New Roman" w:hAnsi="Times New Roman" w:cs="Times New Roman"/>
          <w:sz w:val="24"/>
          <w:szCs w:val="24"/>
          <w:lang w:eastAsia="en-AU"/>
        </w:rPr>
        <w:t>3</w:t>
      </w:r>
      <w:r w:rsidR="00551EA9">
        <w:rPr>
          <w:rFonts w:ascii="Times New Roman" w:hAnsi="Times New Roman" w:cs="Times New Roman"/>
          <w:sz w:val="24"/>
          <w:szCs w:val="24"/>
          <w:lang w:eastAsia="en-AU"/>
        </w:rPr>
        <w:t xml:space="preserve">.4.  </w:t>
      </w:r>
      <w:r w:rsidRPr="00E37F9A">
        <w:rPr>
          <w:rFonts w:ascii="Times New Roman" w:hAnsi="Times New Roman" w:cs="Times New Roman"/>
          <w:sz w:val="24"/>
          <w:szCs w:val="24"/>
          <w:lang w:eastAsia="en-AU"/>
        </w:rPr>
        <w:t xml:space="preserve">For each commodity, the rows </w:t>
      </w:r>
      <w:r w:rsidR="00282FCE">
        <w:rPr>
          <w:rFonts w:ascii="Times New Roman" w:hAnsi="Times New Roman" w:cs="Times New Roman"/>
          <w:sz w:val="24"/>
          <w:szCs w:val="24"/>
          <w:lang w:eastAsia="en-AU"/>
        </w:rPr>
        <w:t xml:space="preserve">in these tables show </w:t>
      </w:r>
      <w:r w:rsidRPr="00E37F9A">
        <w:rPr>
          <w:rFonts w:ascii="Times New Roman" w:hAnsi="Times New Roman" w:cs="Times New Roman"/>
          <w:sz w:val="24"/>
          <w:szCs w:val="24"/>
          <w:lang w:eastAsia="en-AU"/>
        </w:rPr>
        <w:t xml:space="preserve">sales from source regions where the commodity is produced, and the columns show the destination regions where the commodity is used. </w:t>
      </w:r>
      <w:r w:rsidR="00282FCE">
        <w:rPr>
          <w:rFonts w:ascii="Times New Roman" w:hAnsi="Times New Roman" w:cs="Times New Roman"/>
          <w:sz w:val="24"/>
          <w:szCs w:val="24"/>
          <w:lang w:eastAsia="en-AU"/>
        </w:rPr>
        <w:t xml:space="preserve"> </w:t>
      </w:r>
      <w:r w:rsidRPr="00E37F9A">
        <w:rPr>
          <w:rFonts w:ascii="Times New Roman" w:hAnsi="Times New Roman" w:cs="Times New Roman"/>
          <w:sz w:val="24"/>
          <w:szCs w:val="24"/>
          <w:lang w:eastAsia="en-AU"/>
        </w:rPr>
        <w:t xml:space="preserve">The </w:t>
      </w:r>
      <w:r w:rsidR="00282FCE">
        <w:rPr>
          <w:rFonts w:ascii="Times New Roman" w:hAnsi="Times New Roman" w:cs="Times New Roman"/>
          <w:sz w:val="24"/>
          <w:szCs w:val="24"/>
          <w:lang w:eastAsia="en-AU"/>
        </w:rPr>
        <w:t>row totals</w:t>
      </w:r>
      <w:r w:rsidRPr="00E37F9A">
        <w:rPr>
          <w:rFonts w:ascii="Times New Roman" w:hAnsi="Times New Roman" w:cs="Times New Roman"/>
          <w:sz w:val="24"/>
          <w:szCs w:val="24"/>
          <w:lang w:eastAsia="en-AU"/>
        </w:rPr>
        <w:t xml:space="preserve"> </w:t>
      </w:r>
      <w:r w:rsidR="00282FCE">
        <w:rPr>
          <w:rFonts w:ascii="Times New Roman" w:hAnsi="Times New Roman" w:cs="Times New Roman"/>
          <w:sz w:val="24"/>
          <w:szCs w:val="24"/>
          <w:lang w:eastAsia="en-AU"/>
        </w:rPr>
        <w:t>show</w:t>
      </w:r>
      <w:r w:rsidRPr="00E37F9A">
        <w:rPr>
          <w:rFonts w:ascii="Times New Roman" w:hAnsi="Times New Roman" w:cs="Times New Roman"/>
          <w:sz w:val="24"/>
          <w:szCs w:val="24"/>
          <w:lang w:eastAsia="en-AU"/>
        </w:rPr>
        <w:t xml:space="preserve"> output values of the commodity in the source regions. </w:t>
      </w:r>
      <w:r w:rsidR="00282FCE">
        <w:rPr>
          <w:rFonts w:ascii="Times New Roman" w:hAnsi="Times New Roman" w:cs="Times New Roman"/>
          <w:sz w:val="24"/>
          <w:szCs w:val="24"/>
          <w:lang w:eastAsia="en-AU"/>
        </w:rPr>
        <w:t xml:space="preserve"> </w:t>
      </w:r>
      <w:r w:rsidR="00282FCE" w:rsidRPr="00E37F9A">
        <w:rPr>
          <w:rFonts w:ascii="Times New Roman" w:hAnsi="Times New Roman" w:cs="Times New Roman"/>
          <w:sz w:val="24"/>
          <w:szCs w:val="24"/>
          <w:lang w:eastAsia="en-AU"/>
        </w:rPr>
        <w:t xml:space="preserve">The </w:t>
      </w:r>
      <w:r w:rsidR="00282FCE">
        <w:rPr>
          <w:rFonts w:ascii="Times New Roman" w:hAnsi="Times New Roman" w:cs="Times New Roman"/>
          <w:sz w:val="24"/>
          <w:szCs w:val="24"/>
          <w:lang w:eastAsia="en-AU"/>
        </w:rPr>
        <w:t>column totals</w:t>
      </w:r>
      <w:r w:rsidR="00282FCE" w:rsidRPr="00E37F9A">
        <w:rPr>
          <w:rFonts w:ascii="Times New Roman" w:hAnsi="Times New Roman" w:cs="Times New Roman"/>
          <w:sz w:val="24"/>
          <w:szCs w:val="24"/>
          <w:lang w:eastAsia="en-AU"/>
        </w:rPr>
        <w:t xml:space="preserve"> </w:t>
      </w:r>
      <w:r w:rsidR="00282FCE">
        <w:rPr>
          <w:rFonts w:ascii="Times New Roman" w:hAnsi="Times New Roman" w:cs="Times New Roman"/>
          <w:sz w:val="24"/>
          <w:szCs w:val="24"/>
          <w:lang w:eastAsia="en-AU"/>
        </w:rPr>
        <w:t>show</w:t>
      </w:r>
      <w:r w:rsidR="00282FCE" w:rsidRPr="00E37F9A">
        <w:rPr>
          <w:rFonts w:ascii="Times New Roman" w:hAnsi="Times New Roman" w:cs="Times New Roman"/>
          <w:sz w:val="24"/>
          <w:szCs w:val="24"/>
          <w:lang w:eastAsia="en-AU"/>
        </w:rPr>
        <w:t xml:space="preserve"> </w:t>
      </w:r>
      <w:r w:rsidR="00282FCE">
        <w:rPr>
          <w:rFonts w:ascii="Times New Roman" w:hAnsi="Times New Roman" w:cs="Times New Roman"/>
          <w:sz w:val="24"/>
          <w:szCs w:val="24"/>
          <w:lang w:eastAsia="en-AU"/>
        </w:rPr>
        <w:t xml:space="preserve">absorption </w:t>
      </w:r>
      <w:r w:rsidR="00282FCE" w:rsidRPr="00E37F9A">
        <w:rPr>
          <w:rFonts w:ascii="Times New Roman" w:hAnsi="Times New Roman" w:cs="Times New Roman"/>
          <w:sz w:val="24"/>
          <w:szCs w:val="24"/>
          <w:lang w:eastAsia="en-AU"/>
        </w:rPr>
        <w:t xml:space="preserve">values of the commodity in the </w:t>
      </w:r>
      <w:r w:rsidR="00282FCE">
        <w:rPr>
          <w:rFonts w:ascii="Times New Roman" w:hAnsi="Times New Roman" w:cs="Times New Roman"/>
          <w:sz w:val="24"/>
          <w:szCs w:val="24"/>
          <w:lang w:eastAsia="en-AU"/>
        </w:rPr>
        <w:t>destination</w:t>
      </w:r>
      <w:r w:rsidR="00282FCE" w:rsidRPr="00E37F9A">
        <w:rPr>
          <w:rFonts w:ascii="Times New Roman" w:hAnsi="Times New Roman" w:cs="Times New Roman"/>
          <w:sz w:val="24"/>
          <w:szCs w:val="24"/>
          <w:lang w:eastAsia="en-AU"/>
        </w:rPr>
        <w:t xml:space="preserve"> regions.</w:t>
      </w:r>
      <w:r w:rsidR="00282FCE">
        <w:rPr>
          <w:rFonts w:ascii="Times New Roman" w:hAnsi="Times New Roman" w:cs="Times New Roman"/>
          <w:sz w:val="24"/>
          <w:szCs w:val="24"/>
          <w:lang w:eastAsia="en-AU"/>
        </w:rPr>
        <w:t xml:space="preserve">  </w:t>
      </w:r>
      <w:r w:rsidRPr="00E37F9A">
        <w:rPr>
          <w:rFonts w:ascii="Times New Roman" w:hAnsi="Times New Roman" w:cs="Times New Roman"/>
          <w:sz w:val="24"/>
          <w:szCs w:val="24"/>
          <w:lang w:eastAsia="en-AU"/>
        </w:rPr>
        <w:t xml:space="preserve">The diagonal elements of the tables show the commodity’s use in the region where it is produced. </w:t>
      </w:r>
    </w:p>
    <w:p w:rsidR="0077254E" w:rsidRDefault="0077254E" w:rsidP="00E37F9A">
      <w:pPr>
        <w:spacing w:before="120" w:after="0" w:line="240" w:lineRule="auto"/>
        <w:rPr>
          <w:rFonts w:ascii="Times New Roman" w:hAnsi="Times New Roman" w:cs="Times New Roman"/>
          <w:sz w:val="24"/>
          <w:szCs w:val="24"/>
          <w:lang w:eastAsia="en-AU"/>
        </w:rPr>
      </w:pPr>
    </w:p>
    <w:p w:rsidR="0077254E" w:rsidRDefault="0077254E" w:rsidP="00E37F9A">
      <w:pPr>
        <w:spacing w:before="120" w:after="0" w:line="240" w:lineRule="auto"/>
        <w:rPr>
          <w:rFonts w:ascii="Times New Roman" w:hAnsi="Times New Roman" w:cs="Times New Roman"/>
          <w:sz w:val="24"/>
          <w:szCs w:val="24"/>
          <w:lang w:eastAsia="en-AU"/>
        </w:rPr>
      </w:pPr>
    </w:p>
    <w:p w:rsidR="0077254E" w:rsidRDefault="0077254E" w:rsidP="00E37F9A">
      <w:pPr>
        <w:spacing w:before="120" w:after="0" w:line="240" w:lineRule="auto"/>
        <w:rPr>
          <w:rFonts w:ascii="Times New Roman" w:hAnsi="Times New Roman" w:cs="Times New Roman"/>
          <w:sz w:val="24"/>
          <w:szCs w:val="24"/>
          <w:lang w:eastAsia="en-AU"/>
        </w:rPr>
      </w:pPr>
    </w:p>
    <w:p w:rsidR="0077254E" w:rsidRDefault="0077254E" w:rsidP="00E37F9A">
      <w:pPr>
        <w:spacing w:before="120" w:after="0" w:line="240" w:lineRule="auto"/>
        <w:rPr>
          <w:rFonts w:ascii="Times New Roman" w:hAnsi="Times New Roman" w:cs="Times New Roman"/>
          <w:sz w:val="24"/>
          <w:szCs w:val="24"/>
          <w:lang w:eastAsia="en-AU"/>
        </w:rPr>
      </w:pPr>
    </w:p>
    <w:p w:rsidR="00D37224" w:rsidRPr="00E37F9A" w:rsidRDefault="00D37224" w:rsidP="00E37F9A">
      <w:pPr>
        <w:spacing w:after="0" w:line="240" w:lineRule="auto"/>
        <w:rPr>
          <w:rFonts w:ascii="Times New Roman" w:hAnsi="Times New Roman" w:cs="Times New Roman"/>
          <w:sz w:val="24"/>
          <w:szCs w:val="24"/>
        </w:rPr>
      </w:pPr>
    </w:p>
    <w:p w:rsidR="00D37224" w:rsidRPr="00E37F9A" w:rsidRDefault="00D37224" w:rsidP="00E37F9A">
      <w:pPr>
        <w:spacing w:after="0" w:line="240" w:lineRule="auto"/>
        <w:rPr>
          <w:rFonts w:ascii="Times New Roman" w:hAnsi="Times New Roman" w:cs="Times New Roman"/>
          <w:sz w:val="24"/>
          <w:szCs w:val="24"/>
          <w:lang w:eastAsia="en-AU"/>
        </w:rPr>
        <w:sectPr w:rsidR="00D37224" w:rsidRPr="00E37F9A" w:rsidSect="00D37224">
          <w:footerReference w:type="default" r:id="rId134"/>
          <w:pgSz w:w="11906" w:h="16838"/>
          <w:pgMar w:top="1440" w:right="1440" w:bottom="1440" w:left="1440" w:header="708" w:footer="708" w:gutter="0"/>
          <w:cols w:space="708"/>
          <w:docGrid w:linePitch="360"/>
        </w:sectPr>
      </w:pPr>
    </w:p>
    <w:tbl>
      <w:tblPr>
        <w:tblW w:w="13816" w:type="dxa"/>
        <w:tblInd w:w="142" w:type="dxa"/>
        <w:tblLayout w:type="fixed"/>
        <w:tblLook w:val="04A0" w:firstRow="1" w:lastRow="0" w:firstColumn="1" w:lastColumn="0" w:noHBand="0" w:noVBand="1"/>
      </w:tblPr>
      <w:tblGrid>
        <w:gridCol w:w="1701"/>
        <w:gridCol w:w="1230"/>
        <w:gridCol w:w="1088"/>
        <w:gridCol w:w="1089"/>
        <w:gridCol w:w="1088"/>
        <w:gridCol w:w="1089"/>
        <w:gridCol w:w="937"/>
        <w:gridCol w:w="1240"/>
        <w:gridCol w:w="1088"/>
        <w:gridCol w:w="1089"/>
        <w:gridCol w:w="1088"/>
        <w:gridCol w:w="1089"/>
      </w:tblGrid>
      <w:tr w:rsidR="00D37224" w:rsidRPr="00E37F9A" w:rsidTr="00D37224">
        <w:trPr>
          <w:trHeight w:val="300"/>
        </w:trPr>
        <w:tc>
          <w:tcPr>
            <w:tcW w:w="13816" w:type="dxa"/>
            <w:gridSpan w:val="12"/>
            <w:tcBorders>
              <w:top w:val="nil"/>
              <w:left w:val="nil"/>
              <w:bottom w:val="nil"/>
              <w:right w:val="nil"/>
            </w:tcBorders>
            <w:shd w:val="clear" w:color="auto" w:fill="auto"/>
            <w:noWrap/>
            <w:vAlign w:val="bottom"/>
            <w:hideMark/>
          </w:tcPr>
          <w:p w:rsidR="00D37224" w:rsidRPr="00E37F9A" w:rsidRDefault="00D37224" w:rsidP="00A500DC">
            <w:pPr>
              <w:spacing w:after="0" w:line="240" w:lineRule="auto"/>
              <w:jc w:val="center"/>
              <w:rPr>
                <w:rFonts w:ascii="Times New Roman" w:eastAsia="Times New Roman" w:hAnsi="Times New Roman" w:cs="Times New Roman"/>
                <w:b/>
                <w:i/>
                <w:sz w:val="24"/>
                <w:szCs w:val="24"/>
                <w:lang w:eastAsia="en-AU"/>
              </w:rPr>
            </w:pPr>
            <w:r w:rsidRPr="00E37F9A">
              <w:rPr>
                <w:rFonts w:ascii="Times New Roman" w:hAnsi="Times New Roman" w:cs="Times New Roman"/>
                <w:b/>
                <w:i/>
                <w:sz w:val="24"/>
                <w:szCs w:val="24"/>
              </w:rPr>
              <w:lastRenderedPageBreak/>
              <w:t xml:space="preserve">Table </w:t>
            </w:r>
            <w:r w:rsidR="0019067E">
              <w:rPr>
                <w:rFonts w:ascii="Times New Roman" w:hAnsi="Times New Roman" w:cs="Times New Roman"/>
                <w:b/>
                <w:i/>
                <w:sz w:val="24"/>
                <w:szCs w:val="24"/>
              </w:rPr>
              <w:t>3</w:t>
            </w:r>
            <w:r w:rsidR="006B17CC" w:rsidRPr="00E37F9A">
              <w:rPr>
                <w:rFonts w:ascii="Times New Roman" w:hAnsi="Times New Roman" w:cs="Times New Roman"/>
                <w:b/>
                <w:i/>
                <w:sz w:val="24"/>
                <w:szCs w:val="24"/>
              </w:rPr>
              <w:t>.</w:t>
            </w:r>
            <w:r w:rsidR="00A500DC">
              <w:rPr>
                <w:rFonts w:ascii="Times New Roman" w:hAnsi="Times New Roman" w:cs="Times New Roman"/>
                <w:b/>
                <w:i/>
                <w:sz w:val="24"/>
                <w:szCs w:val="24"/>
              </w:rPr>
              <w:t>2a</w:t>
            </w:r>
            <w:r w:rsidRPr="00E37F9A">
              <w:rPr>
                <w:rFonts w:ascii="Times New Roman" w:hAnsi="Times New Roman" w:cs="Times New Roman"/>
                <w:b/>
                <w:i/>
                <w:sz w:val="24"/>
                <w:szCs w:val="24"/>
              </w:rPr>
              <w:t>.</w:t>
            </w:r>
            <w:r w:rsidR="006B17CC" w:rsidRPr="00E37F9A">
              <w:rPr>
                <w:rFonts w:ascii="Times New Roman" w:hAnsi="Times New Roman" w:cs="Times New Roman"/>
                <w:b/>
                <w:i/>
                <w:sz w:val="24"/>
                <w:szCs w:val="24"/>
              </w:rPr>
              <w:t xml:space="preserve"> </w:t>
            </w:r>
            <w:r w:rsidRPr="00E37F9A">
              <w:rPr>
                <w:rFonts w:ascii="Times New Roman" w:hAnsi="Times New Roman" w:cs="Times New Roman"/>
                <w:b/>
                <w:i/>
                <w:sz w:val="24"/>
                <w:szCs w:val="24"/>
              </w:rPr>
              <w:t xml:space="preserve"> </w:t>
            </w:r>
            <w:r w:rsidR="006B17CC" w:rsidRPr="00E37F9A">
              <w:rPr>
                <w:rFonts w:ascii="Times New Roman" w:hAnsi="Times New Roman" w:cs="Times New Roman"/>
                <w:b/>
                <w:i/>
                <w:sz w:val="24"/>
                <w:szCs w:val="24"/>
              </w:rPr>
              <w:t>Automobiles: flows from source to destination</w:t>
            </w:r>
            <w:r w:rsidRPr="00E37F9A">
              <w:rPr>
                <w:rFonts w:ascii="Times New Roman" w:hAnsi="Times New Roman" w:cs="Times New Roman"/>
                <w:b/>
                <w:i/>
                <w:sz w:val="24"/>
                <w:szCs w:val="24"/>
              </w:rPr>
              <w:t xml:space="preserve">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2011</w:t>
            </w:r>
            <w:r w:rsidR="00674F1C" w:rsidRPr="00E37F9A">
              <w:rPr>
                <w:rFonts w:ascii="Times New Roman" w:hAnsi="Times New Roman" w:cs="Times New Roman"/>
                <w:b/>
                <w:i/>
                <w:sz w:val="24"/>
                <w:szCs w:val="24"/>
              </w:rPr>
              <w:t>)</w:t>
            </w:r>
          </w:p>
        </w:tc>
      </w:tr>
      <w:tr w:rsidR="00D37224"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Destination</w:t>
            </w:r>
          </w:p>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230"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937"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240"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103,206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4,589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2,025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252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93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883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667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447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189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3,712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116,063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11,034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7,871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410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182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127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614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20,336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13,543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1,684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8,305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137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42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428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1,227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120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3,594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29,451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26,005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3,052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2,324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30,110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1,251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12,028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2,244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7,119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3,461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48,435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136,031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6,463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1,030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462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491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6,599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3,038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577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3,623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410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20,929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43,622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860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92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495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155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123,170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171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413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4,006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129,620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11,478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1,575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952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3,469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1,318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11,675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17,805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60,119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16,890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32,784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158,067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3,168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354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470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1,322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488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3,502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27,292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114,147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17,512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27,869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196,123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2,243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238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448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107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1,865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3,371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10,185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8,161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7,620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34,310 </w:t>
            </w:r>
          </w:p>
        </w:tc>
      </w:tr>
      <w:tr w:rsidR="00D37224" w:rsidRPr="00E37F9A" w:rsidTr="00D37224">
        <w:trPr>
          <w:trHeight w:val="300"/>
        </w:trPr>
        <w:tc>
          <w:tcPr>
            <w:tcW w:w="1701"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23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2,275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257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718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1,399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230 </w:t>
            </w:r>
          </w:p>
        </w:tc>
        <w:tc>
          <w:tcPr>
            <w:tcW w:w="937"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542 </w:t>
            </w:r>
          </w:p>
        </w:tc>
        <w:tc>
          <w:tcPr>
            <w:tcW w:w="1240"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2,632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6,446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1,655 </w:t>
            </w:r>
          </w:p>
        </w:tc>
        <w:tc>
          <w:tcPr>
            <w:tcW w:w="1088"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145,578 </w:t>
            </w:r>
          </w:p>
        </w:tc>
        <w:tc>
          <w:tcPr>
            <w:tcW w:w="1089" w:type="dxa"/>
            <w:tcBorders>
              <w:top w:val="nil"/>
              <w:left w:val="nil"/>
              <w:bottom w:val="nil"/>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161,731 </w:t>
            </w:r>
          </w:p>
        </w:tc>
      </w:tr>
      <w:tr w:rsidR="00D37224"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230"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180,276 </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20,741 </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15,799 </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38,150 </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10,301 </w:t>
            </w:r>
          </w:p>
        </w:tc>
        <w:tc>
          <w:tcPr>
            <w:tcW w:w="937"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157,313 </w:t>
            </w:r>
          </w:p>
        </w:tc>
        <w:tc>
          <w:tcPr>
            <w:tcW w:w="1240"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56,020 </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202,997 </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48,616 </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295,140 </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1,025,355 </w:t>
            </w:r>
          </w:p>
        </w:tc>
      </w:tr>
    </w:tbl>
    <w:p w:rsidR="006B17CC" w:rsidRPr="00E37F9A" w:rsidRDefault="006B17CC"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E37F9A" w:rsidTr="006B17CC">
        <w:trPr>
          <w:trHeight w:val="300"/>
        </w:trPr>
        <w:tc>
          <w:tcPr>
            <w:tcW w:w="13816" w:type="dxa"/>
            <w:gridSpan w:val="12"/>
            <w:tcBorders>
              <w:top w:val="nil"/>
              <w:left w:val="nil"/>
              <w:bottom w:val="nil"/>
              <w:right w:val="nil"/>
            </w:tcBorders>
            <w:shd w:val="clear" w:color="auto" w:fill="auto"/>
            <w:noWrap/>
            <w:vAlign w:val="bottom"/>
          </w:tcPr>
          <w:p w:rsidR="006B17CC" w:rsidRPr="00E37F9A" w:rsidRDefault="006B17CC" w:rsidP="00E37F9A">
            <w:pPr>
              <w:spacing w:after="0" w:line="240" w:lineRule="auto"/>
              <w:jc w:val="center"/>
              <w:rPr>
                <w:rFonts w:ascii="Times New Roman" w:eastAsia="Times New Roman" w:hAnsi="Times New Roman" w:cs="Times New Roman"/>
                <w:b/>
                <w:i/>
                <w:sz w:val="24"/>
                <w:szCs w:val="24"/>
                <w:lang w:eastAsia="en-AU"/>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.2</w:t>
            </w:r>
            <w:r w:rsidR="00A500DC">
              <w:rPr>
                <w:rFonts w:ascii="Times New Roman" w:hAnsi="Times New Roman" w:cs="Times New Roman"/>
                <w:b/>
                <w:i/>
                <w:sz w:val="24"/>
                <w:szCs w:val="24"/>
              </w:rPr>
              <w:t>b</w:t>
            </w:r>
            <w:r w:rsidRPr="00E37F9A">
              <w:rPr>
                <w:rFonts w:ascii="Times New Roman" w:hAnsi="Times New Roman" w:cs="Times New Roman"/>
                <w:b/>
                <w:i/>
                <w:sz w:val="24"/>
                <w:szCs w:val="24"/>
              </w:rPr>
              <w:t xml:space="preserve">.  Motor vehicle gasoline engine and engine parts: flows from source to destination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2011</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22,916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2,937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2,307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143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698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1,411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31,411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2,184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3,298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5,877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2,415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2,295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122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493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6,227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1,766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40,367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1,300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2,531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47,748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499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8,609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1,244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11,350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51,596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2,066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55,663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1,647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562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589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2,677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13,871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9,371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1,006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3,617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33,948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311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1,145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9,775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29,282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1,481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4,375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47,633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59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1,047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1,953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1,101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1,033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6,289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1,060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1,606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29,900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34,425 </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33,568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7,594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6,273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42,271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10,493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58,697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27,269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43,680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3,959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46,764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280,570 </w:t>
            </w:r>
          </w:p>
        </w:tc>
      </w:tr>
    </w:tbl>
    <w:p w:rsidR="00FF619E" w:rsidRPr="00E37F9A" w:rsidRDefault="00FF619E"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FF619E" w:rsidRPr="00E37F9A" w:rsidTr="00FF619E">
        <w:trPr>
          <w:trHeight w:val="300"/>
        </w:trPr>
        <w:tc>
          <w:tcPr>
            <w:tcW w:w="13816" w:type="dxa"/>
            <w:gridSpan w:val="12"/>
            <w:tcBorders>
              <w:top w:val="nil"/>
              <w:left w:val="nil"/>
              <w:bottom w:val="nil"/>
              <w:right w:val="nil"/>
            </w:tcBorders>
            <w:shd w:val="clear" w:color="auto" w:fill="auto"/>
            <w:noWrap/>
            <w:vAlign w:val="center"/>
            <w:hideMark/>
          </w:tcPr>
          <w:p w:rsidR="00FF619E" w:rsidRPr="00E37F9A" w:rsidRDefault="00FF619E" w:rsidP="00A500DC">
            <w:pPr>
              <w:spacing w:after="0" w:line="240" w:lineRule="auto"/>
              <w:jc w:val="center"/>
              <w:rPr>
                <w:rFonts w:ascii="Times New Roman" w:hAnsi="Times New Roman" w:cs="Times New Roman"/>
                <w:b/>
                <w:i/>
                <w:sz w:val="24"/>
                <w:szCs w:val="24"/>
              </w:rPr>
            </w:pPr>
            <w:r w:rsidRPr="00E37F9A">
              <w:rPr>
                <w:rFonts w:ascii="Times New Roman" w:hAnsi="Times New Roman" w:cs="Times New Roman"/>
                <w:b/>
                <w:i/>
                <w:sz w:val="24"/>
                <w:szCs w:val="24"/>
              </w:rPr>
              <w:lastRenderedPageBreak/>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A500DC">
              <w:rPr>
                <w:rFonts w:ascii="Times New Roman" w:hAnsi="Times New Roman" w:cs="Times New Roman"/>
                <w:b/>
                <w:i/>
                <w:sz w:val="24"/>
                <w:szCs w:val="24"/>
              </w:rPr>
              <w:t>2c</w:t>
            </w:r>
            <w:r w:rsidRPr="00E37F9A">
              <w:rPr>
                <w:rFonts w:ascii="Times New Roman" w:hAnsi="Times New Roman" w:cs="Times New Roman"/>
                <w:b/>
                <w:i/>
                <w:sz w:val="24"/>
                <w:szCs w:val="24"/>
              </w:rPr>
              <w:t xml:space="preserve">.  Motor vehicle steering and suspension components: flows from source to destination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2011</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11,493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687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450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13,152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1,703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2,162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597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1,703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14,596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173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15,464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2,748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3,302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16,871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490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17,885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4,885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1,349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7,922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1,374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9,151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11,890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815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1,216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10,732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11,552 </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13,599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2,707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1,533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14,906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2,962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18,102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6,747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11,175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1,317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13,202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86,248 </w:t>
            </w:r>
          </w:p>
        </w:tc>
      </w:tr>
    </w:tbl>
    <w:p w:rsidR="00FF619E" w:rsidRPr="00E37F9A" w:rsidRDefault="00FF619E" w:rsidP="00E37F9A">
      <w:pPr>
        <w:spacing w:after="0" w:line="240" w:lineRule="auto"/>
        <w:rPr>
          <w:rFonts w:ascii="Times New Roman" w:hAnsi="Times New Roman" w:cs="Times New Roman"/>
          <w:sz w:val="24"/>
          <w:szCs w:val="24"/>
        </w:rPr>
      </w:pPr>
    </w:p>
    <w:p w:rsidR="00FF619E" w:rsidRPr="00E37F9A" w:rsidRDefault="00FF619E"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FF619E" w:rsidRPr="00E37F9A" w:rsidTr="00880C8C">
        <w:trPr>
          <w:trHeight w:val="300"/>
        </w:trPr>
        <w:tc>
          <w:tcPr>
            <w:tcW w:w="13816" w:type="dxa"/>
            <w:gridSpan w:val="12"/>
            <w:tcBorders>
              <w:top w:val="nil"/>
              <w:left w:val="nil"/>
              <w:bottom w:val="nil"/>
              <w:right w:val="nil"/>
            </w:tcBorders>
            <w:shd w:val="clear" w:color="auto" w:fill="auto"/>
            <w:noWrap/>
            <w:vAlign w:val="center"/>
            <w:hideMark/>
          </w:tcPr>
          <w:p w:rsidR="00FF619E" w:rsidRPr="00E37F9A" w:rsidRDefault="00FF619E" w:rsidP="00A500DC">
            <w:pPr>
              <w:spacing w:after="0" w:line="240" w:lineRule="auto"/>
              <w:jc w:val="center"/>
              <w:rPr>
                <w:rFonts w:ascii="Times New Roman" w:hAnsi="Times New Roman" w:cs="Times New Roman"/>
                <w:b/>
                <w:i/>
                <w:sz w:val="24"/>
                <w:szCs w:val="24"/>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A500DC">
              <w:rPr>
                <w:rFonts w:ascii="Times New Roman" w:hAnsi="Times New Roman" w:cs="Times New Roman"/>
                <w:b/>
                <w:i/>
                <w:sz w:val="24"/>
                <w:szCs w:val="24"/>
              </w:rPr>
              <w:t>2d</w:t>
            </w:r>
            <w:r w:rsidRPr="00E37F9A">
              <w:rPr>
                <w:rFonts w:ascii="Times New Roman" w:hAnsi="Times New Roman" w:cs="Times New Roman"/>
                <w:b/>
                <w:i/>
                <w:sz w:val="24"/>
                <w:szCs w:val="24"/>
              </w:rPr>
              <w:t xml:space="preserve">.  Motor vehicle brakes and brake systems: flows from source to destination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2011</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6,462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7,089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730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0.3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868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456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805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7,686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9.1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8,059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1,459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1,733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8,223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516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9,283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179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790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4,233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1,031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4,805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417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6,684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745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5,882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6,217 </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7,480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1,171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764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7,879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1,602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8,681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3,959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6,055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602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7,522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45,717 </w:t>
            </w:r>
          </w:p>
        </w:tc>
      </w:tr>
    </w:tbl>
    <w:p w:rsidR="00FF619E" w:rsidRPr="00E37F9A" w:rsidRDefault="00FF619E"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FF619E" w:rsidRPr="00E37F9A" w:rsidTr="00880C8C">
        <w:trPr>
          <w:trHeight w:val="300"/>
        </w:trPr>
        <w:tc>
          <w:tcPr>
            <w:tcW w:w="13816" w:type="dxa"/>
            <w:gridSpan w:val="12"/>
            <w:tcBorders>
              <w:top w:val="nil"/>
              <w:left w:val="nil"/>
              <w:bottom w:val="nil"/>
              <w:right w:val="nil"/>
            </w:tcBorders>
            <w:shd w:val="clear" w:color="auto" w:fill="auto"/>
            <w:noWrap/>
            <w:vAlign w:val="center"/>
            <w:hideMark/>
          </w:tcPr>
          <w:p w:rsidR="00FF619E" w:rsidRPr="00E37F9A" w:rsidRDefault="00FF619E" w:rsidP="00A500DC">
            <w:pPr>
              <w:spacing w:after="0" w:line="240" w:lineRule="auto"/>
              <w:jc w:val="center"/>
              <w:rPr>
                <w:rFonts w:ascii="Times New Roman" w:hAnsi="Times New Roman" w:cs="Times New Roman"/>
                <w:b/>
                <w:i/>
                <w:sz w:val="24"/>
                <w:szCs w:val="24"/>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A500DC">
              <w:rPr>
                <w:rFonts w:ascii="Times New Roman" w:hAnsi="Times New Roman" w:cs="Times New Roman"/>
                <w:b/>
                <w:i/>
                <w:sz w:val="24"/>
                <w:szCs w:val="24"/>
              </w:rPr>
              <w:t>2e</w:t>
            </w:r>
            <w:r w:rsidRPr="00E37F9A">
              <w:rPr>
                <w:rFonts w:ascii="Times New Roman" w:hAnsi="Times New Roman" w:cs="Times New Roman"/>
                <w:b/>
                <w:i/>
                <w:sz w:val="24"/>
                <w:szCs w:val="24"/>
              </w:rPr>
              <w:t xml:space="preserve">. </w:t>
            </w:r>
            <w:r w:rsidR="00674F1C">
              <w:rPr>
                <w:rFonts w:ascii="Times New Roman" w:hAnsi="Times New Roman" w:cs="Times New Roman"/>
                <w:b/>
                <w:i/>
                <w:sz w:val="24"/>
                <w:szCs w:val="24"/>
              </w:rPr>
              <w:t xml:space="preserve"> </w:t>
            </w:r>
            <w:r w:rsidRPr="00E37F9A">
              <w:rPr>
                <w:rFonts w:ascii="Times New Roman" w:hAnsi="Times New Roman" w:cs="Times New Roman"/>
                <w:b/>
                <w:i/>
                <w:sz w:val="24"/>
                <w:szCs w:val="24"/>
              </w:rPr>
              <w:t>Motor vehicle transmission and power train parts: flows from source to destination</w:t>
            </w:r>
            <w:r w:rsidR="00674F1C" w:rsidRPr="00E37F9A">
              <w:rPr>
                <w:rFonts w:ascii="Times New Roman" w:hAnsi="Times New Roman" w:cs="Times New Roman"/>
                <w:b/>
                <w:i/>
                <w:sz w:val="24"/>
                <w:szCs w:val="24"/>
              </w:rPr>
              <w:t xml:space="preserve"> (US$m</w:t>
            </w:r>
            <w:r w:rsidR="00674F1C">
              <w:rPr>
                <w:rFonts w:ascii="Times New Roman" w:hAnsi="Times New Roman" w:cs="Times New Roman"/>
                <w:b/>
                <w:i/>
                <w:sz w:val="24"/>
                <w:szCs w:val="24"/>
              </w:rPr>
              <w:t>illion, 2011</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28,958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2,400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1,997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108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1,017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1,007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36,194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908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3,354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4,423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1,960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2,550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5,575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2,915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397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567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34,982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3,414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751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3,246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47,094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565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7,702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674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1,094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10,639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107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52,690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656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54,053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1,309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3,394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13,438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6,461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2,233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28,716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333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132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939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3,700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24,977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689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1,748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32,784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287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1,961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3,555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73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169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417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746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27,582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29,712 </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37,596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6,868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5,857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35,854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8,896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62,778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18,882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34,166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3,666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38,179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252,743 </w:t>
            </w:r>
          </w:p>
        </w:tc>
      </w:tr>
    </w:tbl>
    <w:p w:rsidR="00FF619E" w:rsidRDefault="00FF619E" w:rsidP="00E37F9A">
      <w:pPr>
        <w:spacing w:after="0" w:line="240" w:lineRule="auto"/>
        <w:rPr>
          <w:rFonts w:ascii="Times New Roman" w:hAnsi="Times New Roman" w:cs="Times New Roman"/>
          <w:sz w:val="24"/>
          <w:szCs w:val="24"/>
        </w:rPr>
      </w:pPr>
    </w:p>
    <w:p w:rsidR="00E37F9A" w:rsidRDefault="00E37F9A" w:rsidP="00E37F9A">
      <w:pPr>
        <w:spacing w:after="0" w:line="240" w:lineRule="auto"/>
        <w:rPr>
          <w:rFonts w:ascii="Times New Roman" w:hAnsi="Times New Roman" w:cs="Times New Roman"/>
          <w:sz w:val="24"/>
          <w:szCs w:val="24"/>
        </w:rPr>
      </w:pPr>
    </w:p>
    <w:p w:rsidR="00E37F9A" w:rsidRPr="00E37F9A" w:rsidRDefault="00674F1C" w:rsidP="00674F1C">
      <w:pPr>
        <w:spacing w:after="0" w:line="240" w:lineRule="auto"/>
        <w:jc w:val="center"/>
        <w:rPr>
          <w:rFonts w:ascii="Times New Roman" w:hAnsi="Times New Roman" w:cs="Times New Roman"/>
          <w:sz w:val="24"/>
          <w:szCs w:val="24"/>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A500DC">
        <w:rPr>
          <w:rFonts w:ascii="Times New Roman" w:hAnsi="Times New Roman" w:cs="Times New Roman"/>
          <w:b/>
          <w:i/>
          <w:sz w:val="24"/>
          <w:szCs w:val="24"/>
        </w:rPr>
        <w:t>2f</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E37F9A">
        <w:rPr>
          <w:rFonts w:ascii="Times New Roman" w:hAnsi="Times New Roman" w:cs="Times New Roman"/>
          <w:b/>
          <w:i/>
          <w:sz w:val="24"/>
          <w:szCs w:val="24"/>
        </w:rPr>
        <w:t xml:space="preserve">Motor vehicle </w:t>
      </w:r>
      <w:r>
        <w:rPr>
          <w:rFonts w:ascii="Times New Roman" w:hAnsi="Times New Roman" w:cs="Times New Roman"/>
          <w:b/>
          <w:i/>
          <w:sz w:val="24"/>
          <w:szCs w:val="24"/>
        </w:rPr>
        <w:t>interior trim, seats and seat part</w:t>
      </w:r>
      <w:r w:rsidRPr="00E37F9A">
        <w:rPr>
          <w:rFonts w:ascii="Times New Roman" w:hAnsi="Times New Roman" w:cs="Times New Roman"/>
          <w:b/>
          <w:i/>
          <w:sz w:val="24"/>
          <w:szCs w:val="24"/>
        </w:rPr>
        <w:t>s: flows from source to destination (US$m</w:t>
      </w:r>
      <w:r>
        <w:rPr>
          <w:rFonts w:ascii="Times New Roman" w:hAnsi="Times New Roman" w:cs="Times New Roman"/>
          <w:b/>
          <w:i/>
          <w:sz w:val="24"/>
          <w:szCs w:val="24"/>
        </w:rPr>
        <w:t>illion, 2011</w:t>
      </w:r>
      <w:r w:rsidRPr="00E37F9A">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E37F9A" w:rsidTr="00E37F9A">
        <w:trPr>
          <w:trHeight w:val="300"/>
        </w:trPr>
        <w:tc>
          <w:tcPr>
            <w:tcW w:w="1701" w:type="dxa"/>
            <w:tcBorders>
              <w:top w:val="single" w:sz="4" w:space="0" w:color="auto"/>
              <w:left w:val="nil"/>
              <w:bottom w:val="single" w:sz="4" w:space="0" w:color="auto"/>
              <w:right w:val="nil"/>
            </w:tcBorders>
            <w:shd w:val="clear" w:color="auto" w:fill="auto"/>
            <w:noWrap/>
            <w:vAlign w:val="bottom"/>
          </w:tcPr>
          <w:p w:rsidR="00E37F9A" w:rsidRPr="00E37F9A" w:rsidRDefault="00E37F9A"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E37F9A"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19,209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999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374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21,193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277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3,162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3,464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1,797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2,394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34,602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3.0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34,741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17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6.6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5,899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93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6,180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404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310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85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32,201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650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34,006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11,814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701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190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13,266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18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91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1,349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12,708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151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341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14,870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25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0.9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15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53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79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829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29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1,044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112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16 </w:t>
            </w:r>
          </w:p>
        </w:tc>
        <w:tc>
          <w:tcPr>
            <w:tcW w:w="1015"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 </w:t>
            </w:r>
          </w:p>
        </w:tc>
        <w:tc>
          <w:tcPr>
            <w:tcW w:w="1188"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217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266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24 </w:t>
            </w:r>
          </w:p>
        </w:tc>
        <w:tc>
          <w:tcPr>
            <w:tcW w:w="1101"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12,142 </w:t>
            </w:r>
          </w:p>
        </w:tc>
        <w:tc>
          <w:tcPr>
            <w:tcW w:w="1102" w:type="dxa"/>
            <w:tcBorders>
              <w:top w:val="nil"/>
              <w:left w:val="nil"/>
              <w:bottom w:val="nil"/>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13,001 </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20,903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4,385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2,311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35,244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6,072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32,642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13,769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13,994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1,106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13,735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xml:space="preserve">144,160 </w:t>
            </w:r>
          </w:p>
        </w:tc>
      </w:tr>
    </w:tbl>
    <w:p w:rsidR="00FF619E" w:rsidRPr="00E37F9A" w:rsidRDefault="00FF619E" w:rsidP="00E37F9A">
      <w:pPr>
        <w:spacing w:after="0" w:line="240" w:lineRule="auto"/>
        <w:rPr>
          <w:rFonts w:ascii="Times New Roman" w:hAnsi="Times New Roman" w:cs="Times New Roman"/>
          <w:sz w:val="24"/>
          <w:szCs w:val="24"/>
        </w:rPr>
      </w:pPr>
    </w:p>
    <w:p w:rsidR="00674F1C" w:rsidRPr="00E37F9A" w:rsidRDefault="00674F1C" w:rsidP="00674F1C">
      <w:pPr>
        <w:spacing w:after="0" w:line="240" w:lineRule="auto"/>
        <w:jc w:val="center"/>
        <w:rPr>
          <w:rFonts w:ascii="Times New Roman" w:hAnsi="Times New Roman" w:cs="Times New Roman"/>
          <w:sz w:val="24"/>
          <w:szCs w:val="24"/>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551EA9">
        <w:rPr>
          <w:rFonts w:ascii="Times New Roman" w:hAnsi="Times New Roman" w:cs="Times New Roman"/>
          <w:b/>
          <w:i/>
          <w:sz w:val="24"/>
          <w:szCs w:val="24"/>
        </w:rPr>
        <w:t>2g</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E37F9A">
        <w:rPr>
          <w:rFonts w:ascii="Times New Roman" w:hAnsi="Times New Roman" w:cs="Times New Roman"/>
          <w:b/>
          <w:i/>
          <w:sz w:val="24"/>
          <w:szCs w:val="24"/>
        </w:rPr>
        <w:t>Motor vehicle metal stamping</w:t>
      </w:r>
      <w:r>
        <w:rPr>
          <w:rFonts w:ascii="Times New Roman" w:hAnsi="Times New Roman" w:cs="Times New Roman"/>
          <w:b/>
          <w:i/>
          <w:sz w:val="24"/>
          <w:szCs w:val="24"/>
        </w:rPr>
        <w:t>:</w:t>
      </w:r>
      <w:r w:rsidRPr="00E37F9A">
        <w:rPr>
          <w:rFonts w:ascii="Times New Roman" w:hAnsi="Times New Roman" w:cs="Times New Roman"/>
          <w:b/>
          <w:i/>
          <w:sz w:val="24"/>
          <w:szCs w:val="24"/>
        </w:rPr>
        <w:t xml:space="preserve"> flows from source to destination (US$m</w:t>
      </w:r>
      <w:r>
        <w:rPr>
          <w:rFonts w:ascii="Times New Roman" w:hAnsi="Times New Roman" w:cs="Times New Roman"/>
          <w:b/>
          <w:i/>
          <w:sz w:val="24"/>
          <w:szCs w:val="24"/>
        </w:rPr>
        <w:t>illion, 2011</w:t>
      </w:r>
      <w:r w:rsidRPr="00E37F9A">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Destination</w:t>
            </w:r>
          </w:p>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18,640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1,113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703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26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263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304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21,325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429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4,398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7.2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78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5,234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326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364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2,010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270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262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3,425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39,240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482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139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538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40,847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6,538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363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692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8,133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112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44,086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835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45,660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200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1,843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12,370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4,618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1,428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21,675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66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108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803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5,221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19,236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623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1,761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28,152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537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984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2,343 </w:t>
            </w:r>
          </w:p>
        </w:tc>
      </w:tr>
      <w:tr w:rsidR="006B17CC" w:rsidRPr="00E37F9A"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68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165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669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953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18,505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21,018 </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19,939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6,487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3,705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40,126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7,128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48,398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19,254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25,984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2,166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24,625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197,812 </w:t>
            </w:r>
          </w:p>
        </w:tc>
      </w:tr>
    </w:tbl>
    <w:p w:rsidR="00FF619E" w:rsidRDefault="00FF619E" w:rsidP="00E37F9A">
      <w:pPr>
        <w:spacing w:after="0" w:line="240" w:lineRule="auto"/>
        <w:rPr>
          <w:rFonts w:ascii="Times New Roman" w:hAnsi="Times New Roman" w:cs="Times New Roman"/>
          <w:sz w:val="24"/>
          <w:szCs w:val="24"/>
        </w:rPr>
      </w:pPr>
    </w:p>
    <w:p w:rsidR="00674F1C" w:rsidRPr="00E37F9A" w:rsidRDefault="00674F1C" w:rsidP="00E37F9A">
      <w:pPr>
        <w:spacing w:after="0" w:line="240" w:lineRule="auto"/>
        <w:rPr>
          <w:rFonts w:ascii="Times New Roman" w:hAnsi="Times New Roman" w:cs="Times New Roman"/>
          <w:sz w:val="24"/>
          <w:szCs w:val="24"/>
        </w:rPr>
      </w:pPr>
    </w:p>
    <w:p w:rsidR="00FF619E" w:rsidRPr="00E37F9A" w:rsidRDefault="00674F1C" w:rsidP="00674F1C">
      <w:pPr>
        <w:spacing w:after="0" w:line="240" w:lineRule="auto"/>
        <w:jc w:val="center"/>
        <w:rPr>
          <w:rFonts w:ascii="Times New Roman" w:hAnsi="Times New Roman" w:cs="Times New Roman"/>
          <w:sz w:val="24"/>
          <w:szCs w:val="24"/>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551EA9">
        <w:rPr>
          <w:rFonts w:ascii="Times New Roman" w:hAnsi="Times New Roman" w:cs="Times New Roman"/>
          <w:b/>
          <w:i/>
          <w:sz w:val="24"/>
          <w:szCs w:val="24"/>
        </w:rPr>
        <w:t>2h</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E37F9A">
        <w:rPr>
          <w:rFonts w:ascii="Times New Roman" w:hAnsi="Times New Roman" w:cs="Times New Roman"/>
          <w:b/>
          <w:i/>
          <w:sz w:val="24"/>
          <w:szCs w:val="24"/>
        </w:rPr>
        <w:t>Other motor vehicle parts</w:t>
      </w:r>
      <w:r>
        <w:rPr>
          <w:rFonts w:ascii="Times New Roman" w:hAnsi="Times New Roman" w:cs="Times New Roman"/>
          <w:b/>
          <w:i/>
          <w:sz w:val="24"/>
          <w:szCs w:val="24"/>
        </w:rPr>
        <w:t>:</w:t>
      </w:r>
      <w:r w:rsidRPr="00E37F9A">
        <w:rPr>
          <w:rFonts w:ascii="Times New Roman" w:hAnsi="Times New Roman" w:cs="Times New Roman"/>
          <w:b/>
          <w:i/>
          <w:sz w:val="24"/>
          <w:szCs w:val="24"/>
        </w:rPr>
        <w:t xml:space="preserve"> flows from source to destination (US$m</w:t>
      </w:r>
      <w:r>
        <w:rPr>
          <w:rFonts w:ascii="Times New Roman" w:hAnsi="Times New Roman" w:cs="Times New Roman"/>
          <w:b/>
          <w:i/>
          <w:sz w:val="24"/>
          <w:szCs w:val="24"/>
        </w:rPr>
        <w:t>illion, 2011</w:t>
      </w:r>
      <w:r w:rsidRPr="00E37F9A">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674F1C"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Destination</w:t>
            </w:r>
          </w:p>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44,231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9,352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7,528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2,711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2,047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1,107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5,757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73,800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3,805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4,985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58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99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9,162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5,062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389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5,410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147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420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624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12,216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2,255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164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69,008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143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954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456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1,951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75,416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2,996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240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133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10,871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1,292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246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1,243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4,506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21,872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1,479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495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353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88,363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270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527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3,202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94,995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3,086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261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288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545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471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2,881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30,405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11,954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1,208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4,088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55,188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1,753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120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292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427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361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1,785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13,939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65,245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2,583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7,155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93,659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631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484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878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2,122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4,855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993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10,141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1,170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81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414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419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158 </w:t>
            </w:r>
          </w:p>
        </w:tc>
        <w:tc>
          <w:tcPr>
            <w:tcW w:w="101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257 </w:t>
            </w:r>
          </w:p>
        </w:tc>
        <w:tc>
          <w:tcPr>
            <w:tcW w:w="1188"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1,251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2,458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227 </w:t>
            </w:r>
          </w:p>
        </w:tc>
        <w:tc>
          <w:tcPr>
            <w:tcW w:w="11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59,739 </w:t>
            </w:r>
          </w:p>
        </w:tc>
        <w:tc>
          <w:tcPr>
            <w:tcW w:w="110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66,175 </w:t>
            </w:r>
          </w:p>
        </w:tc>
      </w:tr>
      <w:tr w:rsidR="006B17CC" w:rsidRPr="00674F1C"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66,469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15,785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14,697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71,624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12,837 </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98,930 </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49,644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85,246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9,278 </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88,113 </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512,623 </w:t>
            </w:r>
          </w:p>
        </w:tc>
      </w:tr>
    </w:tbl>
    <w:p w:rsidR="00FF619E" w:rsidRPr="00674F1C" w:rsidRDefault="00FF619E" w:rsidP="00E37F9A">
      <w:pPr>
        <w:spacing w:after="0" w:line="240" w:lineRule="auto"/>
        <w:rPr>
          <w:rFonts w:ascii="Times New Roman" w:hAnsi="Times New Roman" w:cs="Times New Roman"/>
          <w:sz w:val="20"/>
          <w:szCs w:val="20"/>
        </w:rPr>
      </w:pPr>
    </w:p>
    <w:p w:rsidR="00FF619E" w:rsidRPr="00674F1C" w:rsidRDefault="00674F1C" w:rsidP="00674F1C">
      <w:pPr>
        <w:spacing w:after="0" w:line="240" w:lineRule="auto"/>
        <w:jc w:val="center"/>
        <w:rPr>
          <w:rFonts w:ascii="Times New Roman" w:hAnsi="Times New Roman" w:cs="Times New Roman"/>
          <w:sz w:val="20"/>
          <w:szCs w:val="20"/>
        </w:rPr>
      </w:pPr>
      <w:r w:rsidRPr="00E37F9A">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Pr="00E37F9A">
        <w:rPr>
          <w:rFonts w:ascii="Times New Roman" w:hAnsi="Times New Roman" w:cs="Times New Roman"/>
          <w:b/>
          <w:i/>
          <w:sz w:val="24"/>
          <w:szCs w:val="24"/>
        </w:rPr>
        <w:t>.</w:t>
      </w:r>
      <w:r w:rsidR="00551EA9">
        <w:rPr>
          <w:rFonts w:ascii="Times New Roman" w:hAnsi="Times New Roman" w:cs="Times New Roman"/>
          <w:b/>
          <w:i/>
          <w:sz w:val="24"/>
          <w:szCs w:val="24"/>
        </w:rPr>
        <w:t>2i</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674F1C">
        <w:rPr>
          <w:rFonts w:ascii="Times New Roman" w:hAnsi="Times New Roman" w:cs="Times New Roman"/>
          <w:b/>
          <w:i/>
          <w:sz w:val="24"/>
          <w:szCs w:val="24"/>
        </w:rPr>
        <w:t>Trucks, utility vehicles, trailers, motor homes and campers</w:t>
      </w:r>
      <w:r>
        <w:rPr>
          <w:rFonts w:ascii="Times New Roman" w:hAnsi="Times New Roman" w:cs="Times New Roman"/>
          <w:b/>
          <w:i/>
          <w:sz w:val="24"/>
          <w:szCs w:val="24"/>
        </w:rPr>
        <w:t>:</w:t>
      </w:r>
      <w:r w:rsidRPr="00E37F9A">
        <w:rPr>
          <w:rFonts w:ascii="Times New Roman" w:hAnsi="Times New Roman" w:cs="Times New Roman"/>
          <w:b/>
          <w:i/>
          <w:sz w:val="24"/>
          <w:szCs w:val="24"/>
        </w:rPr>
        <w:t xml:space="preserve"> flows from source to destination (US$m</w:t>
      </w:r>
      <w:r>
        <w:rPr>
          <w:rFonts w:ascii="Times New Roman" w:hAnsi="Times New Roman" w:cs="Times New Roman"/>
          <w:b/>
          <w:i/>
          <w:sz w:val="24"/>
          <w:szCs w:val="24"/>
        </w:rPr>
        <w:t>illion, 2011</w:t>
      </w:r>
    </w:p>
    <w:tbl>
      <w:tblPr>
        <w:tblW w:w="13816" w:type="dxa"/>
        <w:tblInd w:w="142" w:type="dxa"/>
        <w:tblLayout w:type="fixed"/>
        <w:tblLook w:val="04A0" w:firstRow="1" w:lastRow="0" w:firstColumn="1" w:lastColumn="0" w:noHBand="0" w:noVBand="1"/>
      </w:tblPr>
      <w:tblGrid>
        <w:gridCol w:w="1701"/>
        <w:gridCol w:w="1474"/>
        <w:gridCol w:w="1064"/>
        <w:gridCol w:w="1064"/>
        <w:gridCol w:w="1064"/>
        <w:gridCol w:w="1064"/>
        <w:gridCol w:w="932"/>
        <w:gridCol w:w="1196"/>
        <w:gridCol w:w="1064"/>
        <w:gridCol w:w="1064"/>
        <w:gridCol w:w="1064"/>
        <w:gridCol w:w="1065"/>
      </w:tblGrid>
      <w:tr w:rsidR="006B17CC" w:rsidRPr="00674F1C"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Destination</w:t>
            </w:r>
          </w:p>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Source</w:t>
            </w:r>
          </w:p>
        </w:tc>
        <w:tc>
          <w:tcPr>
            <w:tcW w:w="147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93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96"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06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247,786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22,722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5,542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547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326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1,138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2,526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1,809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590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15,112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298,097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33,052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14,030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357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75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164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797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48,576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26,417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1,734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14,627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114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960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78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3,035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47,366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8,591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536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223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103,299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151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534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294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1,002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376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6,906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121,911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South Korea</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1,950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165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34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29,221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123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69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466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41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2,723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34,832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3,915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221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516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261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198,825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312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805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7,875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213,104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8,126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591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196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555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343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1,106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79,089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18,102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3,907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9,992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122,005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3,932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169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371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223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583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13,500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151,699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7,094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14,881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192,684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832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7.8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91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495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1,597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25,029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1,212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29,363 </w:t>
            </w:r>
          </w:p>
        </w:tc>
      </w:tr>
      <w:tr w:rsidR="006B17CC" w:rsidRPr="00674F1C" w:rsidTr="00D37224">
        <w:trPr>
          <w:trHeight w:val="300"/>
        </w:trPr>
        <w:tc>
          <w:tcPr>
            <w:tcW w:w="1701"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47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4,009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238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368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564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151 </w:t>
            </w:r>
          </w:p>
        </w:tc>
        <w:tc>
          <w:tcPr>
            <w:tcW w:w="932"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130 </w:t>
            </w:r>
          </w:p>
        </w:tc>
        <w:tc>
          <w:tcPr>
            <w:tcW w:w="1196"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1,863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4,860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959 </w:t>
            </w:r>
          </w:p>
        </w:tc>
        <w:tc>
          <w:tcPr>
            <w:tcW w:w="1064"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209,908 </w:t>
            </w:r>
          </w:p>
        </w:tc>
        <w:tc>
          <w:tcPr>
            <w:tcW w:w="1065" w:type="dxa"/>
            <w:tcBorders>
              <w:top w:val="nil"/>
              <w:left w:val="nil"/>
              <w:bottom w:val="nil"/>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223,050 </w:t>
            </w:r>
          </w:p>
        </w:tc>
      </w:tr>
      <w:tr w:rsidR="006B17CC" w:rsidRPr="00674F1C"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c>
          <w:tcPr>
            <w:tcW w:w="147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338,611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40,515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21,612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106,001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30,741 </w:t>
            </w:r>
          </w:p>
        </w:tc>
        <w:tc>
          <w:tcPr>
            <w:tcW w:w="93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202,719 </w:t>
            </w:r>
          </w:p>
        </w:tc>
        <w:tc>
          <w:tcPr>
            <w:tcW w:w="1196"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99,148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180,814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38,387 </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272,440 </w:t>
            </w:r>
          </w:p>
        </w:tc>
        <w:tc>
          <w:tcPr>
            <w:tcW w:w="106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xml:space="preserve">1,330,989 </w:t>
            </w:r>
          </w:p>
        </w:tc>
      </w:tr>
    </w:tbl>
    <w:p w:rsidR="00D37224" w:rsidRPr="00674F1C" w:rsidRDefault="00D37224" w:rsidP="00E37F9A">
      <w:pPr>
        <w:tabs>
          <w:tab w:val="left" w:pos="2361"/>
          <w:tab w:val="left" w:pos="3425"/>
          <w:tab w:val="left" w:pos="4489"/>
          <w:tab w:val="left" w:pos="5553"/>
          <w:tab w:val="left" w:pos="6617"/>
          <w:tab w:val="left" w:pos="7681"/>
          <w:tab w:val="left" w:pos="8745"/>
          <w:tab w:val="left" w:pos="9809"/>
          <w:tab w:val="left" w:pos="10873"/>
          <w:tab w:val="left" w:pos="11937"/>
          <w:tab w:val="left" w:pos="13001"/>
        </w:tabs>
        <w:spacing w:after="0" w:line="240" w:lineRule="auto"/>
        <w:ind w:left="675"/>
        <w:rPr>
          <w:rFonts w:ascii="Times New Roman" w:eastAsia="Times New Roman" w:hAnsi="Times New Roman" w:cs="Times New Roman"/>
          <w:sz w:val="24"/>
          <w:szCs w:val="24"/>
          <w:lang w:eastAsia="en-AU"/>
        </w:rPr>
      </w:pPr>
    </w:p>
    <w:p w:rsidR="00D37224" w:rsidRPr="00674F1C" w:rsidRDefault="00D37224" w:rsidP="00E37F9A">
      <w:pPr>
        <w:tabs>
          <w:tab w:val="left" w:pos="2361"/>
          <w:tab w:val="left" w:pos="3425"/>
          <w:tab w:val="left" w:pos="4489"/>
          <w:tab w:val="left" w:pos="5553"/>
          <w:tab w:val="left" w:pos="6617"/>
          <w:tab w:val="left" w:pos="7681"/>
          <w:tab w:val="left" w:pos="8745"/>
          <w:tab w:val="left" w:pos="9809"/>
          <w:tab w:val="left" w:pos="10873"/>
          <w:tab w:val="left" w:pos="11937"/>
          <w:tab w:val="left" w:pos="13001"/>
        </w:tabs>
        <w:spacing w:after="0" w:line="240" w:lineRule="auto"/>
        <w:ind w:left="675"/>
        <w:rPr>
          <w:rFonts w:ascii="Times New Roman" w:eastAsia="Times New Roman" w:hAnsi="Times New Roman" w:cs="Times New Roman"/>
          <w:sz w:val="24"/>
          <w:szCs w:val="24"/>
          <w:lang w:eastAsia="en-AU"/>
        </w:rPr>
      </w:pPr>
    </w:p>
    <w:p w:rsidR="00D37224" w:rsidRPr="00674F1C" w:rsidRDefault="00D37224" w:rsidP="00674F1C">
      <w:pPr>
        <w:spacing w:after="0" w:line="240" w:lineRule="auto"/>
        <w:jc w:val="center"/>
        <w:rPr>
          <w:rFonts w:ascii="Times New Roman" w:hAnsi="Times New Roman" w:cs="Times New Roman"/>
          <w:b/>
          <w:i/>
          <w:sz w:val="24"/>
          <w:szCs w:val="24"/>
        </w:rPr>
      </w:pPr>
      <w:r w:rsidRPr="00674F1C">
        <w:rPr>
          <w:rFonts w:ascii="Times New Roman" w:hAnsi="Times New Roman" w:cs="Times New Roman"/>
          <w:b/>
          <w:i/>
          <w:sz w:val="24"/>
          <w:szCs w:val="24"/>
        </w:rPr>
        <w:t xml:space="preserve">Table </w:t>
      </w:r>
      <w:r w:rsidR="0019067E">
        <w:rPr>
          <w:rFonts w:ascii="Times New Roman" w:hAnsi="Times New Roman" w:cs="Times New Roman"/>
          <w:b/>
          <w:i/>
          <w:sz w:val="24"/>
          <w:szCs w:val="24"/>
        </w:rPr>
        <w:t>3</w:t>
      </w:r>
      <w:r w:rsidR="00674F1C" w:rsidRPr="00674F1C">
        <w:rPr>
          <w:rFonts w:ascii="Times New Roman" w:hAnsi="Times New Roman" w:cs="Times New Roman"/>
          <w:b/>
          <w:i/>
          <w:sz w:val="24"/>
          <w:szCs w:val="24"/>
        </w:rPr>
        <w:t>.</w:t>
      </w:r>
      <w:r w:rsidR="00551EA9">
        <w:rPr>
          <w:rFonts w:ascii="Times New Roman" w:hAnsi="Times New Roman" w:cs="Times New Roman"/>
          <w:b/>
          <w:i/>
          <w:sz w:val="24"/>
          <w:szCs w:val="24"/>
        </w:rPr>
        <w:t>3</w:t>
      </w:r>
      <w:r w:rsidRPr="00674F1C">
        <w:rPr>
          <w:rFonts w:ascii="Times New Roman" w:hAnsi="Times New Roman" w:cs="Times New Roman"/>
          <w:b/>
          <w:i/>
          <w:sz w:val="24"/>
          <w:szCs w:val="24"/>
        </w:rPr>
        <w:t xml:space="preserve">. </w:t>
      </w:r>
      <w:r w:rsidR="00674F1C" w:rsidRPr="00674F1C">
        <w:rPr>
          <w:rFonts w:ascii="Times New Roman" w:hAnsi="Times New Roman" w:cs="Times New Roman"/>
          <w:b/>
          <w:i/>
          <w:sz w:val="24"/>
          <w:szCs w:val="24"/>
        </w:rPr>
        <w:t xml:space="preserve"> </w:t>
      </w:r>
      <w:r w:rsidRPr="00674F1C">
        <w:rPr>
          <w:rFonts w:ascii="Times New Roman" w:hAnsi="Times New Roman" w:cs="Times New Roman"/>
          <w:b/>
          <w:i/>
          <w:sz w:val="24"/>
          <w:szCs w:val="24"/>
        </w:rPr>
        <w:t xml:space="preserve">Regional allocation of </w:t>
      </w:r>
      <w:r w:rsidR="00674F1C">
        <w:rPr>
          <w:rFonts w:ascii="Times New Roman" w:hAnsi="Times New Roman" w:cs="Times New Roman"/>
          <w:b/>
          <w:i/>
          <w:sz w:val="24"/>
          <w:szCs w:val="24"/>
        </w:rPr>
        <w:t xml:space="preserve">sales of </w:t>
      </w:r>
      <w:r w:rsidRPr="00674F1C">
        <w:rPr>
          <w:rFonts w:ascii="Times New Roman" w:hAnsi="Times New Roman" w:cs="Times New Roman"/>
          <w:b/>
          <w:i/>
          <w:sz w:val="24"/>
          <w:szCs w:val="24"/>
        </w:rPr>
        <w:t>Canadian-produced motor vehicle commodities (%)</w:t>
      </w:r>
    </w:p>
    <w:tbl>
      <w:tblPr>
        <w:tblW w:w="13816" w:type="dxa"/>
        <w:tblInd w:w="142" w:type="dxa"/>
        <w:tblLayout w:type="fixed"/>
        <w:tblLook w:val="04A0" w:firstRow="1" w:lastRow="0" w:firstColumn="1" w:lastColumn="0" w:noHBand="0" w:noVBand="1"/>
      </w:tblPr>
      <w:tblGrid>
        <w:gridCol w:w="2111"/>
        <w:gridCol w:w="1064"/>
        <w:gridCol w:w="1064"/>
        <w:gridCol w:w="1064"/>
        <w:gridCol w:w="1064"/>
        <w:gridCol w:w="1064"/>
        <w:gridCol w:w="932"/>
        <w:gridCol w:w="1196"/>
        <w:gridCol w:w="1064"/>
        <w:gridCol w:w="1064"/>
        <w:gridCol w:w="1064"/>
        <w:gridCol w:w="1065"/>
      </w:tblGrid>
      <w:tr w:rsidR="00D37224" w:rsidRPr="00E37F9A" w:rsidTr="00D37224">
        <w:trPr>
          <w:trHeight w:val="300"/>
        </w:trPr>
        <w:tc>
          <w:tcPr>
            <w:tcW w:w="2111"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noProof/>
                <w:color w:val="000000"/>
                <w:sz w:val="20"/>
                <w:szCs w:val="20"/>
                <w:lang w:eastAsia="en-AU"/>
              </w:rPr>
            </w:pPr>
            <w:r w:rsidRPr="00674F1C">
              <w:rPr>
                <w:rFonts w:ascii="Times New Roman" w:eastAsia="Times New Roman" w:hAnsi="Times New Roman" w:cs="Times New Roman"/>
                <w:noProof/>
                <w:color w:val="000000"/>
                <w:sz w:val="20"/>
                <w:szCs w:val="20"/>
                <w:lang w:eastAsia="en-AU"/>
              </w:rPr>
              <w:t>Region</w:t>
            </w:r>
          </w:p>
          <w:p w:rsidR="00D37224" w:rsidRPr="00674F1C" w:rsidRDefault="00674F1C" w:rsidP="00E37F9A">
            <w:pPr>
              <w:spacing w:after="0" w:line="24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noProof/>
                <w:color w:val="000000"/>
                <w:sz w:val="20"/>
                <w:szCs w:val="20"/>
                <w:lang w:eastAsia="en-AU"/>
              </w:rPr>
              <w:t>mvh</w:t>
            </w:r>
            <w:r w:rsidR="00D37224" w:rsidRPr="00674F1C">
              <w:rPr>
                <w:rFonts w:ascii="Times New Roman" w:eastAsia="Times New Roman" w:hAnsi="Times New Roman" w:cs="Times New Roman"/>
                <w:noProof/>
                <w:color w:val="000000"/>
                <w:sz w:val="20"/>
                <w:szCs w:val="20"/>
                <w:lang w:eastAsia="en-AU"/>
              </w:rPr>
              <w:t xml:space="preserve"> commodity</w:t>
            </w:r>
            <w:r w:rsidR="00D37224" w:rsidRPr="00674F1C">
              <w:rPr>
                <w:rFonts w:ascii="Times New Roman" w:eastAsia="Times New Roman" w:hAnsi="Times New Roman" w:cs="Times New Roman"/>
                <w:color w:val="000000"/>
                <w:sz w:val="20"/>
                <w:szCs w:val="20"/>
                <w:lang w:eastAsia="en-AU"/>
              </w:rPr>
              <w:t> </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932"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96"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065"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D37224" w:rsidRPr="00E37F9A" w:rsidTr="00D37224">
        <w:trPr>
          <w:trHeight w:val="300"/>
        </w:trPr>
        <w:tc>
          <w:tcPr>
            <w:tcW w:w="2111"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Automobile</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54.3</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38.7</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2.0</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932"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0.9</w:t>
            </w:r>
          </w:p>
        </w:tc>
        <w:tc>
          <w:tcPr>
            <w:tcW w:w="1196"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0.6</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3.0</w:t>
            </w:r>
          </w:p>
        </w:tc>
        <w:tc>
          <w:tcPr>
            <w:tcW w:w="1065" w:type="dxa"/>
            <w:tcBorders>
              <w:top w:val="single" w:sz="4" w:space="0" w:color="auto"/>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MVGasEngPrts</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37.2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56.1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0.5</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1.6</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MVSteerSuspn</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18.3</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78.8</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1.5</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0.5</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0.6</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MVBrakes</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13.9</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84.0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0.3</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0.5</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MVPwrTrTrain</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20.5</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75.8</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1.7</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0.9</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0.7</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MVSeatInter</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91.3</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0.3</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MVMtlStamp</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84.0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3.9</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1.5</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0.5</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1.4</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OthMVParts</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41.5</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54.4</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1.7</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0.6</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0.4</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1.1</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TruckUteTrlr</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68.0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28.9</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0.7</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932"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0.2</w:t>
            </w:r>
          </w:p>
        </w:tc>
        <w:tc>
          <w:tcPr>
            <w:tcW w:w="1196"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0.3</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0.0</w:t>
            </w:r>
          </w:p>
        </w:tc>
        <w:tc>
          <w:tcPr>
            <w:tcW w:w="1064"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1.6</w:t>
            </w:r>
          </w:p>
        </w:tc>
        <w:tc>
          <w:tcPr>
            <w:tcW w:w="1065" w:type="dxa"/>
            <w:tcBorders>
              <w:top w:val="nil"/>
              <w:left w:val="nil"/>
              <w:bottom w:val="nil"/>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r w:rsidR="00D37224" w:rsidRPr="00E37F9A" w:rsidTr="00D37224">
        <w:trPr>
          <w:trHeight w:val="300"/>
        </w:trPr>
        <w:tc>
          <w:tcPr>
            <w:tcW w:w="2111" w:type="dxa"/>
            <w:tcBorders>
              <w:top w:val="single" w:sz="4" w:space="0" w:color="auto"/>
              <w:left w:val="nil"/>
              <w:bottom w:val="single" w:sz="4" w:space="0" w:color="auto"/>
              <w:right w:val="nil"/>
            </w:tcBorders>
            <w:shd w:val="clear" w:color="auto" w:fill="auto"/>
            <w:noWrap/>
            <w:vAlign w:val="bottom"/>
            <w:hideMark/>
          </w:tcPr>
          <w:p w:rsidR="00D37224" w:rsidRPr="00674F1C" w:rsidRDefault="00956573" w:rsidP="00E37F9A">
            <w:pPr>
              <w:spacing w:after="0" w:line="24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All mvh commodities</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52.2</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43.5</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1.4</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932"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0.5</w:t>
            </w:r>
          </w:p>
        </w:tc>
        <w:tc>
          <w:tcPr>
            <w:tcW w:w="1196"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0.4</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0.1</w:t>
            </w:r>
          </w:p>
        </w:tc>
        <w:tc>
          <w:tcPr>
            <w:tcW w:w="1064"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1.7</w:t>
            </w:r>
          </w:p>
        </w:tc>
        <w:tc>
          <w:tcPr>
            <w:tcW w:w="1065"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100.0</w:t>
            </w:r>
          </w:p>
        </w:tc>
      </w:tr>
    </w:tbl>
    <w:p w:rsidR="00D37224" w:rsidRPr="00E37F9A" w:rsidRDefault="00D37224" w:rsidP="00E37F9A">
      <w:pPr>
        <w:spacing w:after="0" w:line="240" w:lineRule="auto"/>
        <w:rPr>
          <w:rFonts w:ascii="Times New Roman" w:hAnsi="Times New Roman" w:cs="Times New Roman"/>
          <w:sz w:val="24"/>
          <w:szCs w:val="24"/>
        </w:rPr>
      </w:pPr>
    </w:p>
    <w:p w:rsidR="00D37224" w:rsidRDefault="00D37224">
      <w:pPr>
        <w:rPr>
          <w:rFonts w:ascii="Times New Roman" w:hAnsi="Times New Roman"/>
          <w:szCs w:val="24"/>
        </w:rPr>
        <w:sectPr w:rsidR="00D37224" w:rsidSect="00D37224">
          <w:pgSz w:w="16838" w:h="11906" w:orient="landscape"/>
          <w:pgMar w:top="1440" w:right="1440" w:bottom="1440" w:left="1440" w:header="708" w:footer="708" w:gutter="0"/>
          <w:cols w:space="708"/>
          <w:docGrid w:linePitch="360"/>
        </w:sectPr>
      </w:pPr>
    </w:p>
    <w:p w:rsidR="0077254E" w:rsidRPr="00E37F9A" w:rsidRDefault="0077254E" w:rsidP="0077254E">
      <w:pPr>
        <w:spacing w:before="120" w:after="0" w:line="240" w:lineRule="auto"/>
        <w:rPr>
          <w:rFonts w:ascii="Times New Roman" w:hAnsi="Times New Roman" w:cs="Times New Roman"/>
          <w:sz w:val="24"/>
          <w:szCs w:val="24"/>
          <w:lang w:eastAsia="en-AU"/>
        </w:rPr>
      </w:pPr>
      <w:r w:rsidRPr="00E37F9A">
        <w:rPr>
          <w:rFonts w:ascii="Times New Roman" w:hAnsi="Times New Roman" w:cs="Times New Roman"/>
          <w:sz w:val="24"/>
          <w:szCs w:val="24"/>
          <w:lang w:eastAsia="en-AU"/>
        </w:rPr>
        <w:lastRenderedPageBreak/>
        <w:t>The table</w:t>
      </w:r>
      <w:r>
        <w:rPr>
          <w:rFonts w:ascii="Times New Roman" w:hAnsi="Times New Roman" w:cs="Times New Roman"/>
          <w:sz w:val="24"/>
          <w:szCs w:val="24"/>
          <w:lang w:eastAsia="en-AU"/>
        </w:rPr>
        <w:t>s</w:t>
      </w:r>
      <w:r w:rsidRPr="00E37F9A">
        <w:rPr>
          <w:rFonts w:ascii="Times New Roman" w:hAnsi="Times New Roman" w:cs="Times New Roman"/>
          <w:sz w:val="24"/>
          <w:szCs w:val="24"/>
          <w:lang w:eastAsia="en-AU"/>
        </w:rPr>
        <w:t xml:space="preserve"> shows </w:t>
      </w:r>
      <w:r>
        <w:rPr>
          <w:rFonts w:ascii="Times New Roman" w:hAnsi="Times New Roman" w:cs="Times New Roman"/>
          <w:sz w:val="24"/>
          <w:szCs w:val="24"/>
          <w:lang w:eastAsia="en-AU"/>
        </w:rPr>
        <w:t>that:</w:t>
      </w:r>
      <w:r w:rsidRPr="00E37F9A">
        <w:rPr>
          <w:rFonts w:ascii="Times New Roman" w:hAnsi="Times New Roman" w:cs="Times New Roman"/>
          <w:sz w:val="24"/>
          <w:szCs w:val="24"/>
          <w:lang w:eastAsia="en-AU"/>
        </w:rPr>
        <w:t xml:space="preserve"> </w:t>
      </w:r>
    </w:p>
    <w:p w:rsidR="0077254E" w:rsidRPr="00E37F9A" w:rsidRDefault="0077254E" w:rsidP="0077254E">
      <w:pPr>
        <w:pStyle w:val="ListParagraph"/>
        <w:numPr>
          <w:ilvl w:val="0"/>
          <w:numId w:val="22"/>
        </w:numPr>
        <w:spacing w:before="120" w:after="0" w:line="240" w:lineRule="auto"/>
        <w:ind w:left="714" w:hanging="357"/>
        <w:contextualSpacing w:val="0"/>
        <w:jc w:val="both"/>
        <w:rPr>
          <w:rFonts w:ascii="Times New Roman" w:hAnsi="Times New Roman" w:cs="Times New Roman"/>
          <w:sz w:val="24"/>
          <w:szCs w:val="24"/>
        </w:rPr>
      </w:pPr>
      <w:r w:rsidRPr="00E37F9A">
        <w:rPr>
          <w:rFonts w:ascii="Times New Roman" w:hAnsi="Times New Roman" w:cs="Times New Roman"/>
          <w:sz w:val="24"/>
          <w:szCs w:val="24"/>
        </w:rPr>
        <w:t xml:space="preserve">Except for automobiles, most motor vehicle commodities are used mainly in the countries where they are produced. </w:t>
      </w:r>
      <w:r>
        <w:rPr>
          <w:rFonts w:ascii="Times New Roman" w:hAnsi="Times New Roman" w:cs="Times New Roman"/>
          <w:sz w:val="24"/>
          <w:szCs w:val="24"/>
        </w:rPr>
        <w:t xml:space="preserve"> E</w:t>
      </w:r>
      <w:r w:rsidRPr="00E37F9A">
        <w:rPr>
          <w:rFonts w:ascii="Times New Roman" w:hAnsi="Times New Roman" w:cs="Times New Roman"/>
          <w:sz w:val="24"/>
          <w:szCs w:val="24"/>
        </w:rPr>
        <w:t>x</w:t>
      </w:r>
      <w:r>
        <w:rPr>
          <w:rFonts w:ascii="Times New Roman" w:hAnsi="Times New Roman" w:cs="Times New Roman"/>
          <w:sz w:val="24"/>
          <w:szCs w:val="24"/>
        </w:rPr>
        <w:t>ceptions include the production of G</w:t>
      </w:r>
      <w:r w:rsidRPr="00E37F9A">
        <w:rPr>
          <w:rFonts w:ascii="Times New Roman" w:hAnsi="Times New Roman" w:cs="Times New Roman"/>
          <w:sz w:val="24"/>
          <w:szCs w:val="24"/>
        </w:rPr>
        <w:t>as</w:t>
      </w:r>
      <w:r>
        <w:rPr>
          <w:rFonts w:ascii="Times New Roman" w:hAnsi="Times New Roman" w:cs="Times New Roman"/>
          <w:sz w:val="24"/>
          <w:szCs w:val="24"/>
        </w:rPr>
        <w:t>oline</w:t>
      </w:r>
      <w:r w:rsidRPr="00E37F9A">
        <w:rPr>
          <w:rFonts w:ascii="Times New Roman" w:hAnsi="Times New Roman" w:cs="Times New Roman"/>
          <w:sz w:val="24"/>
          <w:szCs w:val="24"/>
        </w:rPr>
        <w:t xml:space="preserve"> engines by Mexico and the UK</w:t>
      </w:r>
      <w:r>
        <w:rPr>
          <w:rFonts w:ascii="Times New Roman" w:hAnsi="Times New Roman" w:cs="Times New Roman"/>
          <w:sz w:val="24"/>
          <w:szCs w:val="24"/>
        </w:rPr>
        <w:t xml:space="preserve">.  This production is mainly exported, to the USA in the case of Mexico, and to Germany and EU26 in the case of the UK.   Another exception is the production Trucks etc by Canada and Mexico, which is absorbed mainly by the USA.  </w:t>
      </w:r>
      <w:r w:rsidRPr="00E37F9A">
        <w:rPr>
          <w:rFonts w:ascii="Times New Roman" w:hAnsi="Times New Roman" w:cs="Times New Roman"/>
          <w:sz w:val="24"/>
          <w:szCs w:val="24"/>
        </w:rPr>
        <w:t xml:space="preserve"> </w:t>
      </w:r>
    </w:p>
    <w:p w:rsidR="0077254E" w:rsidRPr="00E37F9A" w:rsidRDefault="0077254E" w:rsidP="0077254E">
      <w:pPr>
        <w:pStyle w:val="ListParagraph"/>
        <w:numPr>
          <w:ilvl w:val="0"/>
          <w:numId w:val="22"/>
        </w:numPr>
        <w:spacing w:before="120" w:after="0" w:line="240" w:lineRule="auto"/>
        <w:ind w:left="714" w:hanging="357"/>
        <w:contextualSpacing w:val="0"/>
        <w:jc w:val="both"/>
        <w:rPr>
          <w:rFonts w:ascii="Times New Roman" w:hAnsi="Times New Roman" w:cs="Times New Roman"/>
          <w:sz w:val="24"/>
          <w:szCs w:val="24"/>
        </w:rPr>
      </w:pPr>
      <w:r w:rsidRPr="00E37F9A">
        <w:rPr>
          <w:rFonts w:ascii="Times New Roman" w:hAnsi="Times New Roman" w:cs="Times New Roman"/>
          <w:sz w:val="24"/>
          <w:szCs w:val="24"/>
        </w:rPr>
        <w:t xml:space="preserve">Automobiles, as a finished product, are mainly used outside of their source regions. </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For example, the USA is the main user of automobiles produced by Canada and Mexico. </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Rest of World is the main user of automobiles produced by Japan and South Korea. EU26 is the main user of automobiles produced by Germany and the UK. </w:t>
      </w:r>
    </w:p>
    <w:p w:rsidR="0077254E" w:rsidRDefault="0077254E" w:rsidP="0077254E">
      <w:pPr>
        <w:pStyle w:val="ListParagraph"/>
        <w:numPr>
          <w:ilvl w:val="0"/>
          <w:numId w:val="22"/>
        </w:numPr>
        <w:spacing w:before="12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With regard to finished</w:t>
      </w:r>
      <w:r w:rsidRPr="00E37F9A">
        <w:rPr>
          <w:rFonts w:ascii="Times New Roman" w:hAnsi="Times New Roman" w:cs="Times New Roman"/>
          <w:sz w:val="24"/>
          <w:szCs w:val="24"/>
        </w:rPr>
        <w:t xml:space="preserve"> products, </w:t>
      </w:r>
      <w:r>
        <w:rPr>
          <w:rFonts w:ascii="Times New Roman" w:hAnsi="Times New Roman" w:cs="Times New Roman"/>
          <w:sz w:val="24"/>
          <w:szCs w:val="24"/>
        </w:rPr>
        <w:t xml:space="preserve">EU26 and Germany are the biggest producers of </w:t>
      </w:r>
      <w:r w:rsidRPr="00E37F9A">
        <w:rPr>
          <w:rFonts w:ascii="Times New Roman" w:hAnsi="Times New Roman" w:cs="Times New Roman"/>
          <w:sz w:val="24"/>
          <w:szCs w:val="24"/>
        </w:rPr>
        <w:t xml:space="preserve"> </w:t>
      </w:r>
      <w:r>
        <w:rPr>
          <w:rFonts w:ascii="Times New Roman" w:hAnsi="Times New Roman" w:cs="Times New Roman"/>
          <w:sz w:val="24"/>
          <w:szCs w:val="24"/>
        </w:rPr>
        <w:t>A</w:t>
      </w:r>
      <w:r w:rsidRPr="00E37F9A">
        <w:rPr>
          <w:rFonts w:ascii="Times New Roman" w:hAnsi="Times New Roman" w:cs="Times New Roman"/>
          <w:sz w:val="24"/>
          <w:szCs w:val="24"/>
        </w:rPr>
        <w:t>utomobiles</w:t>
      </w:r>
      <w:r>
        <w:rPr>
          <w:rFonts w:ascii="Times New Roman" w:hAnsi="Times New Roman" w:cs="Times New Roman"/>
          <w:sz w:val="24"/>
          <w:szCs w:val="24"/>
        </w:rPr>
        <w:t>, while the USA and China are the biggest producers of</w:t>
      </w:r>
      <w:r w:rsidRPr="00E37F9A">
        <w:rPr>
          <w:rFonts w:ascii="Times New Roman" w:hAnsi="Times New Roman" w:cs="Times New Roman"/>
          <w:sz w:val="24"/>
          <w:szCs w:val="24"/>
        </w:rPr>
        <w:t xml:space="preserve"> </w:t>
      </w:r>
      <w:r>
        <w:rPr>
          <w:rFonts w:ascii="Times New Roman" w:hAnsi="Times New Roman" w:cs="Times New Roman"/>
          <w:sz w:val="24"/>
          <w:szCs w:val="24"/>
        </w:rPr>
        <w:t>Tr</w:t>
      </w:r>
      <w:r w:rsidRPr="00E37F9A">
        <w:rPr>
          <w:rFonts w:ascii="Times New Roman" w:hAnsi="Times New Roman" w:cs="Times New Roman"/>
          <w:sz w:val="24"/>
          <w:szCs w:val="24"/>
        </w:rPr>
        <w:t>ucks, utility vehicles, trailers, motor homes and campers</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 Japan and China are </w:t>
      </w:r>
      <w:r>
        <w:rPr>
          <w:rFonts w:ascii="Times New Roman" w:hAnsi="Times New Roman" w:cs="Times New Roman"/>
          <w:sz w:val="24"/>
          <w:szCs w:val="24"/>
        </w:rPr>
        <w:t>the biggest producers of nearly all mvh</w:t>
      </w:r>
      <w:r w:rsidRPr="00E37F9A">
        <w:rPr>
          <w:rFonts w:ascii="Times New Roman" w:hAnsi="Times New Roman" w:cs="Times New Roman"/>
          <w:sz w:val="24"/>
          <w:szCs w:val="24"/>
        </w:rPr>
        <w:t xml:space="preserve"> components. </w:t>
      </w:r>
    </w:p>
    <w:p w:rsidR="0077254E" w:rsidRPr="0077254E" w:rsidRDefault="0077254E" w:rsidP="0077254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tables can be converted to percentages in either the row direction or the column direction to highlight sales and demand patterns.  We can also create new tables to highlight the data for all products for a particular country.  This is done in Table 3.3 which shows destination percentages in the sales of Canadian mvh products.  The table shows that </w:t>
      </w:r>
      <w:r w:rsidRPr="00E37F9A">
        <w:rPr>
          <w:rFonts w:ascii="Times New Roman" w:hAnsi="Times New Roman" w:cs="Times New Roman"/>
          <w:sz w:val="24"/>
          <w:szCs w:val="24"/>
        </w:rPr>
        <w:t xml:space="preserve">the USA is by far the biggest </w:t>
      </w:r>
      <w:r>
        <w:rPr>
          <w:rFonts w:ascii="Times New Roman" w:hAnsi="Times New Roman" w:cs="Times New Roman"/>
          <w:sz w:val="24"/>
          <w:szCs w:val="24"/>
        </w:rPr>
        <w:t>export market for</w:t>
      </w:r>
      <w:r w:rsidRPr="00E37F9A">
        <w:rPr>
          <w:rFonts w:ascii="Times New Roman" w:hAnsi="Times New Roman" w:cs="Times New Roman"/>
          <w:sz w:val="24"/>
          <w:szCs w:val="24"/>
        </w:rPr>
        <w:t xml:space="preserve"> Canadian </w:t>
      </w:r>
      <w:r>
        <w:rPr>
          <w:rFonts w:ascii="Times New Roman" w:hAnsi="Times New Roman" w:cs="Times New Roman"/>
          <w:sz w:val="24"/>
          <w:szCs w:val="24"/>
        </w:rPr>
        <w:t xml:space="preserve">mvh </w:t>
      </w:r>
      <w:r w:rsidRPr="00E37F9A">
        <w:rPr>
          <w:rFonts w:ascii="Times New Roman" w:hAnsi="Times New Roman" w:cs="Times New Roman"/>
          <w:sz w:val="24"/>
          <w:szCs w:val="24"/>
        </w:rPr>
        <w:t xml:space="preserve">products. </w:t>
      </w:r>
      <w:r>
        <w:rPr>
          <w:rFonts w:ascii="Times New Roman" w:hAnsi="Times New Roman" w:cs="Times New Roman"/>
          <w:sz w:val="24"/>
          <w:szCs w:val="24"/>
        </w:rPr>
        <w:t xml:space="preserve"> </w:t>
      </w:r>
      <w:r w:rsidRPr="00E37F9A">
        <w:rPr>
          <w:rFonts w:ascii="Times New Roman" w:hAnsi="Times New Roman" w:cs="Times New Roman"/>
          <w:sz w:val="24"/>
          <w:szCs w:val="24"/>
        </w:rPr>
        <w:t>Exports to the USA comprise more than half of Canad</w:t>
      </w:r>
      <w:r>
        <w:rPr>
          <w:rFonts w:ascii="Times New Roman" w:hAnsi="Times New Roman" w:cs="Times New Roman"/>
          <w:sz w:val="24"/>
          <w:szCs w:val="24"/>
        </w:rPr>
        <w:t>ian</w:t>
      </w:r>
      <w:r w:rsidRPr="00E37F9A">
        <w:rPr>
          <w:rFonts w:ascii="Times New Roman" w:hAnsi="Times New Roman" w:cs="Times New Roman"/>
          <w:sz w:val="24"/>
          <w:szCs w:val="24"/>
        </w:rPr>
        <w:t xml:space="preserve"> </w:t>
      </w:r>
      <w:r>
        <w:rPr>
          <w:rFonts w:ascii="Times New Roman" w:hAnsi="Times New Roman" w:cs="Times New Roman"/>
          <w:sz w:val="24"/>
          <w:szCs w:val="24"/>
        </w:rPr>
        <w:t>A</w:t>
      </w:r>
      <w:r w:rsidRPr="00E37F9A">
        <w:rPr>
          <w:rFonts w:ascii="Times New Roman" w:hAnsi="Times New Roman" w:cs="Times New Roman"/>
          <w:sz w:val="24"/>
          <w:szCs w:val="24"/>
        </w:rPr>
        <w:t>utomobiles</w:t>
      </w:r>
      <w:r>
        <w:rPr>
          <w:rFonts w:ascii="Times New Roman" w:hAnsi="Times New Roman" w:cs="Times New Roman"/>
          <w:sz w:val="24"/>
          <w:szCs w:val="24"/>
        </w:rPr>
        <w:t xml:space="preserve"> and T</w:t>
      </w:r>
      <w:r w:rsidRPr="00E37F9A">
        <w:rPr>
          <w:rFonts w:ascii="Times New Roman" w:hAnsi="Times New Roman" w:cs="Times New Roman"/>
          <w:sz w:val="24"/>
          <w:szCs w:val="24"/>
        </w:rPr>
        <w:t>rucks</w:t>
      </w:r>
      <w:r>
        <w:rPr>
          <w:rFonts w:ascii="Times New Roman" w:hAnsi="Times New Roman" w:cs="Times New Roman"/>
          <w:sz w:val="24"/>
          <w:szCs w:val="24"/>
        </w:rPr>
        <w:t xml:space="preserve"> etc, and over a third of Canadian Gasoline </w:t>
      </w:r>
      <w:r w:rsidRPr="00E37F9A">
        <w:rPr>
          <w:rFonts w:ascii="Times New Roman" w:hAnsi="Times New Roman" w:cs="Times New Roman"/>
          <w:sz w:val="24"/>
          <w:szCs w:val="24"/>
        </w:rPr>
        <w:t>engines and Other motor vehicle parts</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 In total, exports to the USA comprise</w:t>
      </w:r>
      <w:r>
        <w:rPr>
          <w:rFonts w:ascii="Times New Roman" w:hAnsi="Times New Roman" w:cs="Times New Roman"/>
          <w:sz w:val="24"/>
          <w:szCs w:val="24"/>
        </w:rPr>
        <w:t xml:space="preserve"> 52.2 per cent of Canada’s mvh output and </w:t>
      </w:r>
      <w:r w:rsidRPr="00E37F9A">
        <w:rPr>
          <w:rFonts w:ascii="Times New Roman" w:hAnsi="Times New Roman" w:cs="Times New Roman"/>
          <w:sz w:val="24"/>
          <w:szCs w:val="24"/>
        </w:rPr>
        <w:t>about 90 per cent of Canada</w:t>
      </w:r>
      <w:r>
        <w:rPr>
          <w:rFonts w:ascii="Times New Roman" w:hAnsi="Times New Roman" w:cs="Times New Roman"/>
          <w:sz w:val="24"/>
          <w:szCs w:val="24"/>
        </w:rPr>
        <w:t>’s</w:t>
      </w:r>
      <w:r w:rsidRPr="00E37F9A">
        <w:rPr>
          <w:rFonts w:ascii="Times New Roman" w:hAnsi="Times New Roman" w:cs="Times New Roman"/>
          <w:sz w:val="24"/>
          <w:szCs w:val="24"/>
        </w:rPr>
        <w:t xml:space="preserve"> </w:t>
      </w:r>
      <w:r>
        <w:rPr>
          <w:rFonts w:ascii="Times New Roman" w:hAnsi="Times New Roman" w:cs="Times New Roman"/>
          <w:sz w:val="24"/>
          <w:szCs w:val="24"/>
        </w:rPr>
        <w:t>mvh</w:t>
      </w:r>
      <w:r w:rsidRPr="00E37F9A">
        <w:rPr>
          <w:rFonts w:ascii="Times New Roman" w:hAnsi="Times New Roman" w:cs="Times New Roman"/>
          <w:sz w:val="24"/>
          <w:szCs w:val="24"/>
        </w:rPr>
        <w:t xml:space="preserve"> exports. </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RoW and Mexico rank second and third among </w:t>
      </w:r>
      <w:r>
        <w:rPr>
          <w:rFonts w:ascii="Times New Roman" w:hAnsi="Times New Roman" w:cs="Times New Roman"/>
          <w:sz w:val="24"/>
          <w:szCs w:val="24"/>
        </w:rPr>
        <w:t>export markets for</w:t>
      </w:r>
      <w:r w:rsidRPr="00E37F9A">
        <w:rPr>
          <w:rFonts w:ascii="Times New Roman" w:hAnsi="Times New Roman" w:cs="Times New Roman"/>
          <w:sz w:val="24"/>
          <w:szCs w:val="24"/>
        </w:rPr>
        <w:t xml:space="preserve"> Canada</w:t>
      </w:r>
      <w:r>
        <w:rPr>
          <w:rFonts w:ascii="Times New Roman" w:hAnsi="Times New Roman" w:cs="Times New Roman"/>
          <w:sz w:val="24"/>
          <w:szCs w:val="24"/>
        </w:rPr>
        <w:t>’s</w:t>
      </w:r>
      <w:r w:rsidRPr="00E37F9A">
        <w:rPr>
          <w:rFonts w:ascii="Times New Roman" w:hAnsi="Times New Roman" w:cs="Times New Roman"/>
          <w:sz w:val="24"/>
          <w:szCs w:val="24"/>
        </w:rPr>
        <w:t xml:space="preserve"> </w:t>
      </w:r>
      <w:r>
        <w:rPr>
          <w:rFonts w:ascii="Times New Roman" w:hAnsi="Times New Roman" w:cs="Times New Roman"/>
          <w:sz w:val="24"/>
          <w:szCs w:val="24"/>
        </w:rPr>
        <w:t>mvh products.  But exports to these markets account for only small</w:t>
      </w:r>
      <w:r w:rsidRPr="00E37F9A">
        <w:rPr>
          <w:rFonts w:ascii="Times New Roman" w:hAnsi="Times New Roman" w:cs="Times New Roman"/>
          <w:sz w:val="24"/>
          <w:szCs w:val="24"/>
        </w:rPr>
        <w:t xml:space="preserve"> shares </w:t>
      </w:r>
      <w:r>
        <w:rPr>
          <w:rFonts w:ascii="Times New Roman" w:hAnsi="Times New Roman" w:cs="Times New Roman"/>
          <w:sz w:val="24"/>
          <w:szCs w:val="24"/>
        </w:rPr>
        <w:t>of Canadian output</w:t>
      </w:r>
      <w:r w:rsidRPr="00E37F9A">
        <w:rPr>
          <w:rFonts w:ascii="Times New Roman" w:hAnsi="Times New Roman" w:cs="Times New Roman"/>
          <w:sz w:val="24"/>
          <w:szCs w:val="24"/>
        </w:rPr>
        <w:t xml:space="preserve"> (</w:t>
      </w:r>
      <w:r>
        <w:rPr>
          <w:rFonts w:ascii="Times New Roman" w:hAnsi="Times New Roman" w:cs="Times New Roman"/>
          <w:sz w:val="24"/>
          <w:szCs w:val="24"/>
        </w:rPr>
        <w:t>1.7 and 1.4 per cent)</w:t>
      </w:r>
      <w:r w:rsidRPr="00E37F9A">
        <w:rPr>
          <w:rFonts w:ascii="Times New Roman" w:hAnsi="Times New Roman" w:cs="Times New Roman"/>
          <w:sz w:val="24"/>
          <w:szCs w:val="24"/>
        </w:rPr>
        <w:t xml:space="preserve">.  </w:t>
      </w:r>
    </w:p>
    <w:p w:rsidR="00122077" w:rsidRDefault="00122077" w:rsidP="00122077">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4</w:t>
      </w:r>
      <w:r w:rsidRPr="003B7386">
        <w:rPr>
          <w:rFonts w:ascii="Times New Roman" w:hAnsi="Times New Roman" w:cs="Times New Roman"/>
          <w:b/>
          <w:sz w:val="24"/>
          <w:szCs w:val="24"/>
        </w:rPr>
        <w:t xml:space="preserve">.  </w:t>
      </w:r>
      <w:r>
        <w:rPr>
          <w:rFonts w:ascii="Times New Roman" w:hAnsi="Times New Roman" w:cs="Times New Roman"/>
          <w:b/>
          <w:sz w:val="24"/>
          <w:szCs w:val="24"/>
        </w:rPr>
        <w:t>Concluding remarks</w:t>
      </w:r>
    </w:p>
    <w:p w:rsidR="005F293F" w:rsidRPr="00C75576" w:rsidRDefault="00A710AF" w:rsidP="00A710AF">
      <w:pPr>
        <w:spacing w:before="120" w:after="0" w:line="240" w:lineRule="auto"/>
        <w:rPr>
          <w:rFonts w:ascii="Times New Roman" w:hAnsi="Times New Roman"/>
          <w:sz w:val="24"/>
          <w:szCs w:val="24"/>
        </w:rPr>
      </w:pPr>
      <w:r w:rsidRPr="00C75576">
        <w:rPr>
          <w:rFonts w:ascii="Times New Roman" w:hAnsi="Times New Roman"/>
          <w:sz w:val="24"/>
          <w:szCs w:val="24"/>
        </w:rPr>
        <w:t>In this paper we have described modifications to the theory and database of the GTAP model to enhance its value as a tool for analysing the effects on Canada and other countries of changes in U.S. protection</w:t>
      </w:r>
      <w:r w:rsidR="005F293F" w:rsidRPr="00C75576">
        <w:rPr>
          <w:rFonts w:ascii="Times New Roman" w:hAnsi="Times New Roman"/>
          <w:sz w:val="24"/>
          <w:szCs w:val="24"/>
        </w:rPr>
        <w:t>,</w:t>
      </w:r>
      <w:r w:rsidRPr="00C75576">
        <w:rPr>
          <w:rFonts w:ascii="Times New Roman" w:hAnsi="Times New Roman"/>
          <w:sz w:val="24"/>
          <w:szCs w:val="24"/>
        </w:rPr>
        <w:t xml:space="preserve"> particularly in the motor vehicle sector.  </w:t>
      </w:r>
    </w:p>
    <w:p w:rsidR="00A710AF" w:rsidRPr="00C75576" w:rsidRDefault="005F293F" w:rsidP="00A710AF">
      <w:pPr>
        <w:spacing w:before="120" w:after="0" w:line="240" w:lineRule="auto"/>
        <w:rPr>
          <w:rFonts w:ascii="Times New Roman" w:hAnsi="Times New Roman"/>
          <w:sz w:val="24"/>
          <w:szCs w:val="24"/>
        </w:rPr>
      </w:pPr>
      <w:r w:rsidRPr="00C75576">
        <w:rPr>
          <w:rFonts w:ascii="Times New Roman" w:hAnsi="Times New Roman"/>
          <w:sz w:val="24"/>
          <w:szCs w:val="24"/>
        </w:rPr>
        <w:t xml:space="preserve">The most important theoretical innovation was the introduction to GTAP of industry-specific capital.  This innovation was achieved quite simply mainly by a closure swap with little disruption to the standard model: the key idea was to endogenize a phantom tax on the use of capital by each industry in each region while exogenizing or pre-determining start-of-year capital availability in each industry and each region.  A simplifying assumption that we retained from standard GTAP is that the commodity composition of investment is the same across industries in any given region.    </w:t>
      </w:r>
    </w:p>
    <w:p w:rsidR="00AF2C8D" w:rsidRPr="00C75576" w:rsidRDefault="00AF2C8D" w:rsidP="00A710AF">
      <w:pPr>
        <w:spacing w:before="120" w:after="0" w:line="240" w:lineRule="auto"/>
        <w:rPr>
          <w:rFonts w:ascii="Times New Roman" w:hAnsi="Times New Roman"/>
          <w:sz w:val="24"/>
          <w:szCs w:val="24"/>
        </w:rPr>
      </w:pPr>
      <w:r w:rsidRPr="00C75576">
        <w:rPr>
          <w:rFonts w:ascii="Times New Roman" w:hAnsi="Times New Roman"/>
          <w:sz w:val="24"/>
          <w:szCs w:val="24"/>
        </w:rPr>
        <w:t xml:space="preserve">With regard to </w:t>
      </w:r>
      <w:r w:rsidR="00C75576">
        <w:rPr>
          <w:rFonts w:ascii="Times New Roman" w:hAnsi="Times New Roman"/>
          <w:sz w:val="24"/>
          <w:szCs w:val="24"/>
        </w:rPr>
        <w:t xml:space="preserve">the GTAP database, we specified a new method for </w:t>
      </w:r>
      <w:r w:rsidRPr="00C75576">
        <w:rPr>
          <w:rFonts w:ascii="Times New Roman" w:hAnsi="Times New Roman"/>
          <w:sz w:val="24"/>
          <w:szCs w:val="24"/>
        </w:rPr>
        <w:t>disaggregat</w:t>
      </w:r>
      <w:r w:rsidR="00C75576">
        <w:rPr>
          <w:rFonts w:ascii="Times New Roman" w:hAnsi="Times New Roman"/>
          <w:sz w:val="24"/>
          <w:szCs w:val="24"/>
        </w:rPr>
        <w:t>ing</w:t>
      </w:r>
      <w:r w:rsidRPr="00C75576">
        <w:rPr>
          <w:rFonts w:ascii="Times New Roman" w:hAnsi="Times New Roman"/>
          <w:sz w:val="24"/>
          <w:szCs w:val="24"/>
        </w:rPr>
        <w:t xml:space="preserve"> industries</w:t>
      </w:r>
      <w:r w:rsidR="00C75576">
        <w:rPr>
          <w:rFonts w:ascii="Times New Roman" w:hAnsi="Times New Roman"/>
          <w:sz w:val="24"/>
          <w:szCs w:val="24"/>
        </w:rPr>
        <w:t>.</w:t>
      </w:r>
      <w:r w:rsidRPr="00C75576">
        <w:rPr>
          <w:rFonts w:ascii="Times New Roman" w:hAnsi="Times New Roman"/>
          <w:sz w:val="24"/>
          <w:szCs w:val="24"/>
        </w:rPr>
        <w:t xml:space="preserve"> </w:t>
      </w:r>
      <w:r w:rsidR="00C75576">
        <w:rPr>
          <w:rFonts w:ascii="Times New Roman" w:hAnsi="Times New Roman"/>
          <w:sz w:val="24"/>
          <w:szCs w:val="24"/>
        </w:rPr>
        <w:t xml:space="preserve">The method </w:t>
      </w:r>
      <w:r w:rsidRPr="00C75576">
        <w:rPr>
          <w:rFonts w:ascii="Times New Roman" w:hAnsi="Times New Roman"/>
          <w:sz w:val="24"/>
          <w:szCs w:val="24"/>
        </w:rPr>
        <w:t xml:space="preserve">makes maximum use of trade data that </w:t>
      </w:r>
      <w:r w:rsidR="009C6662" w:rsidRPr="00C75576">
        <w:rPr>
          <w:rFonts w:ascii="Times New Roman" w:hAnsi="Times New Roman"/>
          <w:sz w:val="24"/>
          <w:szCs w:val="24"/>
        </w:rPr>
        <w:t>are</w:t>
      </w:r>
      <w:r w:rsidRPr="00C75576">
        <w:rPr>
          <w:rFonts w:ascii="Times New Roman" w:hAnsi="Times New Roman"/>
          <w:sz w:val="24"/>
          <w:szCs w:val="24"/>
        </w:rPr>
        <w:t xml:space="preserve"> readily available at a highly disaggregated level.  </w:t>
      </w:r>
      <w:r w:rsidR="00C75576">
        <w:rPr>
          <w:rFonts w:ascii="Times New Roman" w:hAnsi="Times New Roman"/>
          <w:sz w:val="24"/>
          <w:szCs w:val="24"/>
        </w:rPr>
        <w:t>It</w:t>
      </w:r>
      <w:r w:rsidRPr="00C75576">
        <w:rPr>
          <w:rFonts w:ascii="Times New Roman" w:hAnsi="Times New Roman"/>
          <w:sz w:val="24"/>
          <w:szCs w:val="24"/>
        </w:rPr>
        <w:t xml:space="preserve"> also uses detailed input-output data that are available for a few countries including Canada and the U.S.  We demonstrated the new method by disaggregating the single mvh industry in standard GTAP into 9 industries.  These 9 industries are part of the newly created GTAP-MVH model which has 26 industries in total and 10 region</w:t>
      </w:r>
      <w:r w:rsidR="009C6662" w:rsidRPr="00C75576">
        <w:rPr>
          <w:rFonts w:ascii="Times New Roman" w:hAnsi="Times New Roman"/>
          <w:sz w:val="24"/>
          <w:szCs w:val="24"/>
        </w:rPr>
        <w:t>s.</w:t>
      </w:r>
      <w:r w:rsidRPr="00C75576">
        <w:rPr>
          <w:rFonts w:ascii="Times New Roman" w:hAnsi="Times New Roman"/>
          <w:sz w:val="24"/>
          <w:szCs w:val="24"/>
        </w:rPr>
        <w:t xml:space="preserve">   </w:t>
      </w:r>
    </w:p>
    <w:p w:rsidR="00A710AF" w:rsidRPr="0077254E" w:rsidRDefault="00A710AF" w:rsidP="00A710AF">
      <w:pPr>
        <w:spacing w:before="120" w:after="0" w:line="240" w:lineRule="auto"/>
        <w:rPr>
          <w:rFonts w:ascii="Times New Roman" w:hAnsi="Times New Roman"/>
          <w:sz w:val="24"/>
          <w:szCs w:val="24"/>
        </w:rPr>
      </w:pPr>
      <w:r w:rsidRPr="00C75576">
        <w:rPr>
          <w:rFonts w:ascii="Times New Roman" w:hAnsi="Times New Roman"/>
          <w:sz w:val="24"/>
          <w:szCs w:val="24"/>
        </w:rPr>
        <w:t xml:space="preserve">The work reported in the paper can be deepened and improved in two directions.  First, the new model, GTAP-MVH, needs to be applied in real-world policy situations.  Only then will </w:t>
      </w:r>
      <w:r w:rsidR="0019067E" w:rsidRPr="00C75576">
        <w:rPr>
          <w:rFonts w:ascii="Times New Roman" w:hAnsi="Times New Roman"/>
          <w:sz w:val="24"/>
          <w:szCs w:val="24"/>
        </w:rPr>
        <w:t>its</w:t>
      </w:r>
      <w:r w:rsidRPr="00C75576">
        <w:rPr>
          <w:rFonts w:ascii="Times New Roman" w:hAnsi="Times New Roman"/>
          <w:sz w:val="24"/>
          <w:szCs w:val="24"/>
        </w:rPr>
        <w:t xml:space="preserve"> strengths and weaknesses be revealed.  Application is the main avenue through which </w:t>
      </w:r>
      <w:r w:rsidRPr="00C75576">
        <w:rPr>
          <w:rFonts w:ascii="Times New Roman" w:hAnsi="Times New Roman"/>
          <w:sz w:val="24"/>
          <w:szCs w:val="24"/>
        </w:rPr>
        <w:lastRenderedPageBreak/>
        <w:t>areas for improvement in both theory and data are pinpointed.</w:t>
      </w:r>
      <w:r w:rsidR="009C6662" w:rsidRPr="00C75576">
        <w:rPr>
          <w:rFonts w:ascii="Times New Roman" w:hAnsi="Times New Roman"/>
          <w:sz w:val="24"/>
          <w:szCs w:val="24"/>
        </w:rPr>
        <w:t xml:space="preserve">  </w:t>
      </w:r>
      <w:r w:rsidR="006E3A87">
        <w:rPr>
          <w:rFonts w:ascii="Times New Roman" w:hAnsi="Times New Roman"/>
          <w:sz w:val="24"/>
          <w:szCs w:val="24"/>
        </w:rPr>
        <w:t xml:space="preserve">We have started the process of illustrative applications with two tariff simulations that were performed after we completed the main paper.  Results from the two simulations are in Appendix 2.  </w:t>
      </w:r>
      <w:r w:rsidR="009C6662" w:rsidRPr="00C75576">
        <w:rPr>
          <w:rFonts w:ascii="Times New Roman" w:hAnsi="Times New Roman"/>
          <w:sz w:val="24"/>
          <w:szCs w:val="24"/>
        </w:rPr>
        <w:t xml:space="preserve">Second, detailed analysis is needed on the outcomes from our data disaggregation procedures.  We need to analyse the results for the adjustment factors, ADJ(n,s), used to reconcile disparate information on demand for and supply of disaggregated commodities.  We need to understand in greater depth the sensitivity of our final disaggregated database to the initial </w:t>
      </w:r>
      <w:r w:rsidR="0019067E" w:rsidRPr="00C75576">
        <w:rPr>
          <w:rFonts w:ascii="Times New Roman" w:hAnsi="Times New Roman"/>
          <w:sz w:val="24"/>
          <w:szCs w:val="24"/>
        </w:rPr>
        <w:t xml:space="preserve">values </w:t>
      </w:r>
      <w:r w:rsidR="009C6662" w:rsidRPr="00C75576">
        <w:rPr>
          <w:rFonts w:ascii="Times New Roman" w:hAnsi="Times New Roman"/>
          <w:sz w:val="24"/>
          <w:szCs w:val="24"/>
        </w:rPr>
        <w:t>for outputs by region and other variables that we feed into our disaggregation equation system.  Analys</w:t>
      </w:r>
      <w:r w:rsidR="004A07EF" w:rsidRPr="00C75576">
        <w:rPr>
          <w:rFonts w:ascii="Times New Roman" w:hAnsi="Times New Roman"/>
          <w:sz w:val="24"/>
          <w:szCs w:val="24"/>
        </w:rPr>
        <w:t>i</w:t>
      </w:r>
      <w:r w:rsidR="009C6662" w:rsidRPr="00C75576">
        <w:rPr>
          <w:rFonts w:ascii="Times New Roman" w:hAnsi="Times New Roman"/>
          <w:sz w:val="24"/>
          <w:szCs w:val="24"/>
        </w:rPr>
        <w:t xml:space="preserve">s of these sensitivities will guide </w:t>
      </w:r>
      <w:r w:rsidR="004A07EF" w:rsidRPr="00C75576">
        <w:rPr>
          <w:rFonts w:ascii="Times New Roman" w:hAnsi="Times New Roman"/>
          <w:sz w:val="24"/>
          <w:szCs w:val="24"/>
        </w:rPr>
        <w:t xml:space="preserve">future research on the </w:t>
      </w:r>
      <w:r w:rsidR="0019067E" w:rsidRPr="00C75576">
        <w:rPr>
          <w:rFonts w:ascii="Times New Roman" w:hAnsi="Times New Roman"/>
          <w:sz w:val="24"/>
          <w:szCs w:val="24"/>
        </w:rPr>
        <w:t>determination of these settings and the search for additional data sources to improve their accuracy.</w:t>
      </w:r>
      <w:r w:rsidR="0019067E" w:rsidRPr="0077254E">
        <w:rPr>
          <w:rFonts w:ascii="Times New Roman" w:hAnsi="Times New Roman"/>
          <w:sz w:val="24"/>
          <w:szCs w:val="24"/>
        </w:rPr>
        <w:t xml:space="preserve">  </w:t>
      </w:r>
      <w:r w:rsidR="004A07EF" w:rsidRPr="0077254E">
        <w:rPr>
          <w:rFonts w:ascii="Times New Roman" w:hAnsi="Times New Roman"/>
          <w:sz w:val="24"/>
          <w:szCs w:val="24"/>
        </w:rPr>
        <w:t xml:space="preserve"> </w:t>
      </w:r>
      <w:r w:rsidR="009C6662" w:rsidRPr="0077254E">
        <w:rPr>
          <w:rFonts w:ascii="Times New Roman" w:hAnsi="Times New Roman"/>
          <w:sz w:val="24"/>
          <w:szCs w:val="24"/>
        </w:rPr>
        <w:t xml:space="preserve"> </w:t>
      </w:r>
      <w:r w:rsidRPr="0077254E">
        <w:rPr>
          <w:rFonts w:ascii="Times New Roman" w:hAnsi="Times New Roman"/>
          <w:sz w:val="24"/>
          <w:szCs w:val="24"/>
        </w:rPr>
        <w:t xml:space="preserve">  </w:t>
      </w:r>
    </w:p>
    <w:p w:rsidR="0077254E" w:rsidRDefault="0077254E">
      <w:pPr>
        <w:rPr>
          <w:rFonts w:ascii="Times New Roman" w:hAnsi="Times New Roman"/>
          <w:b/>
          <w:sz w:val="24"/>
          <w:szCs w:val="24"/>
        </w:rPr>
      </w:pPr>
      <w:r>
        <w:rPr>
          <w:rFonts w:ascii="Times New Roman" w:hAnsi="Times New Roman"/>
          <w:b/>
          <w:sz w:val="24"/>
          <w:szCs w:val="24"/>
        </w:rPr>
        <w:br w:type="page"/>
      </w:r>
    </w:p>
    <w:p w:rsidR="00FA4245" w:rsidRPr="0077254E" w:rsidRDefault="00FA4245" w:rsidP="0077254E">
      <w:pPr>
        <w:spacing w:before="120" w:after="0" w:line="240" w:lineRule="auto"/>
        <w:rPr>
          <w:rFonts w:ascii="Times New Roman" w:hAnsi="Times New Roman"/>
          <w:b/>
          <w:sz w:val="24"/>
          <w:szCs w:val="24"/>
        </w:rPr>
      </w:pPr>
      <w:r w:rsidRPr="0077254E">
        <w:rPr>
          <w:rFonts w:ascii="Times New Roman" w:hAnsi="Times New Roman"/>
          <w:b/>
          <w:sz w:val="24"/>
          <w:szCs w:val="24"/>
        </w:rPr>
        <w:lastRenderedPageBreak/>
        <w:t xml:space="preserve">Appendix </w:t>
      </w:r>
      <w:r w:rsidR="00122077" w:rsidRPr="0077254E">
        <w:rPr>
          <w:rFonts w:ascii="Times New Roman" w:hAnsi="Times New Roman"/>
          <w:b/>
          <w:sz w:val="24"/>
          <w:szCs w:val="24"/>
        </w:rPr>
        <w:t>1</w:t>
      </w:r>
      <w:r w:rsidRPr="0077254E">
        <w:rPr>
          <w:rFonts w:ascii="Times New Roman" w:hAnsi="Times New Roman"/>
          <w:b/>
          <w:sz w:val="24"/>
          <w:szCs w:val="24"/>
        </w:rPr>
        <w:t>.  Inputs to baseline forecast for GTAP-MVH</w:t>
      </w:r>
    </w:p>
    <w:p w:rsidR="00FA4245" w:rsidRPr="0077254E" w:rsidRDefault="00FA4245" w:rsidP="00FA4245">
      <w:pPr>
        <w:spacing w:before="120" w:after="0" w:line="240" w:lineRule="auto"/>
        <w:rPr>
          <w:rFonts w:ascii="Times New Roman" w:hAnsi="Times New Roman" w:cs="Times New Roman"/>
          <w:sz w:val="24"/>
          <w:szCs w:val="24"/>
        </w:rPr>
      </w:pPr>
      <w:r w:rsidRPr="0077254E">
        <w:rPr>
          <w:rFonts w:ascii="Times New Roman" w:hAnsi="Times New Roman" w:cs="Times New Roman"/>
          <w:sz w:val="24"/>
          <w:szCs w:val="24"/>
        </w:rPr>
        <w:t xml:space="preserve">Inputs into the update and baseline forecasts for the 10 regions in GTAP-MVH for the period 2011-2023 include: (i) changes in real GDP; (ii) changes in population; and (iii) changes in </w:t>
      </w:r>
      <w:r w:rsidR="00C75576">
        <w:rPr>
          <w:rFonts w:ascii="Times New Roman" w:hAnsi="Times New Roman" w:cs="Times New Roman"/>
          <w:sz w:val="24"/>
          <w:szCs w:val="24"/>
        </w:rPr>
        <w:t>labor</w:t>
      </w:r>
      <w:r w:rsidRPr="0077254E">
        <w:rPr>
          <w:rFonts w:ascii="Times New Roman" w:hAnsi="Times New Roman" w:cs="Times New Roman"/>
          <w:sz w:val="24"/>
          <w:szCs w:val="24"/>
        </w:rPr>
        <w:t xml:space="preserve"> supply.  In this section we discuss the data sources and our calculations for these inputs. </w:t>
      </w:r>
    </w:p>
    <w:p w:rsidR="00FA4245" w:rsidRPr="00D37224" w:rsidRDefault="00FA4245" w:rsidP="00FA4245">
      <w:pPr>
        <w:pStyle w:val="Heading2"/>
        <w:numPr>
          <w:ilvl w:val="0"/>
          <w:numId w:val="0"/>
        </w:numPr>
        <w:spacing w:before="120" w:after="0" w:line="240" w:lineRule="auto"/>
        <w:ind w:left="576" w:hanging="576"/>
        <w:rPr>
          <w:rFonts w:ascii="Times New Roman" w:hAnsi="Times New Roman"/>
        </w:rPr>
      </w:pPr>
      <w:r w:rsidRPr="00D37224">
        <w:rPr>
          <w:rFonts w:ascii="Times New Roman" w:hAnsi="Times New Roman"/>
        </w:rPr>
        <w:t>A</w:t>
      </w:r>
      <w:r w:rsidR="00A710AF">
        <w:rPr>
          <w:rFonts w:ascii="Times New Roman" w:hAnsi="Times New Roman"/>
        </w:rPr>
        <w:t>1</w:t>
      </w:r>
      <w:r w:rsidRPr="00D37224">
        <w:rPr>
          <w:rFonts w:ascii="Times New Roman" w:hAnsi="Times New Roman"/>
        </w:rPr>
        <w:t xml:space="preserve">.1.  Changes in regional real GDP </w:t>
      </w:r>
    </w:p>
    <w:p w:rsidR="00FA4245" w:rsidRDefault="00A710AF" w:rsidP="00FA4245">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Table A1.1 </w:t>
      </w:r>
      <w:r w:rsidR="00FA4245" w:rsidRPr="007573B1">
        <w:rPr>
          <w:rFonts w:ascii="Times New Roman" w:hAnsi="Times New Roman" w:cs="Times New Roman"/>
          <w:sz w:val="24"/>
          <w:szCs w:val="24"/>
        </w:rPr>
        <w:t xml:space="preserve">reports GDP growth rates over the forecast periods, which are used as shocks in the baseline forecasts. </w:t>
      </w:r>
    </w:p>
    <w:p w:rsidR="00FA4245" w:rsidRDefault="00FA4245" w:rsidP="00FA4245">
      <w:pPr>
        <w:pStyle w:val="Caption"/>
        <w:spacing w:before="120" w:after="120" w:line="240" w:lineRule="auto"/>
        <w:jc w:val="center"/>
        <w:rPr>
          <w:rFonts w:ascii="Times New Roman" w:hAnsi="Times New Roman"/>
          <w:i/>
          <w:sz w:val="24"/>
          <w:szCs w:val="24"/>
        </w:rPr>
      </w:pPr>
      <w:r w:rsidRPr="00D77D78">
        <w:rPr>
          <w:rFonts w:ascii="Times New Roman" w:hAnsi="Times New Roman"/>
          <w:i/>
          <w:sz w:val="24"/>
          <w:szCs w:val="24"/>
        </w:rPr>
        <w:t>Table A</w:t>
      </w:r>
      <w:r w:rsidR="00A710AF">
        <w:rPr>
          <w:rFonts w:ascii="Times New Roman" w:hAnsi="Times New Roman"/>
          <w:i/>
          <w:sz w:val="24"/>
          <w:szCs w:val="24"/>
        </w:rPr>
        <w:t>1</w:t>
      </w:r>
      <w:r w:rsidRPr="00D77D78">
        <w:rPr>
          <w:rFonts w:ascii="Times New Roman" w:hAnsi="Times New Roman"/>
          <w:i/>
          <w:sz w:val="24"/>
          <w:szCs w:val="24"/>
        </w:rPr>
        <w:t>.</w:t>
      </w:r>
      <w:r w:rsidRPr="00D77D78">
        <w:rPr>
          <w:rFonts w:ascii="Times New Roman" w:hAnsi="Times New Roman"/>
          <w:i/>
          <w:sz w:val="24"/>
          <w:szCs w:val="24"/>
        </w:rPr>
        <w:fldChar w:fldCharType="begin"/>
      </w:r>
      <w:r w:rsidRPr="00D77D78">
        <w:rPr>
          <w:rFonts w:ascii="Times New Roman" w:hAnsi="Times New Roman"/>
          <w:i/>
          <w:sz w:val="24"/>
          <w:szCs w:val="24"/>
        </w:rPr>
        <w:instrText xml:space="preserve"> SEQ Table \* ARABIC </w:instrText>
      </w:r>
      <w:r w:rsidRPr="00D77D78">
        <w:rPr>
          <w:rFonts w:ascii="Times New Roman" w:hAnsi="Times New Roman"/>
          <w:i/>
          <w:sz w:val="24"/>
          <w:szCs w:val="24"/>
        </w:rPr>
        <w:fldChar w:fldCharType="separate"/>
      </w:r>
      <w:r w:rsidR="00B33522">
        <w:rPr>
          <w:rFonts w:ascii="Times New Roman" w:hAnsi="Times New Roman"/>
          <w:i/>
          <w:noProof/>
          <w:sz w:val="24"/>
          <w:szCs w:val="24"/>
        </w:rPr>
        <w:t>1</w:t>
      </w:r>
      <w:r w:rsidRPr="00D77D78">
        <w:rPr>
          <w:rFonts w:ascii="Times New Roman" w:hAnsi="Times New Roman"/>
          <w:i/>
          <w:sz w:val="24"/>
          <w:szCs w:val="24"/>
        </w:rPr>
        <w:fldChar w:fldCharType="end"/>
      </w:r>
      <w:r w:rsidRPr="00D77D78">
        <w:rPr>
          <w:rFonts w:ascii="Times New Roman" w:hAnsi="Times New Roman"/>
          <w:i/>
          <w:sz w:val="24"/>
          <w:szCs w:val="24"/>
        </w:rPr>
        <w:t>: Baseline growth rates in real GDP (%)</w:t>
      </w:r>
    </w:p>
    <w:tbl>
      <w:tblPr>
        <w:tblW w:w="8647" w:type="dxa"/>
        <w:tblLook w:val="04A0" w:firstRow="1" w:lastRow="0" w:firstColumn="1" w:lastColumn="0" w:noHBand="0" w:noVBand="1"/>
      </w:tblPr>
      <w:tblGrid>
        <w:gridCol w:w="709"/>
        <w:gridCol w:w="710"/>
        <w:gridCol w:w="850"/>
        <w:gridCol w:w="851"/>
        <w:gridCol w:w="708"/>
        <w:gridCol w:w="992"/>
        <w:gridCol w:w="711"/>
        <w:gridCol w:w="961"/>
        <w:gridCol w:w="851"/>
        <w:gridCol w:w="737"/>
        <w:gridCol w:w="639"/>
      </w:tblGrid>
      <w:tr w:rsidR="00FA4245" w:rsidRPr="0048520C" w:rsidTr="00FA4245">
        <w:trPr>
          <w:trHeight w:val="255"/>
        </w:trPr>
        <w:tc>
          <w:tcPr>
            <w:tcW w:w="709"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Years</w:t>
            </w:r>
          </w:p>
        </w:tc>
        <w:tc>
          <w:tcPr>
            <w:tcW w:w="71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USA</w:t>
            </w:r>
          </w:p>
        </w:tc>
        <w:tc>
          <w:tcPr>
            <w:tcW w:w="85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Canada</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Mexico</w:t>
            </w:r>
          </w:p>
        </w:tc>
        <w:tc>
          <w:tcPr>
            <w:tcW w:w="708"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Japan</w:t>
            </w:r>
          </w:p>
        </w:tc>
        <w:tc>
          <w:tcPr>
            <w:tcW w:w="992"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011E97">
              <w:rPr>
                <w:rFonts w:ascii="Times New Roman" w:eastAsia="Times New Roman" w:hAnsi="Times New Roman" w:cs="Times New Roman"/>
                <w:color w:val="000000"/>
                <w:sz w:val="20"/>
                <w:szCs w:val="20"/>
                <w:lang w:eastAsia="en-AU"/>
              </w:rPr>
              <w:t>S</w:t>
            </w:r>
            <w:r>
              <w:rPr>
                <w:rFonts w:ascii="Times New Roman" w:eastAsia="Times New Roman" w:hAnsi="Times New Roman" w:cs="Times New Roman"/>
                <w:color w:val="000000"/>
                <w:sz w:val="20"/>
                <w:szCs w:val="20"/>
                <w:lang w:eastAsia="en-AU"/>
              </w:rPr>
              <w:t xml:space="preserve">. </w:t>
            </w:r>
            <w:r w:rsidRPr="00011E97">
              <w:rPr>
                <w:rFonts w:ascii="Times New Roman" w:eastAsia="Times New Roman" w:hAnsi="Times New Roman" w:cs="Times New Roman"/>
                <w:color w:val="000000"/>
                <w:sz w:val="20"/>
                <w:szCs w:val="20"/>
                <w:lang w:eastAsia="en-AU"/>
              </w:rPr>
              <w:t>Korea</w:t>
            </w:r>
          </w:p>
        </w:tc>
        <w:tc>
          <w:tcPr>
            <w:tcW w:w="71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China</w:t>
            </w:r>
          </w:p>
        </w:tc>
        <w:tc>
          <w:tcPr>
            <w:tcW w:w="96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Germany</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EU</w:t>
            </w:r>
            <w:r>
              <w:rPr>
                <w:rFonts w:ascii="Times New Roman" w:eastAsia="Times New Roman" w:hAnsi="Times New Roman" w:cs="Times New Roman"/>
                <w:color w:val="000000"/>
                <w:sz w:val="20"/>
                <w:szCs w:val="20"/>
                <w:lang w:eastAsia="en-AU"/>
              </w:rPr>
              <w:t>-</w:t>
            </w:r>
            <w:r w:rsidRPr="0048520C">
              <w:rPr>
                <w:rFonts w:ascii="Times New Roman" w:eastAsia="Times New Roman" w:hAnsi="Times New Roman" w:cs="Times New Roman"/>
                <w:color w:val="000000"/>
                <w:sz w:val="20"/>
                <w:szCs w:val="20"/>
                <w:lang w:eastAsia="en-AU"/>
              </w:rPr>
              <w:t>26</w:t>
            </w:r>
          </w:p>
        </w:tc>
        <w:tc>
          <w:tcPr>
            <w:tcW w:w="737"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UK</w:t>
            </w:r>
          </w:p>
        </w:tc>
        <w:tc>
          <w:tcPr>
            <w:tcW w:w="567"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RoW</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2011</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1.60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3.14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3.66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-0.12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3.68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9.50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3.72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1.22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1.45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7.57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2012</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2.22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1.75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3.64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1.50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2.29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7.90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0.69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-1.13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1.48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3.73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2013</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1.68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2.48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1.35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2.00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2.90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7.80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0.60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-0.24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2.05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3.66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2014</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2.57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2.86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2.85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0.38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3.34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7.30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1.93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1.36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3.05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2.84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2015</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2.86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1.00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3.27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1.35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2.79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6.90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1.50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2.42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2.35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1.77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2016</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1.49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1.41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2.91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0.94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2.83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6.72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1.86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1.92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1.94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1.83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2017</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2.27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3.00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2.04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1.71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3.09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6.86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2.51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2.58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1.79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2.69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2018</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2.93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2.08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2.29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1.21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3.04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6.56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2.54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2.49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1.62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3.09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2019</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2.66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2.04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3.04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0.92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2.92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6.41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2.01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2.10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1.52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3.41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2020</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1.85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1.82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2.96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0.32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2.85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6.25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1.53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1.80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1.54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3.40 </w:t>
            </w:r>
          </w:p>
        </w:tc>
      </w:tr>
      <w:tr w:rsidR="00FA4245" w:rsidRPr="0048520C" w:rsidTr="00FA4245">
        <w:trPr>
          <w:trHeight w:val="255"/>
        </w:trPr>
        <w:tc>
          <w:tcPr>
            <w:tcW w:w="709"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2021</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1.70 </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1.79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2.93 </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0.67 </w:t>
            </w:r>
          </w:p>
        </w:tc>
        <w:tc>
          <w:tcPr>
            <w:tcW w:w="992"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2.78 </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6.00 </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1.36 </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1.69 </w:t>
            </w:r>
          </w:p>
        </w:tc>
        <w:tc>
          <w:tcPr>
            <w:tcW w:w="73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1.55 </w:t>
            </w:r>
          </w:p>
        </w:tc>
        <w:tc>
          <w:tcPr>
            <w:tcW w:w="567"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3.39 </w:t>
            </w:r>
          </w:p>
        </w:tc>
      </w:tr>
      <w:tr w:rsidR="00FA4245" w:rsidRPr="0048520C" w:rsidTr="00FA4245">
        <w:trPr>
          <w:trHeight w:val="255"/>
        </w:trPr>
        <w:tc>
          <w:tcPr>
            <w:tcW w:w="709" w:type="dxa"/>
            <w:tcBorders>
              <w:top w:val="nil"/>
              <w:left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2022</w:t>
            </w:r>
          </w:p>
        </w:tc>
        <w:tc>
          <w:tcPr>
            <w:tcW w:w="710"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1.48 </w:t>
            </w:r>
          </w:p>
        </w:tc>
        <w:tc>
          <w:tcPr>
            <w:tcW w:w="850"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1.64 </w:t>
            </w:r>
          </w:p>
        </w:tc>
        <w:tc>
          <w:tcPr>
            <w:tcW w:w="851"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2.94 </w:t>
            </w:r>
          </w:p>
        </w:tc>
        <w:tc>
          <w:tcPr>
            <w:tcW w:w="708"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0.52 </w:t>
            </w:r>
          </w:p>
        </w:tc>
        <w:tc>
          <w:tcPr>
            <w:tcW w:w="992"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2.69 </w:t>
            </w:r>
          </w:p>
        </w:tc>
        <w:tc>
          <w:tcPr>
            <w:tcW w:w="711"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5.70 </w:t>
            </w:r>
          </w:p>
        </w:tc>
        <w:tc>
          <w:tcPr>
            <w:tcW w:w="961"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1.29 </w:t>
            </w:r>
          </w:p>
        </w:tc>
        <w:tc>
          <w:tcPr>
            <w:tcW w:w="851"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1.63 </w:t>
            </w:r>
          </w:p>
        </w:tc>
        <w:tc>
          <w:tcPr>
            <w:tcW w:w="737"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1.63 </w:t>
            </w:r>
          </w:p>
        </w:tc>
        <w:tc>
          <w:tcPr>
            <w:tcW w:w="567" w:type="dxa"/>
            <w:tcBorders>
              <w:top w:val="nil"/>
              <w:left w:val="nil"/>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3.39 </w:t>
            </w:r>
          </w:p>
        </w:tc>
      </w:tr>
      <w:tr w:rsidR="00FA4245" w:rsidRPr="0048520C" w:rsidTr="00FA4245">
        <w:trPr>
          <w:trHeight w:val="255"/>
        </w:trPr>
        <w:tc>
          <w:tcPr>
            <w:tcW w:w="709" w:type="dxa"/>
            <w:tcBorders>
              <w:top w:val="nil"/>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2023</w:t>
            </w:r>
          </w:p>
        </w:tc>
        <w:tc>
          <w:tcPr>
            <w:tcW w:w="710"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1.39 </w:t>
            </w:r>
          </w:p>
        </w:tc>
        <w:tc>
          <w:tcPr>
            <w:tcW w:w="850"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1.60 </w:t>
            </w:r>
          </w:p>
        </w:tc>
        <w:tc>
          <w:tcPr>
            <w:tcW w:w="85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2.86 </w:t>
            </w:r>
          </w:p>
        </w:tc>
        <w:tc>
          <w:tcPr>
            <w:tcW w:w="708"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0.52 </w:t>
            </w:r>
          </w:p>
        </w:tc>
        <w:tc>
          <w:tcPr>
            <w:tcW w:w="992"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2.62 </w:t>
            </w:r>
          </w:p>
        </w:tc>
        <w:tc>
          <w:tcPr>
            <w:tcW w:w="71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5.53 </w:t>
            </w:r>
          </w:p>
        </w:tc>
        <w:tc>
          <w:tcPr>
            <w:tcW w:w="96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1.21 </w:t>
            </w:r>
          </w:p>
        </w:tc>
        <w:tc>
          <w:tcPr>
            <w:tcW w:w="85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1.63 </w:t>
            </w:r>
          </w:p>
        </w:tc>
        <w:tc>
          <w:tcPr>
            <w:tcW w:w="737"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1.64 </w:t>
            </w:r>
          </w:p>
        </w:tc>
        <w:tc>
          <w:tcPr>
            <w:tcW w:w="567"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right"/>
              <w:rPr>
                <w:rFonts w:ascii="Times New Roman" w:eastAsia="Times New Roman" w:hAnsi="Times New Roman" w:cs="Times New Roman"/>
                <w:sz w:val="20"/>
                <w:szCs w:val="20"/>
                <w:lang w:eastAsia="en-AU"/>
              </w:rPr>
            </w:pPr>
            <w:r w:rsidRPr="00E55274">
              <w:rPr>
                <w:rFonts w:ascii="Times New Roman" w:eastAsia="Times New Roman" w:hAnsi="Times New Roman" w:cs="Times New Roman"/>
                <w:sz w:val="20"/>
                <w:szCs w:val="20"/>
                <w:lang w:eastAsia="en-AU"/>
              </w:rPr>
              <w:t xml:space="preserve">3.39 </w:t>
            </w:r>
          </w:p>
        </w:tc>
      </w:tr>
    </w:tbl>
    <w:p w:rsidR="00FA4245" w:rsidRPr="007573B1" w:rsidRDefault="00FA4245" w:rsidP="00FA4245">
      <w:pPr>
        <w:rPr>
          <w:rFonts w:ascii="Times New Roman" w:hAnsi="Times New Roman" w:cs="Times New Roman"/>
          <w:sz w:val="20"/>
        </w:rPr>
      </w:pPr>
      <w:r w:rsidRPr="007573B1">
        <w:rPr>
          <w:rFonts w:ascii="Times New Roman" w:hAnsi="Times New Roman" w:cs="Times New Roman"/>
          <w:sz w:val="20"/>
        </w:rPr>
        <w:t>Source: IMF World Economic Outlook database (IMF 2018</w:t>
      </w:r>
      <w:r>
        <w:rPr>
          <w:rFonts w:ascii="Times New Roman" w:hAnsi="Times New Roman" w:cs="Times New Roman"/>
          <w:sz w:val="20"/>
        </w:rPr>
        <w:t>a</w:t>
      </w:r>
      <w:r w:rsidRPr="007573B1">
        <w:rPr>
          <w:rFonts w:ascii="Times New Roman" w:hAnsi="Times New Roman" w:cs="Times New Roman"/>
          <w:sz w:val="20"/>
        </w:rPr>
        <w:t>).</w:t>
      </w:r>
    </w:p>
    <w:p w:rsidR="00FA4245" w:rsidRPr="007573B1" w:rsidRDefault="00FA4245" w:rsidP="00FA4245">
      <w:pPr>
        <w:spacing w:before="120" w:after="0" w:line="240" w:lineRule="auto"/>
        <w:rPr>
          <w:rFonts w:ascii="Times New Roman" w:hAnsi="Times New Roman" w:cs="Times New Roman"/>
          <w:sz w:val="24"/>
          <w:szCs w:val="24"/>
        </w:rPr>
      </w:pPr>
      <w:r w:rsidRPr="007573B1">
        <w:rPr>
          <w:rFonts w:ascii="Times New Roman" w:hAnsi="Times New Roman" w:cs="Times New Roman"/>
          <w:sz w:val="24"/>
          <w:szCs w:val="24"/>
        </w:rPr>
        <w:t>Changes in regional real GDP for the forecast periods were calculated from the World Economic Outlook database (IMF 2018</w:t>
      </w:r>
      <w:r>
        <w:rPr>
          <w:rFonts w:ascii="Times New Roman" w:hAnsi="Times New Roman" w:cs="Times New Roman"/>
          <w:sz w:val="24"/>
          <w:szCs w:val="24"/>
        </w:rPr>
        <w:t>a</w:t>
      </w:r>
      <w:r w:rsidRPr="007573B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573B1">
        <w:rPr>
          <w:rFonts w:ascii="Times New Roman" w:hAnsi="Times New Roman" w:cs="Times New Roman"/>
          <w:sz w:val="24"/>
          <w:szCs w:val="24"/>
        </w:rPr>
        <w:t>The database contains GDP actual data for the period</w:t>
      </w:r>
      <w:r>
        <w:rPr>
          <w:rFonts w:ascii="Times New Roman" w:hAnsi="Times New Roman" w:cs="Times New Roman"/>
          <w:sz w:val="24"/>
          <w:szCs w:val="24"/>
        </w:rPr>
        <w:t xml:space="preserve"> 1980-2016 and GDP projections to </w:t>
      </w:r>
      <w:r w:rsidRPr="007573B1">
        <w:rPr>
          <w:rFonts w:ascii="Times New Roman" w:hAnsi="Times New Roman" w:cs="Times New Roman"/>
          <w:sz w:val="24"/>
          <w:szCs w:val="24"/>
        </w:rPr>
        <w:t>2023 for 19</w:t>
      </w:r>
      <w:r>
        <w:rPr>
          <w:rFonts w:ascii="Times New Roman" w:hAnsi="Times New Roman" w:cs="Times New Roman"/>
          <w:sz w:val="24"/>
          <w:szCs w:val="24"/>
        </w:rPr>
        <w:t>4</w:t>
      </w:r>
      <w:r w:rsidRPr="007573B1">
        <w:rPr>
          <w:rFonts w:ascii="Times New Roman" w:hAnsi="Times New Roman" w:cs="Times New Roman"/>
          <w:sz w:val="24"/>
          <w:szCs w:val="24"/>
        </w:rPr>
        <w:t xml:space="preserve"> countries. </w:t>
      </w:r>
      <w:r>
        <w:rPr>
          <w:rFonts w:ascii="Times New Roman" w:hAnsi="Times New Roman" w:cs="Times New Roman"/>
          <w:sz w:val="24"/>
          <w:szCs w:val="24"/>
        </w:rPr>
        <w:t xml:space="preserve"> </w:t>
      </w:r>
      <w:r w:rsidRPr="007573B1">
        <w:rPr>
          <w:rFonts w:ascii="Times New Roman" w:hAnsi="Times New Roman" w:cs="Times New Roman"/>
          <w:sz w:val="24"/>
          <w:szCs w:val="24"/>
        </w:rPr>
        <w:t xml:space="preserve">The data are at current and constant prices, in national currency and in US dollars. </w:t>
      </w:r>
      <w:r>
        <w:rPr>
          <w:rFonts w:ascii="Times New Roman" w:hAnsi="Times New Roman" w:cs="Times New Roman"/>
          <w:sz w:val="24"/>
          <w:szCs w:val="24"/>
        </w:rPr>
        <w:t xml:space="preserve"> Ideally, </w:t>
      </w:r>
      <w:r w:rsidRPr="007573B1">
        <w:rPr>
          <w:rFonts w:ascii="Times New Roman" w:hAnsi="Times New Roman" w:cs="Times New Roman"/>
          <w:sz w:val="24"/>
          <w:szCs w:val="24"/>
        </w:rPr>
        <w:t xml:space="preserve">real GDP growth rates </w:t>
      </w:r>
      <w:r>
        <w:rPr>
          <w:rFonts w:ascii="Times New Roman" w:hAnsi="Times New Roman" w:cs="Times New Roman"/>
          <w:sz w:val="24"/>
          <w:szCs w:val="24"/>
        </w:rPr>
        <w:t>should</w:t>
      </w:r>
      <w:r w:rsidRPr="007573B1">
        <w:rPr>
          <w:rFonts w:ascii="Times New Roman" w:hAnsi="Times New Roman" w:cs="Times New Roman"/>
          <w:sz w:val="24"/>
          <w:szCs w:val="24"/>
        </w:rPr>
        <w:t xml:space="preserve"> be calculated from GDP at constant prices in national currencies, because GDP in U</w:t>
      </w:r>
      <w:r>
        <w:rPr>
          <w:rFonts w:ascii="Times New Roman" w:hAnsi="Times New Roman" w:cs="Times New Roman"/>
          <w:sz w:val="24"/>
          <w:szCs w:val="24"/>
        </w:rPr>
        <w:t>.</w:t>
      </w:r>
      <w:r w:rsidRPr="007573B1">
        <w:rPr>
          <w:rFonts w:ascii="Times New Roman" w:hAnsi="Times New Roman" w:cs="Times New Roman"/>
          <w:sz w:val="24"/>
          <w:szCs w:val="24"/>
        </w:rPr>
        <w:t>S</w:t>
      </w:r>
      <w:r>
        <w:rPr>
          <w:rFonts w:ascii="Times New Roman" w:hAnsi="Times New Roman" w:cs="Times New Roman"/>
          <w:sz w:val="24"/>
          <w:szCs w:val="24"/>
        </w:rPr>
        <w:t>.</w:t>
      </w:r>
      <w:r w:rsidRPr="007573B1">
        <w:rPr>
          <w:rFonts w:ascii="Times New Roman" w:hAnsi="Times New Roman" w:cs="Times New Roman"/>
          <w:sz w:val="24"/>
          <w:szCs w:val="24"/>
        </w:rPr>
        <w:t xml:space="preserve"> dollars would be contaminated by movements in the exchange rates of the national currencies relative to the USD. </w:t>
      </w:r>
      <w:r>
        <w:rPr>
          <w:rFonts w:ascii="Times New Roman" w:hAnsi="Times New Roman" w:cs="Times New Roman"/>
          <w:sz w:val="24"/>
          <w:szCs w:val="24"/>
        </w:rPr>
        <w:t xml:space="preserve"> </w:t>
      </w:r>
      <w:r w:rsidRPr="007573B1">
        <w:rPr>
          <w:rFonts w:ascii="Times New Roman" w:hAnsi="Times New Roman" w:cs="Times New Roman"/>
          <w:sz w:val="24"/>
          <w:szCs w:val="24"/>
        </w:rPr>
        <w:t xml:space="preserve">However, </w:t>
      </w:r>
      <w:r>
        <w:rPr>
          <w:rFonts w:ascii="Times New Roman" w:hAnsi="Times New Roman" w:cs="Times New Roman"/>
          <w:sz w:val="24"/>
          <w:szCs w:val="24"/>
        </w:rPr>
        <w:t>this raises pro</w:t>
      </w:r>
      <w:r w:rsidRPr="007573B1">
        <w:rPr>
          <w:rFonts w:ascii="Times New Roman" w:hAnsi="Times New Roman" w:cs="Times New Roman"/>
          <w:sz w:val="24"/>
          <w:szCs w:val="24"/>
        </w:rPr>
        <w:t xml:space="preserve">blems for regions in the model that are groups of countries, because each group’s GDP could not be simply a sum of GDP values at different national currencies of countries within the group. </w:t>
      </w:r>
      <w:r>
        <w:rPr>
          <w:rFonts w:ascii="Times New Roman" w:hAnsi="Times New Roman" w:cs="Times New Roman"/>
          <w:sz w:val="24"/>
          <w:szCs w:val="24"/>
        </w:rPr>
        <w:t xml:space="preserve"> </w:t>
      </w:r>
      <w:r w:rsidRPr="007573B1">
        <w:rPr>
          <w:rFonts w:ascii="Times New Roman" w:hAnsi="Times New Roman" w:cs="Times New Roman"/>
          <w:sz w:val="24"/>
          <w:szCs w:val="24"/>
        </w:rPr>
        <w:t>Therefore, the following procedure was used to calculate movements in real GDP:</w:t>
      </w:r>
    </w:p>
    <w:p w:rsidR="00FA4245" w:rsidRPr="007573B1" w:rsidRDefault="00FA4245" w:rsidP="00FA4245">
      <w:pPr>
        <w:pStyle w:val="ListParagraph"/>
        <w:numPr>
          <w:ilvl w:val="0"/>
          <w:numId w:val="3"/>
        </w:numPr>
        <w:spacing w:before="120" w:after="0" w:line="240" w:lineRule="auto"/>
        <w:contextualSpacing w:val="0"/>
        <w:jc w:val="both"/>
        <w:rPr>
          <w:rFonts w:ascii="Times New Roman" w:hAnsi="Times New Roman" w:cs="Times New Roman"/>
          <w:sz w:val="24"/>
          <w:szCs w:val="24"/>
        </w:rPr>
      </w:pPr>
      <w:r w:rsidRPr="007573B1">
        <w:rPr>
          <w:rFonts w:ascii="Times New Roman" w:hAnsi="Times New Roman" w:cs="Times New Roman"/>
          <w:sz w:val="24"/>
          <w:szCs w:val="24"/>
        </w:rPr>
        <w:t>For individual countries among the 1</w:t>
      </w:r>
      <w:r>
        <w:rPr>
          <w:rFonts w:ascii="Times New Roman" w:hAnsi="Times New Roman" w:cs="Times New Roman"/>
          <w:sz w:val="24"/>
          <w:szCs w:val="24"/>
        </w:rPr>
        <w:t>0</w:t>
      </w:r>
      <w:r w:rsidRPr="007573B1">
        <w:rPr>
          <w:rFonts w:ascii="Times New Roman" w:hAnsi="Times New Roman" w:cs="Times New Roman"/>
          <w:sz w:val="24"/>
          <w:szCs w:val="24"/>
        </w:rPr>
        <w:t xml:space="preserve"> regions (namely, the USA, </w:t>
      </w:r>
      <w:r>
        <w:rPr>
          <w:rFonts w:ascii="Times New Roman" w:hAnsi="Times New Roman" w:cs="Times New Roman"/>
          <w:sz w:val="24"/>
          <w:szCs w:val="24"/>
        </w:rPr>
        <w:t xml:space="preserve">Canada, Mexico, Japan, </w:t>
      </w:r>
      <w:r w:rsidRPr="007573B1">
        <w:rPr>
          <w:rFonts w:ascii="Times New Roman" w:hAnsi="Times New Roman" w:cs="Times New Roman"/>
          <w:sz w:val="24"/>
          <w:szCs w:val="24"/>
        </w:rPr>
        <w:t xml:space="preserve">South Korea, </w:t>
      </w:r>
      <w:r>
        <w:rPr>
          <w:rFonts w:ascii="Times New Roman" w:hAnsi="Times New Roman" w:cs="Times New Roman"/>
          <w:sz w:val="24"/>
          <w:szCs w:val="24"/>
        </w:rPr>
        <w:t>China, Germany and</w:t>
      </w:r>
      <w:r w:rsidRPr="007573B1">
        <w:rPr>
          <w:rFonts w:ascii="Times New Roman" w:hAnsi="Times New Roman" w:cs="Times New Roman"/>
          <w:sz w:val="24"/>
          <w:szCs w:val="24"/>
        </w:rPr>
        <w:t xml:space="preserve"> </w:t>
      </w:r>
      <w:r>
        <w:rPr>
          <w:rFonts w:ascii="Times New Roman" w:hAnsi="Times New Roman" w:cs="Times New Roman"/>
          <w:sz w:val="24"/>
          <w:szCs w:val="24"/>
        </w:rPr>
        <w:t>the UK</w:t>
      </w:r>
      <w:r w:rsidRPr="007573B1">
        <w:rPr>
          <w:rFonts w:ascii="Times New Roman" w:hAnsi="Times New Roman" w:cs="Times New Roman"/>
          <w:sz w:val="24"/>
          <w:szCs w:val="24"/>
        </w:rPr>
        <w:t xml:space="preserve">), we calculated the percentage changes in GDP at constant prices in their national currencies. </w:t>
      </w:r>
    </w:p>
    <w:p w:rsidR="00FA4245" w:rsidRPr="007573B1" w:rsidRDefault="00FA4245" w:rsidP="00FA4245">
      <w:pPr>
        <w:pStyle w:val="ListParagraph"/>
        <w:numPr>
          <w:ilvl w:val="0"/>
          <w:numId w:val="3"/>
        </w:numPr>
        <w:spacing w:before="120" w:after="0" w:line="240" w:lineRule="auto"/>
        <w:contextualSpacing w:val="0"/>
        <w:jc w:val="both"/>
        <w:rPr>
          <w:rFonts w:ascii="Times New Roman" w:hAnsi="Times New Roman" w:cs="Times New Roman"/>
          <w:sz w:val="24"/>
          <w:szCs w:val="24"/>
        </w:rPr>
      </w:pPr>
      <w:r w:rsidRPr="007573B1">
        <w:rPr>
          <w:rFonts w:ascii="Times New Roman" w:hAnsi="Times New Roman" w:cs="Times New Roman"/>
          <w:sz w:val="24"/>
          <w:szCs w:val="24"/>
        </w:rPr>
        <w:t>For groups among the 1</w:t>
      </w:r>
      <w:r>
        <w:rPr>
          <w:rFonts w:ascii="Times New Roman" w:hAnsi="Times New Roman" w:cs="Times New Roman"/>
          <w:sz w:val="24"/>
          <w:szCs w:val="24"/>
        </w:rPr>
        <w:t>0</w:t>
      </w:r>
      <w:r w:rsidRPr="007573B1">
        <w:rPr>
          <w:rFonts w:ascii="Times New Roman" w:hAnsi="Times New Roman" w:cs="Times New Roman"/>
          <w:sz w:val="24"/>
          <w:szCs w:val="24"/>
        </w:rPr>
        <w:t xml:space="preserve"> regions (namely, </w:t>
      </w:r>
      <w:r>
        <w:rPr>
          <w:rFonts w:ascii="Times New Roman" w:hAnsi="Times New Roman" w:cs="Times New Roman"/>
          <w:sz w:val="24"/>
          <w:szCs w:val="24"/>
        </w:rPr>
        <w:t>EU-26</w:t>
      </w:r>
      <w:r w:rsidRPr="007573B1">
        <w:rPr>
          <w:rFonts w:ascii="Times New Roman" w:hAnsi="Times New Roman" w:cs="Times New Roman"/>
          <w:sz w:val="24"/>
          <w:szCs w:val="24"/>
        </w:rPr>
        <w:t xml:space="preserve"> and Rest of the World), we calculated real GDP growth rates measured in national currencies of individual countries within each group. The group’s real GDP growth rate was then calculated as the weighted average of the individual countries’ growth rates, using their GDP in USD in 2011 as weights.</w:t>
      </w:r>
      <w:r w:rsidRPr="00F143A4">
        <w:rPr>
          <w:rStyle w:val="FootnoteReference"/>
          <w:rFonts w:ascii="Times New Roman" w:hAnsi="Times New Roman" w:cs="Times New Roman"/>
          <w:sz w:val="18"/>
          <w:szCs w:val="18"/>
        </w:rPr>
        <w:footnoteReference w:id="11"/>
      </w:r>
      <w:r w:rsidRPr="007573B1">
        <w:rPr>
          <w:rFonts w:ascii="Times New Roman" w:hAnsi="Times New Roman" w:cs="Times New Roman"/>
          <w:sz w:val="24"/>
          <w:szCs w:val="24"/>
        </w:rPr>
        <w:t xml:space="preserve"> </w:t>
      </w:r>
    </w:p>
    <w:p w:rsidR="00FA4245" w:rsidRPr="007573B1" w:rsidRDefault="00FA4245" w:rsidP="00FA4245">
      <w:pPr>
        <w:spacing w:before="120" w:after="0" w:line="240" w:lineRule="auto"/>
        <w:rPr>
          <w:rFonts w:ascii="Times New Roman" w:hAnsi="Times New Roman" w:cs="Times New Roman"/>
          <w:sz w:val="24"/>
          <w:szCs w:val="24"/>
        </w:rPr>
      </w:pPr>
      <w:r w:rsidRPr="007573B1">
        <w:rPr>
          <w:rFonts w:ascii="Times New Roman" w:hAnsi="Times New Roman" w:cs="Times New Roman"/>
          <w:sz w:val="24"/>
          <w:szCs w:val="24"/>
        </w:rPr>
        <w:t xml:space="preserve">Over the forecast period, </w:t>
      </w:r>
      <w:r>
        <w:rPr>
          <w:rFonts w:ascii="Times New Roman" w:hAnsi="Times New Roman" w:cs="Times New Roman"/>
          <w:sz w:val="24"/>
          <w:szCs w:val="24"/>
        </w:rPr>
        <w:t>China is by far the fastest growing region. Other regions grow more or less at similar rates, although Japan is projected to grow the slowest.</w:t>
      </w:r>
      <w:r w:rsidRPr="007573B1">
        <w:rPr>
          <w:rFonts w:ascii="Times New Roman" w:hAnsi="Times New Roman" w:cs="Times New Roman"/>
          <w:sz w:val="24"/>
          <w:szCs w:val="24"/>
        </w:rPr>
        <w:t xml:space="preserve"> For the factors underlying these forecasts, see IMF (2018b). </w:t>
      </w:r>
    </w:p>
    <w:p w:rsidR="00FA4245" w:rsidRPr="00D37224" w:rsidRDefault="00FA4245" w:rsidP="00FA4245">
      <w:pPr>
        <w:pStyle w:val="Heading2"/>
        <w:numPr>
          <w:ilvl w:val="0"/>
          <w:numId w:val="0"/>
        </w:numPr>
        <w:spacing w:before="120" w:after="0" w:line="240" w:lineRule="auto"/>
        <w:ind w:left="576" w:hanging="576"/>
        <w:rPr>
          <w:rFonts w:ascii="Times New Roman" w:hAnsi="Times New Roman"/>
        </w:rPr>
      </w:pPr>
      <w:r w:rsidRPr="00D37224">
        <w:rPr>
          <w:rFonts w:ascii="Times New Roman" w:hAnsi="Times New Roman"/>
        </w:rPr>
        <w:lastRenderedPageBreak/>
        <w:t>A</w:t>
      </w:r>
      <w:r w:rsidR="00A710AF">
        <w:rPr>
          <w:rFonts w:ascii="Times New Roman" w:hAnsi="Times New Roman"/>
        </w:rPr>
        <w:t>1</w:t>
      </w:r>
      <w:r w:rsidRPr="00D37224">
        <w:rPr>
          <w:rFonts w:ascii="Times New Roman" w:hAnsi="Times New Roman"/>
        </w:rPr>
        <w:t>.2.  Changes in labor supply and population</w:t>
      </w:r>
    </w:p>
    <w:p w:rsidR="00FA4245" w:rsidRDefault="00FA4245" w:rsidP="00FA4245">
      <w:pPr>
        <w:spacing w:before="120" w:after="0" w:line="240" w:lineRule="auto"/>
        <w:rPr>
          <w:rFonts w:ascii="Times New Roman" w:hAnsi="Times New Roman" w:cs="Times New Roman"/>
          <w:sz w:val="24"/>
          <w:szCs w:val="24"/>
        </w:rPr>
      </w:pPr>
      <w:r w:rsidRPr="007573B1">
        <w:rPr>
          <w:rFonts w:ascii="Times New Roman" w:hAnsi="Times New Roman" w:cs="Times New Roman"/>
          <w:sz w:val="24"/>
          <w:szCs w:val="24"/>
        </w:rPr>
        <w:t xml:space="preserve">Changes in labor supply and population </w:t>
      </w:r>
      <w:r>
        <w:rPr>
          <w:rFonts w:ascii="Times New Roman" w:hAnsi="Times New Roman" w:cs="Times New Roman"/>
          <w:sz w:val="24"/>
          <w:szCs w:val="24"/>
        </w:rPr>
        <w:t xml:space="preserve">for the forecast period </w:t>
      </w:r>
      <w:r w:rsidRPr="007573B1">
        <w:rPr>
          <w:rFonts w:ascii="Times New Roman" w:hAnsi="Times New Roman" w:cs="Times New Roman"/>
          <w:sz w:val="24"/>
          <w:szCs w:val="24"/>
        </w:rPr>
        <w:t xml:space="preserve">were calculated from population estimates and projections for 259 countries and country groups, </w:t>
      </w:r>
      <w:r w:rsidR="002F00E4">
        <w:rPr>
          <w:rFonts w:ascii="Times New Roman" w:hAnsi="Times New Roman" w:cs="Times New Roman"/>
          <w:sz w:val="24"/>
          <w:szCs w:val="24"/>
        </w:rPr>
        <w:t xml:space="preserve">and </w:t>
      </w:r>
      <w:r w:rsidRPr="007573B1">
        <w:rPr>
          <w:rFonts w:ascii="Times New Roman" w:hAnsi="Times New Roman" w:cs="Times New Roman"/>
          <w:sz w:val="24"/>
          <w:szCs w:val="24"/>
        </w:rPr>
        <w:t>by age groups</w:t>
      </w:r>
      <w:r>
        <w:rPr>
          <w:rFonts w:ascii="Times New Roman" w:hAnsi="Times New Roman" w:cs="Times New Roman"/>
          <w:sz w:val="24"/>
          <w:szCs w:val="24"/>
        </w:rPr>
        <w:t xml:space="preserve"> </w:t>
      </w:r>
      <w:r w:rsidRPr="007573B1">
        <w:rPr>
          <w:rFonts w:ascii="Times New Roman" w:hAnsi="Times New Roman" w:cs="Times New Roman"/>
          <w:sz w:val="24"/>
          <w:szCs w:val="24"/>
        </w:rPr>
        <w:t>(World Bank 2018).</w:t>
      </w:r>
      <w:r w:rsidRPr="00D37BA7">
        <w:rPr>
          <w:rStyle w:val="FootnoteReference"/>
          <w:rFonts w:ascii="Times New Roman" w:hAnsi="Times New Roman" w:cs="Times New Roman"/>
          <w:szCs w:val="16"/>
        </w:rPr>
        <w:footnoteReference w:id="12"/>
      </w:r>
      <w:r w:rsidRPr="00D37BA7">
        <w:rPr>
          <w:rFonts w:ascii="Times New Roman" w:hAnsi="Times New Roman" w:cs="Times New Roman"/>
          <w:sz w:val="16"/>
          <w:szCs w:val="16"/>
        </w:rPr>
        <w:t xml:space="preserve"> </w:t>
      </w:r>
      <w:r w:rsidRPr="007573B1">
        <w:rPr>
          <w:rFonts w:ascii="Times New Roman" w:hAnsi="Times New Roman" w:cs="Times New Roman"/>
          <w:sz w:val="24"/>
          <w:szCs w:val="24"/>
        </w:rPr>
        <w:t xml:space="preserve"> </w:t>
      </w:r>
    </w:p>
    <w:p w:rsidR="00FA4245" w:rsidRDefault="00FA4245" w:rsidP="00FA4245">
      <w:pPr>
        <w:spacing w:before="120" w:after="0" w:line="240" w:lineRule="auto"/>
        <w:rPr>
          <w:rFonts w:ascii="Times New Roman" w:hAnsi="Times New Roman" w:cs="Times New Roman"/>
          <w:sz w:val="24"/>
          <w:szCs w:val="24"/>
        </w:rPr>
      </w:pPr>
      <w:r>
        <w:rPr>
          <w:rFonts w:ascii="Times New Roman" w:hAnsi="Times New Roman" w:cs="Times New Roman"/>
          <w:sz w:val="24"/>
          <w:szCs w:val="24"/>
        </w:rPr>
        <w:t>The growth rates of labor supply for the ten regions in GTAP-MVH were calculated from World Bank (2018) projections for population aged 15</w:t>
      </w:r>
      <w:r w:rsidR="002F00E4">
        <w:rPr>
          <w:rFonts w:ascii="Times New Roman" w:hAnsi="Times New Roman" w:cs="Times New Roman"/>
          <w:sz w:val="24"/>
          <w:szCs w:val="24"/>
        </w:rPr>
        <w:t xml:space="preserve"> - </w:t>
      </w:r>
      <w:r>
        <w:rPr>
          <w:rFonts w:ascii="Times New Roman" w:hAnsi="Times New Roman" w:cs="Times New Roman"/>
          <w:sz w:val="24"/>
          <w:szCs w:val="24"/>
        </w:rPr>
        <w:t xml:space="preserve">64, i.e. the working age population (WAP). </w:t>
      </w:r>
      <w:r w:rsidRPr="007573B1">
        <w:rPr>
          <w:rFonts w:ascii="Times New Roman" w:hAnsi="Times New Roman" w:cs="Times New Roman"/>
          <w:sz w:val="24"/>
          <w:szCs w:val="24"/>
        </w:rPr>
        <w:t xml:space="preserve">We assumed that, for all regions in the model, labor force participation rates would remain unchanged over the forecast periods, and hence </w:t>
      </w:r>
      <w:r w:rsidR="002F00E4">
        <w:rPr>
          <w:rFonts w:ascii="Times New Roman" w:hAnsi="Times New Roman" w:cs="Times New Roman"/>
          <w:sz w:val="24"/>
          <w:szCs w:val="24"/>
        </w:rPr>
        <w:t xml:space="preserve">percentage </w:t>
      </w:r>
      <w:r w:rsidRPr="007573B1">
        <w:rPr>
          <w:rFonts w:ascii="Times New Roman" w:hAnsi="Times New Roman" w:cs="Times New Roman"/>
          <w:sz w:val="24"/>
          <w:szCs w:val="24"/>
        </w:rPr>
        <w:t>changes in WAP w</w:t>
      </w:r>
      <w:r w:rsidR="002F00E4">
        <w:rPr>
          <w:rFonts w:ascii="Times New Roman" w:hAnsi="Times New Roman" w:cs="Times New Roman"/>
          <w:sz w:val="24"/>
          <w:szCs w:val="24"/>
        </w:rPr>
        <w:t>ere</w:t>
      </w:r>
      <w:r w:rsidRPr="007573B1">
        <w:rPr>
          <w:rFonts w:ascii="Times New Roman" w:hAnsi="Times New Roman" w:cs="Times New Roman"/>
          <w:sz w:val="24"/>
          <w:szCs w:val="24"/>
        </w:rPr>
        <w:t xml:space="preserve"> adopted as </w:t>
      </w:r>
      <w:r w:rsidR="002F00E4">
        <w:rPr>
          <w:rFonts w:ascii="Times New Roman" w:hAnsi="Times New Roman" w:cs="Times New Roman"/>
          <w:sz w:val="24"/>
          <w:szCs w:val="24"/>
        </w:rPr>
        <w:t xml:space="preserve">percentage </w:t>
      </w:r>
      <w:r w:rsidRPr="007573B1">
        <w:rPr>
          <w:rFonts w:ascii="Times New Roman" w:hAnsi="Times New Roman" w:cs="Times New Roman"/>
          <w:sz w:val="24"/>
          <w:szCs w:val="24"/>
        </w:rPr>
        <w:t>changes in labor supply.</w:t>
      </w:r>
    </w:p>
    <w:p w:rsidR="00FA4245" w:rsidRDefault="00FA4245" w:rsidP="00FA4245">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Population growth rates were calculated from World Bank (2018) projections for the number of total population of the regions. </w:t>
      </w:r>
    </w:p>
    <w:p w:rsidR="00FA4245" w:rsidRPr="007573B1" w:rsidRDefault="00FA4245" w:rsidP="00FA4245">
      <w:pPr>
        <w:spacing w:before="120" w:after="0" w:line="240" w:lineRule="auto"/>
        <w:rPr>
          <w:rFonts w:ascii="Times New Roman" w:hAnsi="Times New Roman" w:cs="Times New Roman"/>
          <w:sz w:val="24"/>
          <w:szCs w:val="24"/>
        </w:rPr>
      </w:pPr>
      <w:r w:rsidRPr="007573B1">
        <w:rPr>
          <w:rFonts w:ascii="Times New Roman" w:hAnsi="Times New Roman" w:cs="Times New Roman"/>
          <w:sz w:val="24"/>
          <w:szCs w:val="24"/>
        </w:rPr>
        <w:t xml:space="preserve">Tables </w:t>
      </w:r>
      <w:r>
        <w:rPr>
          <w:rFonts w:ascii="Times New Roman" w:hAnsi="Times New Roman" w:cs="Times New Roman"/>
          <w:sz w:val="24"/>
          <w:szCs w:val="24"/>
        </w:rPr>
        <w:t>A</w:t>
      </w:r>
      <w:r w:rsidR="00A710AF">
        <w:rPr>
          <w:rFonts w:ascii="Times New Roman" w:hAnsi="Times New Roman" w:cs="Times New Roman"/>
          <w:sz w:val="24"/>
          <w:szCs w:val="24"/>
        </w:rPr>
        <w:t>1</w:t>
      </w:r>
      <w:r>
        <w:rPr>
          <w:rFonts w:ascii="Times New Roman" w:hAnsi="Times New Roman" w:cs="Times New Roman"/>
          <w:sz w:val="24"/>
          <w:szCs w:val="24"/>
        </w:rPr>
        <w:t>.2</w:t>
      </w:r>
      <w:r w:rsidRPr="007573B1">
        <w:rPr>
          <w:rFonts w:ascii="Times New Roman" w:hAnsi="Times New Roman" w:cs="Times New Roman"/>
          <w:sz w:val="24"/>
          <w:szCs w:val="24"/>
        </w:rPr>
        <w:t xml:space="preserve"> </w:t>
      </w:r>
      <w:r>
        <w:rPr>
          <w:rFonts w:ascii="Times New Roman" w:hAnsi="Times New Roman" w:cs="Times New Roman"/>
          <w:sz w:val="24"/>
          <w:szCs w:val="24"/>
        </w:rPr>
        <w:t>and A</w:t>
      </w:r>
      <w:r w:rsidR="00A710AF">
        <w:rPr>
          <w:rFonts w:ascii="Times New Roman" w:hAnsi="Times New Roman" w:cs="Times New Roman"/>
          <w:sz w:val="24"/>
          <w:szCs w:val="24"/>
        </w:rPr>
        <w:t>1</w:t>
      </w:r>
      <w:r>
        <w:rPr>
          <w:rFonts w:ascii="Times New Roman" w:hAnsi="Times New Roman" w:cs="Times New Roman"/>
          <w:sz w:val="24"/>
          <w:szCs w:val="24"/>
        </w:rPr>
        <w:t>.3</w:t>
      </w:r>
      <w:r w:rsidRPr="007573B1">
        <w:rPr>
          <w:rFonts w:ascii="Times New Roman" w:hAnsi="Times New Roman" w:cs="Times New Roman"/>
          <w:sz w:val="24"/>
          <w:szCs w:val="24"/>
        </w:rPr>
        <w:t xml:space="preserve"> report the projected baseline growth rates in population and labor supply for the </w:t>
      </w:r>
      <w:r>
        <w:rPr>
          <w:rFonts w:ascii="Times New Roman" w:hAnsi="Times New Roman" w:cs="Times New Roman"/>
          <w:sz w:val="24"/>
          <w:szCs w:val="24"/>
        </w:rPr>
        <w:t>ten</w:t>
      </w:r>
      <w:r w:rsidRPr="007573B1">
        <w:rPr>
          <w:rFonts w:ascii="Times New Roman" w:hAnsi="Times New Roman" w:cs="Times New Roman"/>
          <w:sz w:val="24"/>
          <w:szCs w:val="24"/>
        </w:rPr>
        <w:t xml:space="preserve"> regions.  </w:t>
      </w:r>
    </w:p>
    <w:p w:rsidR="00FA4245" w:rsidRPr="00D77D78" w:rsidRDefault="00FA4245" w:rsidP="00FA4245">
      <w:pPr>
        <w:pStyle w:val="Caption"/>
        <w:spacing w:before="120" w:after="120" w:line="240" w:lineRule="auto"/>
        <w:jc w:val="center"/>
        <w:rPr>
          <w:rFonts w:ascii="Times New Roman" w:hAnsi="Times New Roman"/>
          <w:i/>
          <w:sz w:val="24"/>
          <w:szCs w:val="24"/>
        </w:rPr>
      </w:pPr>
      <w:r w:rsidRPr="00D77D78">
        <w:rPr>
          <w:rFonts w:ascii="Times New Roman" w:hAnsi="Times New Roman"/>
          <w:i/>
          <w:sz w:val="24"/>
          <w:szCs w:val="24"/>
        </w:rPr>
        <w:t>Table A</w:t>
      </w:r>
      <w:r w:rsidR="00A710AF">
        <w:rPr>
          <w:rFonts w:ascii="Times New Roman" w:hAnsi="Times New Roman"/>
          <w:i/>
          <w:sz w:val="24"/>
          <w:szCs w:val="24"/>
        </w:rPr>
        <w:t>1</w:t>
      </w:r>
      <w:r w:rsidRPr="00D77D78">
        <w:rPr>
          <w:rFonts w:ascii="Times New Roman" w:hAnsi="Times New Roman"/>
          <w:i/>
          <w:sz w:val="24"/>
          <w:szCs w:val="24"/>
        </w:rPr>
        <w:t>.2. Baseline growth rates in population (%)</w:t>
      </w:r>
    </w:p>
    <w:tbl>
      <w:tblPr>
        <w:tblW w:w="8931" w:type="dxa"/>
        <w:tblLook w:val="04A0" w:firstRow="1" w:lastRow="0" w:firstColumn="1" w:lastColumn="0" w:noHBand="0" w:noVBand="1"/>
      </w:tblPr>
      <w:tblGrid>
        <w:gridCol w:w="850"/>
        <w:gridCol w:w="710"/>
        <w:gridCol w:w="850"/>
        <w:gridCol w:w="851"/>
        <w:gridCol w:w="708"/>
        <w:gridCol w:w="993"/>
        <w:gridCol w:w="711"/>
        <w:gridCol w:w="961"/>
        <w:gridCol w:w="851"/>
        <w:gridCol w:w="595"/>
        <w:gridCol w:w="851"/>
      </w:tblGrid>
      <w:tr w:rsidR="00FA4245" w:rsidRPr="0048520C" w:rsidTr="00FA4245">
        <w:trPr>
          <w:trHeight w:val="255"/>
        </w:trPr>
        <w:tc>
          <w:tcPr>
            <w:tcW w:w="85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Years</w:t>
            </w:r>
          </w:p>
        </w:tc>
        <w:tc>
          <w:tcPr>
            <w:tcW w:w="71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USA</w:t>
            </w:r>
          </w:p>
        </w:tc>
        <w:tc>
          <w:tcPr>
            <w:tcW w:w="85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Canada</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Mexico</w:t>
            </w:r>
          </w:p>
        </w:tc>
        <w:tc>
          <w:tcPr>
            <w:tcW w:w="708"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Japan</w:t>
            </w:r>
          </w:p>
        </w:tc>
        <w:tc>
          <w:tcPr>
            <w:tcW w:w="993"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011E97">
              <w:rPr>
                <w:rFonts w:ascii="Times New Roman" w:eastAsia="Times New Roman" w:hAnsi="Times New Roman" w:cs="Times New Roman"/>
                <w:color w:val="000000"/>
                <w:sz w:val="20"/>
                <w:szCs w:val="20"/>
                <w:lang w:eastAsia="en-AU"/>
              </w:rPr>
              <w:t>S</w:t>
            </w:r>
            <w:r>
              <w:rPr>
                <w:rFonts w:ascii="Times New Roman" w:eastAsia="Times New Roman" w:hAnsi="Times New Roman" w:cs="Times New Roman"/>
                <w:color w:val="000000"/>
                <w:sz w:val="20"/>
                <w:szCs w:val="20"/>
                <w:lang w:eastAsia="en-AU"/>
              </w:rPr>
              <w:t xml:space="preserve">. </w:t>
            </w:r>
            <w:r w:rsidRPr="00011E97">
              <w:rPr>
                <w:rFonts w:ascii="Times New Roman" w:eastAsia="Times New Roman" w:hAnsi="Times New Roman" w:cs="Times New Roman"/>
                <w:color w:val="000000"/>
                <w:sz w:val="20"/>
                <w:szCs w:val="20"/>
                <w:lang w:eastAsia="en-AU"/>
              </w:rPr>
              <w:t>Korea</w:t>
            </w:r>
          </w:p>
        </w:tc>
        <w:tc>
          <w:tcPr>
            <w:tcW w:w="71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China</w:t>
            </w:r>
          </w:p>
        </w:tc>
        <w:tc>
          <w:tcPr>
            <w:tcW w:w="96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Germany</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EU</w:t>
            </w:r>
            <w:r>
              <w:rPr>
                <w:rFonts w:ascii="Times New Roman" w:eastAsia="Times New Roman" w:hAnsi="Times New Roman" w:cs="Times New Roman"/>
                <w:color w:val="000000"/>
                <w:sz w:val="20"/>
                <w:szCs w:val="20"/>
                <w:lang w:eastAsia="en-AU"/>
              </w:rPr>
              <w:t>-</w:t>
            </w:r>
            <w:r w:rsidRPr="0048520C">
              <w:rPr>
                <w:rFonts w:ascii="Times New Roman" w:eastAsia="Times New Roman" w:hAnsi="Times New Roman" w:cs="Times New Roman"/>
                <w:color w:val="000000"/>
                <w:sz w:val="20"/>
                <w:szCs w:val="20"/>
                <w:lang w:eastAsia="en-AU"/>
              </w:rPr>
              <w:t>26</w:t>
            </w:r>
          </w:p>
        </w:tc>
        <w:tc>
          <w:tcPr>
            <w:tcW w:w="595"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UK</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RoW</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2011</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0.74</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0.99</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1.51</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-0.19</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0.77</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0.48</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-1.84</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0.17</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0.78</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1.61</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2012</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0.75</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1.19</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1.46</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-0.16</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0.53</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0.49</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0.19</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0.14</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0.70</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1.50</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2013</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0.71</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1.16</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1.41</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-0.14</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0.46</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0.49</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0.27</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0.24</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0.67</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1.59</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2014</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0.75</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1.09</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1.38</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-0.13</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0.63</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0.51</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0.21</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0.76</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1.57</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2015</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0.76</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0.84</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1.34</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-0.11</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0.53</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0.51</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0.87</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0.08</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0.80</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1.55</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2016</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0.74</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1.21</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1.31</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-0.12</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0.45</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0.54</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0.81</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0.10</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1.52</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2017</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0.71</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1.22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1.27</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-0.16</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0.43</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0.56</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0.13</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0.65</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1.50</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2018</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0.74</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0.88</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1.24</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-0.30</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0.35</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0.34</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-0.11</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0.05</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0.56</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1.45</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2019</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0.74</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0.85</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1.20</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-0.31</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0.33</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0.30</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0.04</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0.56</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1.43</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2020</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0.73</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0.82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1.17</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-0.33</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0.32</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0.26</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0.03</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0.55</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1.41</w:t>
            </w:r>
          </w:p>
        </w:tc>
      </w:tr>
      <w:tr w:rsidR="00FA4245" w:rsidRPr="0048520C" w:rsidTr="00FA4245">
        <w:trPr>
          <w:trHeight w:val="255"/>
        </w:trPr>
        <w:tc>
          <w:tcPr>
            <w:tcW w:w="850" w:type="dxa"/>
            <w:tcBorders>
              <w:top w:val="nil"/>
              <w:left w:val="nil"/>
              <w:bottom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2021</w:t>
            </w:r>
          </w:p>
        </w:tc>
        <w:tc>
          <w:tcPr>
            <w:tcW w:w="71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0.73</w:t>
            </w:r>
          </w:p>
        </w:tc>
        <w:tc>
          <w:tcPr>
            <w:tcW w:w="850"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0.79</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1.13</w:t>
            </w:r>
          </w:p>
        </w:tc>
        <w:tc>
          <w:tcPr>
            <w:tcW w:w="708"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-0.34</w:t>
            </w:r>
          </w:p>
        </w:tc>
        <w:tc>
          <w:tcPr>
            <w:tcW w:w="993"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0.30</w:t>
            </w:r>
          </w:p>
        </w:tc>
        <w:tc>
          <w:tcPr>
            <w:tcW w:w="71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0.22</w:t>
            </w:r>
          </w:p>
        </w:tc>
        <w:tc>
          <w:tcPr>
            <w:tcW w:w="96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-0.12</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0.02</w:t>
            </w:r>
          </w:p>
        </w:tc>
        <w:tc>
          <w:tcPr>
            <w:tcW w:w="595"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0.53</w:t>
            </w:r>
          </w:p>
        </w:tc>
        <w:tc>
          <w:tcPr>
            <w:tcW w:w="851" w:type="dxa"/>
            <w:tcBorders>
              <w:top w:val="nil"/>
              <w:left w:val="nil"/>
              <w:bottom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1.38</w:t>
            </w:r>
          </w:p>
        </w:tc>
      </w:tr>
      <w:tr w:rsidR="00FA4245" w:rsidRPr="0048520C" w:rsidTr="00FA4245">
        <w:trPr>
          <w:trHeight w:val="255"/>
        </w:trPr>
        <w:tc>
          <w:tcPr>
            <w:tcW w:w="850" w:type="dxa"/>
            <w:tcBorders>
              <w:top w:val="nil"/>
              <w:left w:val="nil"/>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2022</w:t>
            </w:r>
          </w:p>
        </w:tc>
        <w:tc>
          <w:tcPr>
            <w:tcW w:w="710"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0.72</w:t>
            </w:r>
          </w:p>
        </w:tc>
        <w:tc>
          <w:tcPr>
            <w:tcW w:w="850"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0.77</w:t>
            </w:r>
          </w:p>
        </w:tc>
        <w:tc>
          <w:tcPr>
            <w:tcW w:w="851"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1.10</w:t>
            </w:r>
          </w:p>
        </w:tc>
        <w:tc>
          <w:tcPr>
            <w:tcW w:w="708"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-0.37</w:t>
            </w:r>
          </w:p>
        </w:tc>
        <w:tc>
          <w:tcPr>
            <w:tcW w:w="993"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0.28</w:t>
            </w:r>
          </w:p>
        </w:tc>
        <w:tc>
          <w:tcPr>
            <w:tcW w:w="711"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0.18</w:t>
            </w:r>
          </w:p>
        </w:tc>
        <w:tc>
          <w:tcPr>
            <w:tcW w:w="961"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-0.11</w:t>
            </w:r>
          </w:p>
        </w:tc>
        <w:tc>
          <w:tcPr>
            <w:tcW w:w="851"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0.01</w:t>
            </w:r>
          </w:p>
        </w:tc>
        <w:tc>
          <w:tcPr>
            <w:tcW w:w="595"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0.51</w:t>
            </w:r>
          </w:p>
        </w:tc>
        <w:tc>
          <w:tcPr>
            <w:tcW w:w="851" w:type="dxa"/>
            <w:tcBorders>
              <w:top w:val="nil"/>
              <w:left w:val="nil"/>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1.36</w:t>
            </w:r>
          </w:p>
        </w:tc>
      </w:tr>
      <w:tr w:rsidR="00FA4245" w:rsidRPr="0048520C" w:rsidTr="00FA4245">
        <w:trPr>
          <w:trHeight w:val="255"/>
        </w:trPr>
        <w:tc>
          <w:tcPr>
            <w:tcW w:w="850" w:type="dxa"/>
            <w:tcBorders>
              <w:top w:val="nil"/>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2023</w:t>
            </w:r>
          </w:p>
        </w:tc>
        <w:tc>
          <w:tcPr>
            <w:tcW w:w="710"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0.71</w:t>
            </w:r>
          </w:p>
        </w:tc>
        <w:tc>
          <w:tcPr>
            <w:tcW w:w="850"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0.75</w:t>
            </w:r>
          </w:p>
        </w:tc>
        <w:tc>
          <w:tcPr>
            <w:tcW w:w="85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1.06</w:t>
            </w:r>
          </w:p>
        </w:tc>
        <w:tc>
          <w:tcPr>
            <w:tcW w:w="708"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-0.39</w:t>
            </w:r>
          </w:p>
        </w:tc>
        <w:tc>
          <w:tcPr>
            <w:tcW w:w="993"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0.27</w:t>
            </w:r>
          </w:p>
        </w:tc>
        <w:tc>
          <w:tcPr>
            <w:tcW w:w="71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0.15</w:t>
            </w:r>
          </w:p>
        </w:tc>
        <w:tc>
          <w:tcPr>
            <w:tcW w:w="96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-0.11</w:t>
            </w:r>
          </w:p>
        </w:tc>
        <w:tc>
          <w:tcPr>
            <w:tcW w:w="85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0.00</w:t>
            </w:r>
          </w:p>
        </w:tc>
        <w:tc>
          <w:tcPr>
            <w:tcW w:w="595"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0.49</w:t>
            </w:r>
          </w:p>
        </w:tc>
        <w:tc>
          <w:tcPr>
            <w:tcW w:w="851" w:type="dxa"/>
            <w:tcBorders>
              <w:top w:val="nil"/>
              <w:left w:val="nil"/>
              <w:bottom w:val="single" w:sz="4" w:space="0" w:color="auto"/>
              <w:right w:val="nil"/>
            </w:tcBorders>
            <w:shd w:val="clear" w:color="auto" w:fill="auto"/>
            <w:noWrap/>
            <w:vAlign w:val="bottom"/>
            <w:hideMark/>
          </w:tcPr>
          <w:p w:rsidR="00FA4245" w:rsidRPr="00E55274" w:rsidRDefault="00FA4245" w:rsidP="00FA4245">
            <w:pPr>
              <w:spacing w:after="0" w:line="240" w:lineRule="auto"/>
              <w:jc w:val="center"/>
              <w:rPr>
                <w:rFonts w:ascii="Times New Roman" w:hAnsi="Times New Roman" w:cs="Times New Roman"/>
                <w:sz w:val="20"/>
                <w:szCs w:val="20"/>
              </w:rPr>
            </w:pPr>
            <w:r w:rsidRPr="00E55274">
              <w:rPr>
                <w:rFonts w:ascii="Times New Roman" w:hAnsi="Times New Roman" w:cs="Times New Roman"/>
                <w:sz w:val="20"/>
                <w:szCs w:val="20"/>
              </w:rPr>
              <w:t>1.34</w:t>
            </w:r>
          </w:p>
        </w:tc>
      </w:tr>
    </w:tbl>
    <w:p w:rsidR="00FA4245" w:rsidRPr="00D45203" w:rsidRDefault="00FA4245" w:rsidP="00FA4245">
      <w:pPr>
        <w:rPr>
          <w:rFonts w:ascii="Times New Roman" w:hAnsi="Times New Roman" w:cs="Times New Roman"/>
        </w:rPr>
      </w:pPr>
      <w:r w:rsidRPr="00D45203">
        <w:rPr>
          <w:rFonts w:ascii="Times New Roman" w:hAnsi="Times New Roman" w:cs="Times New Roman"/>
          <w:sz w:val="20"/>
          <w:szCs w:val="20"/>
        </w:rPr>
        <w:t xml:space="preserve">Source: World Bank population estimates and projections (World Bank 2018).  </w:t>
      </w:r>
    </w:p>
    <w:p w:rsidR="00FA4245" w:rsidRDefault="00FA4245" w:rsidP="00FA4245">
      <w:pPr>
        <w:pStyle w:val="Caption"/>
        <w:spacing w:after="120" w:line="240" w:lineRule="auto"/>
        <w:jc w:val="center"/>
        <w:rPr>
          <w:rFonts w:ascii="Times New Roman" w:hAnsi="Times New Roman"/>
          <w:i/>
          <w:sz w:val="24"/>
          <w:szCs w:val="24"/>
        </w:rPr>
      </w:pPr>
      <w:r w:rsidRPr="00D77D78">
        <w:rPr>
          <w:rFonts w:ascii="Times New Roman" w:hAnsi="Times New Roman"/>
          <w:i/>
          <w:sz w:val="24"/>
          <w:szCs w:val="24"/>
        </w:rPr>
        <w:t xml:space="preserve">Table </w:t>
      </w:r>
      <w:r>
        <w:rPr>
          <w:rFonts w:ascii="Times New Roman" w:hAnsi="Times New Roman"/>
          <w:i/>
          <w:sz w:val="24"/>
          <w:szCs w:val="24"/>
        </w:rPr>
        <w:t>A</w:t>
      </w:r>
      <w:r w:rsidR="00A710AF">
        <w:rPr>
          <w:rFonts w:ascii="Times New Roman" w:hAnsi="Times New Roman"/>
          <w:i/>
          <w:sz w:val="24"/>
          <w:szCs w:val="24"/>
        </w:rPr>
        <w:t>1</w:t>
      </w:r>
      <w:r>
        <w:rPr>
          <w:rFonts w:ascii="Times New Roman" w:hAnsi="Times New Roman"/>
          <w:i/>
          <w:sz w:val="24"/>
          <w:szCs w:val="24"/>
        </w:rPr>
        <w:t xml:space="preserve">.3. </w:t>
      </w:r>
      <w:r w:rsidRPr="00D77D78">
        <w:rPr>
          <w:rFonts w:ascii="Times New Roman" w:hAnsi="Times New Roman"/>
          <w:i/>
          <w:sz w:val="24"/>
          <w:szCs w:val="24"/>
        </w:rPr>
        <w:t xml:space="preserve"> Baseline growth rates in labor supply (%)</w:t>
      </w:r>
    </w:p>
    <w:tbl>
      <w:tblPr>
        <w:tblW w:w="8861" w:type="dxa"/>
        <w:tblLook w:val="04A0" w:firstRow="1" w:lastRow="0" w:firstColumn="1" w:lastColumn="0" w:noHBand="0" w:noVBand="1"/>
      </w:tblPr>
      <w:tblGrid>
        <w:gridCol w:w="850"/>
        <w:gridCol w:w="710"/>
        <w:gridCol w:w="850"/>
        <w:gridCol w:w="851"/>
        <w:gridCol w:w="708"/>
        <w:gridCol w:w="993"/>
        <w:gridCol w:w="711"/>
        <w:gridCol w:w="961"/>
        <w:gridCol w:w="851"/>
        <w:gridCol w:w="737"/>
        <w:gridCol w:w="639"/>
      </w:tblGrid>
      <w:tr w:rsidR="00FA4245" w:rsidRPr="0048520C" w:rsidTr="00FA4245">
        <w:trPr>
          <w:trHeight w:val="255"/>
        </w:trPr>
        <w:tc>
          <w:tcPr>
            <w:tcW w:w="85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Years</w:t>
            </w:r>
          </w:p>
        </w:tc>
        <w:tc>
          <w:tcPr>
            <w:tcW w:w="71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USA</w:t>
            </w:r>
          </w:p>
        </w:tc>
        <w:tc>
          <w:tcPr>
            <w:tcW w:w="850"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Canada</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Mexico</w:t>
            </w:r>
          </w:p>
        </w:tc>
        <w:tc>
          <w:tcPr>
            <w:tcW w:w="708"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Japan</w:t>
            </w:r>
          </w:p>
        </w:tc>
        <w:tc>
          <w:tcPr>
            <w:tcW w:w="993"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011E97">
              <w:rPr>
                <w:rFonts w:ascii="Times New Roman" w:eastAsia="Times New Roman" w:hAnsi="Times New Roman" w:cs="Times New Roman"/>
                <w:color w:val="000000"/>
                <w:sz w:val="20"/>
                <w:szCs w:val="20"/>
                <w:lang w:eastAsia="en-AU"/>
              </w:rPr>
              <w:t>S</w:t>
            </w:r>
            <w:r>
              <w:rPr>
                <w:rFonts w:ascii="Times New Roman" w:eastAsia="Times New Roman" w:hAnsi="Times New Roman" w:cs="Times New Roman"/>
                <w:color w:val="000000"/>
                <w:sz w:val="20"/>
                <w:szCs w:val="20"/>
                <w:lang w:eastAsia="en-AU"/>
              </w:rPr>
              <w:t xml:space="preserve">. </w:t>
            </w:r>
            <w:r w:rsidRPr="00011E97">
              <w:rPr>
                <w:rFonts w:ascii="Times New Roman" w:eastAsia="Times New Roman" w:hAnsi="Times New Roman" w:cs="Times New Roman"/>
                <w:color w:val="000000"/>
                <w:sz w:val="20"/>
                <w:szCs w:val="20"/>
                <w:lang w:eastAsia="en-AU"/>
              </w:rPr>
              <w:t>Korea</w:t>
            </w:r>
          </w:p>
        </w:tc>
        <w:tc>
          <w:tcPr>
            <w:tcW w:w="71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China</w:t>
            </w:r>
          </w:p>
        </w:tc>
        <w:tc>
          <w:tcPr>
            <w:tcW w:w="96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Germany</w:t>
            </w:r>
          </w:p>
        </w:tc>
        <w:tc>
          <w:tcPr>
            <w:tcW w:w="851"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EU</w:t>
            </w:r>
            <w:r>
              <w:rPr>
                <w:rFonts w:ascii="Times New Roman" w:eastAsia="Times New Roman" w:hAnsi="Times New Roman" w:cs="Times New Roman"/>
                <w:color w:val="000000"/>
                <w:sz w:val="20"/>
                <w:szCs w:val="20"/>
                <w:lang w:eastAsia="en-AU"/>
              </w:rPr>
              <w:t>-</w:t>
            </w:r>
            <w:r w:rsidRPr="0048520C">
              <w:rPr>
                <w:rFonts w:ascii="Times New Roman" w:eastAsia="Times New Roman" w:hAnsi="Times New Roman" w:cs="Times New Roman"/>
                <w:color w:val="000000"/>
                <w:sz w:val="20"/>
                <w:szCs w:val="20"/>
                <w:lang w:eastAsia="en-AU"/>
              </w:rPr>
              <w:t>26</w:t>
            </w:r>
          </w:p>
        </w:tc>
        <w:tc>
          <w:tcPr>
            <w:tcW w:w="737"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UK</w:t>
            </w:r>
          </w:p>
        </w:tc>
        <w:tc>
          <w:tcPr>
            <w:tcW w:w="639" w:type="dxa"/>
            <w:tcBorders>
              <w:top w:val="single" w:sz="4" w:space="0" w:color="auto"/>
              <w:left w:val="nil"/>
              <w:bottom w:val="single" w:sz="4" w:space="0" w:color="auto"/>
              <w:right w:val="nil"/>
            </w:tcBorders>
            <w:shd w:val="clear" w:color="auto" w:fill="auto"/>
            <w:noWrap/>
            <w:vAlign w:val="bottom"/>
            <w:hideMark/>
          </w:tcPr>
          <w:p w:rsidR="00FA4245" w:rsidRPr="0048520C" w:rsidRDefault="00FA4245" w:rsidP="00FA4245">
            <w:pPr>
              <w:spacing w:after="0" w:line="240" w:lineRule="auto"/>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RoW</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2011</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0.61</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0.65</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2.12</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-1.13</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0.88</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0.42</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-1.89</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-0.27</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0.30</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1.87</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2012</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0.59</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0.82</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2.05</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-1.18</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0.62</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0.29</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0.20</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-0.36</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0.21</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1.77</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2013</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0.51</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0.74</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1.97</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-1.20</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0.48</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0.17</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0.29</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-0.32</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0.18</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1.83</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2014</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0.50</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0.60</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1.89</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-1.16</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0.54</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0.08</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0.37</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-0.37</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0.26</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1.79</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2015</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0.44</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0.28</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1.80</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-1.06</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0.31</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0.00</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0.74</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-0.48</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0.31</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1.75</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2016</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0.42</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0.58</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1.64</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-0.92</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0.15</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-0.10</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0.62</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-0.36</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0.30</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1.65</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2017</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0.31</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0.52</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1.60</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-0.88</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0.02</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-0.13</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0.16</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-0.36</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0.24</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1.62</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2018</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0.27</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0.14</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1.53</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-0.93</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-0.20</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-0.35</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-0.44</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-0.43</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0.17</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1.58</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2019</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0.26</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0.12</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1.45</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-0.87</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-0.36</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-0.33</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-0.51</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-0.41</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0.20</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1.56</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2020</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0.27</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0.11</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1.37</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-0.82</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-0.53</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-0.28</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-0.56</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-0.40</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0.22</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1.54</w:t>
            </w:r>
          </w:p>
        </w:tc>
      </w:tr>
      <w:tr w:rsidR="00B2718C" w:rsidRPr="0048520C" w:rsidTr="00AE0A23">
        <w:trPr>
          <w:trHeight w:val="255"/>
        </w:trPr>
        <w:tc>
          <w:tcPr>
            <w:tcW w:w="850" w:type="dxa"/>
            <w:tcBorders>
              <w:top w:val="nil"/>
              <w:left w:val="nil"/>
              <w:bottom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2021</w:t>
            </w:r>
          </w:p>
        </w:tc>
        <w:tc>
          <w:tcPr>
            <w:tcW w:w="71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0.15</w:t>
            </w:r>
          </w:p>
        </w:tc>
        <w:tc>
          <w:tcPr>
            <w:tcW w:w="850"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0.03</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1.34</w:t>
            </w:r>
          </w:p>
        </w:tc>
        <w:tc>
          <w:tcPr>
            <w:tcW w:w="708"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-0.69</w:t>
            </w:r>
          </w:p>
        </w:tc>
        <w:tc>
          <w:tcPr>
            <w:tcW w:w="993"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-0.65</w:t>
            </w:r>
          </w:p>
        </w:tc>
        <w:tc>
          <w:tcPr>
            <w:tcW w:w="71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-0.20</w:t>
            </w:r>
          </w:p>
        </w:tc>
        <w:tc>
          <w:tcPr>
            <w:tcW w:w="96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-0.70</w:t>
            </w:r>
          </w:p>
        </w:tc>
        <w:tc>
          <w:tcPr>
            <w:tcW w:w="851"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-0.43</w:t>
            </w:r>
          </w:p>
        </w:tc>
        <w:tc>
          <w:tcPr>
            <w:tcW w:w="737"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0.19</w:t>
            </w:r>
          </w:p>
        </w:tc>
        <w:tc>
          <w:tcPr>
            <w:tcW w:w="639" w:type="dxa"/>
            <w:tcBorders>
              <w:top w:val="nil"/>
              <w:left w:val="nil"/>
              <w:bottom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1.48</w:t>
            </w:r>
          </w:p>
        </w:tc>
      </w:tr>
      <w:tr w:rsidR="00B2718C" w:rsidRPr="0048520C" w:rsidTr="00AE0A23">
        <w:trPr>
          <w:trHeight w:val="255"/>
        </w:trPr>
        <w:tc>
          <w:tcPr>
            <w:tcW w:w="850" w:type="dxa"/>
            <w:tcBorders>
              <w:top w:val="nil"/>
              <w:left w:val="nil"/>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2022</w:t>
            </w:r>
          </w:p>
        </w:tc>
        <w:tc>
          <w:tcPr>
            <w:tcW w:w="710"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0.21</w:t>
            </w:r>
          </w:p>
        </w:tc>
        <w:tc>
          <w:tcPr>
            <w:tcW w:w="850"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0.06</w:t>
            </w:r>
          </w:p>
        </w:tc>
        <w:tc>
          <w:tcPr>
            <w:tcW w:w="851"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1.25</w:t>
            </w:r>
          </w:p>
        </w:tc>
        <w:tc>
          <w:tcPr>
            <w:tcW w:w="708"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-0.63</w:t>
            </w:r>
          </w:p>
        </w:tc>
        <w:tc>
          <w:tcPr>
            <w:tcW w:w="993"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-0.81</w:t>
            </w:r>
          </w:p>
        </w:tc>
        <w:tc>
          <w:tcPr>
            <w:tcW w:w="711"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-0.15</w:t>
            </w:r>
          </w:p>
        </w:tc>
        <w:tc>
          <w:tcPr>
            <w:tcW w:w="961"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-0.75</w:t>
            </w:r>
          </w:p>
        </w:tc>
        <w:tc>
          <w:tcPr>
            <w:tcW w:w="851"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-0.38</w:t>
            </w:r>
          </w:p>
        </w:tc>
        <w:tc>
          <w:tcPr>
            <w:tcW w:w="737"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0.23</w:t>
            </w:r>
          </w:p>
        </w:tc>
        <w:tc>
          <w:tcPr>
            <w:tcW w:w="639" w:type="dxa"/>
            <w:tcBorders>
              <w:top w:val="nil"/>
              <w:left w:val="nil"/>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1.47</w:t>
            </w:r>
          </w:p>
        </w:tc>
      </w:tr>
      <w:tr w:rsidR="00B2718C" w:rsidRPr="0048520C" w:rsidTr="00AE0A23">
        <w:trPr>
          <w:trHeight w:val="255"/>
        </w:trPr>
        <w:tc>
          <w:tcPr>
            <w:tcW w:w="850" w:type="dxa"/>
            <w:tcBorders>
              <w:top w:val="nil"/>
              <w:left w:val="nil"/>
              <w:bottom w:val="single" w:sz="4" w:space="0" w:color="auto"/>
              <w:right w:val="nil"/>
            </w:tcBorders>
            <w:shd w:val="clear" w:color="auto" w:fill="auto"/>
            <w:noWrap/>
            <w:vAlign w:val="bottom"/>
            <w:hideMark/>
          </w:tcPr>
          <w:p w:rsidR="00B2718C" w:rsidRPr="0048520C" w:rsidRDefault="00B2718C" w:rsidP="00B2718C">
            <w:pPr>
              <w:spacing w:after="0" w:line="240" w:lineRule="auto"/>
              <w:jc w:val="center"/>
              <w:rPr>
                <w:rFonts w:ascii="Times New Roman" w:eastAsia="Times New Roman" w:hAnsi="Times New Roman" w:cs="Times New Roman"/>
                <w:color w:val="000000"/>
                <w:sz w:val="20"/>
                <w:szCs w:val="20"/>
                <w:lang w:eastAsia="en-AU"/>
              </w:rPr>
            </w:pPr>
            <w:r w:rsidRPr="0048520C">
              <w:rPr>
                <w:rFonts w:ascii="Times New Roman" w:eastAsia="Times New Roman" w:hAnsi="Times New Roman" w:cs="Times New Roman"/>
                <w:color w:val="000000"/>
                <w:sz w:val="20"/>
                <w:szCs w:val="20"/>
                <w:lang w:eastAsia="en-AU"/>
              </w:rPr>
              <w:t>2023</w:t>
            </w:r>
          </w:p>
        </w:tc>
        <w:tc>
          <w:tcPr>
            <w:tcW w:w="710"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0.22</w:t>
            </w:r>
          </w:p>
        </w:tc>
        <w:tc>
          <w:tcPr>
            <w:tcW w:w="850"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0.08</w:t>
            </w:r>
          </w:p>
        </w:tc>
        <w:tc>
          <w:tcPr>
            <w:tcW w:w="851"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1.18</w:t>
            </w:r>
          </w:p>
        </w:tc>
        <w:tc>
          <w:tcPr>
            <w:tcW w:w="708"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-0.60</w:t>
            </w:r>
          </w:p>
        </w:tc>
        <w:tc>
          <w:tcPr>
            <w:tcW w:w="993"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-0.93</w:t>
            </w:r>
          </w:p>
        </w:tc>
        <w:tc>
          <w:tcPr>
            <w:tcW w:w="711"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-0.14</w:t>
            </w:r>
          </w:p>
        </w:tc>
        <w:tc>
          <w:tcPr>
            <w:tcW w:w="961"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-0.80</w:t>
            </w:r>
          </w:p>
        </w:tc>
        <w:tc>
          <w:tcPr>
            <w:tcW w:w="851"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-0.36</w:t>
            </w:r>
          </w:p>
        </w:tc>
        <w:tc>
          <w:tcPr>
            <w:tcW w:w="737"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0.23</w:t>
            </w:r>
          </w:p>
        </w:tc>
        <w:tc>
          <w:tcPr>
            <w:tcW w:w="639" w:type="dxa"/>
            <w:tcBorders>
              <w:top w:val="nil"/>
              <w:left w:val="nil"/>
              <w:bottom w:val="single" w:sz="4" w:space="0" w:color="auto"/>
              <w:right w:val="nil"/>
            </w:tcBorders>
            <w:shd w:val="clear" w:color="auto" w:fill="auto"/>
            <w:noWrap/>
            <w:vAlign w:val="bottom"/>
            <w:hideMark/>
          </w:tcPr>
          <w:p w:rsidR="00B2718C" w:rsidRPr="00B2718C" w:rsidRDefault="00B2718C" w:rsidP="00B2718C">
            <w:pPr>
              <w:spacing w:after="0" w:line="240" w:lineRule="auto"/>
              <w:jc w:val="right"/>
              <w:rPr>
                <w:rFonts w:ascii="Times New Roman" w:hAnsi="Times New Roman" w:cs="Times New Roman"/>
                <w:color w:val="000000"/>
                <w:sz w:val="20"/>
                <w:szCs w:val="20"/>
              </w:rPr>
            </w:pPr>
            <w:r w:rsidRPr="00B2718C">
              <w:rPr>
                <w:rFonts w:ascii="Times New Roman" w:hAnsi="Times New Roman" w:cs="Times New Roman"/>
                <w:color w:val="000000"/>
                <w:sz w:val="20"/>
                <w:szCs w:val="20"/>
              </w:rPr>
              <w:t>1.46</w:t>
            </w:r>
          </w:p>
        </w:tc>
      </w:tr>
    </w:tbl>
    <w:p w:rsidR="00DD6EC4" w:rsidRDefault="00DD6EC4">
      <w:pPr>
        <w:rPr>
          <w:rFonts w:ascii="Times New Roman" w:hAnsi="Times New Roman" w:cs="Times New Roman"/>
          <w:b/>
          <w:sz w:val="24"/>
          <w:szCs w:val="24"/>
        </w:rPr>
      </w:pPr>
      <w:r>
        <w:rPr>
          <w:rFonts w:ascii="Times New Roman" w:hAnsi="Times New Roman" w:cs="Times New Roman"/>
          <w:b/>
          <w:sz w:val="24"/>
          <w:szCs w:val="24"/>
        </w:rPr>
        <w:br w:type="page"/>
      </w:r>
    </w:p>
    <w:p w:rsidR="006E3A87" w:rsidRDefault="006E3A87" w:rsidP="001501F1">
      <w:pPr>
        <w:spacing w:before="120" w:after="0" w:line="240" w:lineRule="auto"/>
        <w:ind w:left="-426"/>
        <w:jc w:val="both"/>
        <w:rPr>
          <w:rFonts w:ascii="Times New Roman" w:hAnsi="Times New Roman"/>
          <w:b/>
          <w:sz w:val="24"/>
          <w:szCs w:val="24"/>
        </w:rPr>
      </w:pPr>
      <w:r w:rsidRPr="0077254E">
        <w:rPr>
          <w:rFonts w:ascii="Times New Roman" w:hAnsi="Times New Roman"/>
          <w:b/>
          <w:sz w:val="24"/>
          <w:szCs w:val="24"/>
        </w:rPr>
        <w:lastRenderedPageBreak/>
        <w:t xml:space="preserve">Appendix </w:t>
      </w:r>
      <w:r>
        <w:rPr>
          <w:rFonts w:ascii="Times New Roman" w:hAnsi="Times New Roman"/>
          <w:b/>
          <w:sz w:val="24"/>
          <w:szCs w:val="24"/>
        </w:rPr>
        <w:t>2</w:t>
      </w:r>
      <w:r w:rsidRPr="0077254E">
        <w:rPr>
          <w:rFonts w:ascii="Times New Roman" w:hAnsi="Times New Roman"/>
          <w:b/>
          <w:sz w:val="24"/>
          <w:szCs w:val="24"/>
        </w:rPr>
        <w:t xml:space="preserve">.  </w:t>
      </w:r>
      <w:r w:rsidR="001501F1">
        <w:rPr>
          <w:rFonts w:ascii="Times New Roman" w:hAnsi="Times New Roman"/>
          <w:b/>
          <w:sz w:val="24"/>
          <w:szCs w:val="24"/>
        </w:rPr>
        <w:t>Two i</w:t>
      </w:r>
      <w:r>
        <w:rPr>
          <w:rFonts w:ascii="Times New Roman" w:hAnsi="Times New Roman"/>
          <w:b/>
          <w:sz w:val="24"/>
          <w:szCs w:val="24"/>
        </w:rPr>
        <w:t xml:space="preserve">llustrative dynamic tariff simulations with </w:t>
      </w:r>
      <w:r w:rsidRPr="0077254E">
        <w:rPr>
          <w:rFonts w:ascii="Times New Roman" w:hAnsi="Times New Roman"/>
          <w:b/>
          <w:sz w:val="24"/>
          <w:szCs w:val="24"/>
        </w:rPr>
        <w:t>GTAP-MVH</w:t>
      </w:r>
    </w:p>
    <w:p w:rsidR="001501F1" w:rsidRPr="001501F1" w:rsidRDefault="001501F1" w:rsidP="001501F1">
      <w:pPr>
        <w:spacing w:before="120" w:after="0" w:line="240" w:lineRule="auto"/>
        <w:ind w:left="-426"/>
        <w:jc w:val="both"/>
        <w:rPr>
          <w:rFonts w:ascii="Times New Roman" w:hAnsi="Times New Roman"/>
          <w:sz w:val="24"/>
          <w:szCs w:val="24"/>
        </w:rPr>
      </w:pPr>
    </w:p>
    <w:p w:rsidR="001501F1" w:rsidRPr="00BD239B" w:rsidRDefault="001501F1" w:rsidP="00BD239B">
      <w:pPr>
        <w:spacing w:before="120" w:after="0" w:line="240" w:lineRule="auto"/>
        <w:ind w:left="-425"/>
        <w:rPr>
          <w:rFonts w:ascii="Times New Roman" w:hAnsi="Times New Roman"/>
          <w:b/>
          <w:i/>
          <w:sz w:val="24"/>
          <w:szCs w:val="24"/>
        </w:rPr>
      </w:pPr>
    </w:p>
    <w:tbl>
      <w:tblPr>
        <w:tblW w:w="7794" w:type="dxa"/>
        <w:tblInd w:w="-15" w:type="dxa"/>
        <w:tblBorders>
          <w:top w:val="single" w:sz="18" w:space="0" w:color="7F7F7F" w:themeColor="text1" w:themeTint="80"/>
          <w:bottom w:val="single" w:sz="18" w:space="0" w:color="7F7F7F" w:themeColor="text1" w:themeTint="80"/>
        </w:tblBorders>
        <w:tblCellMar>
          <w:left w:w="0" w:type="dxa"/>
          <w:right w:w="0" w:type="dxa"/>
        </w:tblCellMar>
        <w:tblLook w:val="04A0" w:firstRow="1" w:lastRow="0" w:firstColumn="1" w:lastColumn="0" w:noHBand="0" w:noVBand="1"/>
      </w:tblPr>
      <w:tblGrid>
        <w:gridCol w:w="2361"/>
        <w:gridCol w:w="1613"/>
        <w:gridCol w:w="1922"/>
        <w:gridCol w:w="1898"/>
      </w:tblGrid>
      <w:tr w:rsidR="001501F1" w:rsidRPr="00565CCD" w:rsidTr="001501F1">
        <w:trPr>
          <w:trHeight w:val="365"/>
        </w:trPr>
        <w:tc>
          <w:tcPr>
            <w:tcW w:w="2361" w:type="dxa"/>
            <w:tcBorders>
              <w:top w:val="single" w:sz="18" w:space="0" w:color="7F7F7F" w:themeColor="text1" w:themeTint="80"/>
              <w:bottom w:val="single" w:sz="18" w:space="0" w:color="7F7F7F" w:themeColor="text1" w:themeTint="80"/>
              <w:right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rPr>
                <w:bCs/>
                <w:color w:val="000000"/>
                <w:lang w:eastAsia="en-CA"/>
              </w:rPr>
            </w:pPr>
            <w:r w:rsidRPr="00565CCD">
              <w:rPr>
                <w:bCs/>
                <w:color w:val="000000"/>
                <w:lang w:eastAsia="en-CA"/>
              </w:rPr>
              <w:t>Exporter \ Importer</w:t>
            </w:r>
          </w:p>
        </w:tc>
        <w:tc>
          <w:tcPr>
            <w:tcW w:w="1613" w:type="dxa"/>
            <w:tcBorders>
              <w:top w:val="single" w:sz="18" w:space="0" w:color="7F7F7F" w:themeColor="text1" w:themeTint="80"/>
              <w:left w:val="single" w:sz="18" w:space="0" w:color="7F7F7F" w:themeColor="text1" w:themeTint="80"/>
              <w:bottom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jc w:val="center"/>
              <w:rPr>
                <w:bCs/>
                <w:color w:val="000000"/>
                <w:lang w:eastAsia="en-CA"/>
              </w:rPr>
            </w:pPr>
            <w:r w:rsidRPr="00565CCD">
              <w:rPr>
                <w:bCs/>
                <w:color w:val="000000"/>
                <w:lang w:eastAsia="en-CA"/>
              </w:rPr>
              <w:t>US Imports</w:t>
            </w:r>
          </w:p>
        </w:tc>
        <w:tc>
          <w:tcPr>
            <w:tcW w:w="1922" w:type="dxa"/>
            <w:tcBorders>
              <w:top w:val="single" w:sz="18" w:space="0" w:color="7F7F7F" w:themeColor="text1" w:themeTint="80"/>
              <w:bottom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jc w:val="center"/>
              <w:rPr>
                <w:bCs/>
                <w:color w:val="000000"/>
                <w:lang w:eastAsia="en-CA"/>
              </w:rPr>
            </w:pPr>
            <w:r w:rsidRPr="00565CCD">
              <w:rPr>
                <w:bCs/>
                <w:color w:val="000000"/>
                <w:lang w:eastAsia="en-CA"/>
              </w:rPr>
              <w:t>Mexico Imports</w:t>
            </w:r>
          </w:p>
        </w:tc>
        <w:tc>
          <w:tcPr>
            <w:tcW w:w="1898" w:type="dxa"/>
            <w:tcBorders>
              <w:top w:val="single" w:sz="18" w:space="0" w:color="7F7F7F" w:themeColor="text1" w:themeTint="80"/>
              <w:bottom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jc w:val="center"/>
              <w:rPr>
                <w:bCs/>
                <w:color w:val="000000"/>
                <w:lang w:eastAsia="en-CA"/>
              </w:rPr>
            </w:pPr>
            <w:r w:rsidRPr="00565CCD">
              <w:rPr>
                <w:bCs/>
                <w:color w:val="000000"/>
                <w:lang w:eastAsia="en-CA"/>
              </w:rPr>
              <w:t>Canada Imports</w:t>
            </w:r>
          </w:p>
        </w:tc>
      </w:tr>
      <w:tr w:rsidR="001501F1" w:rsidRPr="00565CCD" w:rsidTr="001501F1">
        <w:trPr>
          <w:trHeight w:val="365"/>
        </w:trPr>
        <w:tc>
          <w:tcPr>
            <w:tcW w:w="2361" w:type="dxa"/>
            <w:tcBorders>
              <w:top w:val="single" w:sz="18" w:space="0" w:color="7F7F7F" w:themeColor="text1" w:themeTint="80"/>
              <w:right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rPr>
                <w:bCs/>
                <w:color w:val="000000"/>
                <w:lang w:eastAsia="en-CA"/>
              </w:rPr>
            </w:pPr>
            <w:r w:rsidRPr="00565CCD">
              <w:rPr>
                <w:bCs/>
                <w:color w:val="000000"/>
                <w:lang w:eastAsia="en-CA"/>
              </w:rPr>
              <w:t>Canada Exports</w:t>
            </w:r>
          </w:p>
        </w:tc>
        <w:tc>
          <w:tcPr>
            <w:tcW w:w="1613" w:type="dxa"/>
            <w:tcBorders>
              <w:top w:val="single" w:sz="18" w:space="0" w:color="7F7F7F" w:themeColor="text1" w:themeTint="80"/>
              <w:left w:val="single" w:sz="18" w:space="0" w:color="7F7F7F" w:themeColor="text1" w:themeTint="80"/>
            </w:tcBorders>
            <w:noWrap/>
            <w:tcMar>
              <w:top w:w="0" w:type="dxa"/>
              <w:left w:w="108" w:type="dxa"/>
              <w:bottom w:w="0" w:type="dxa"/>
              <w:right w:w="108" w:type="dxa"/>
            </w:tcMar>
            <w:vAlign w:val="bottom"/>
            <w:hideMark/>
          </w:tcPr>
          <w:p w:rsidR="001501F1" w:rsidRPr="00565CCD" w:rsidRDefault="001501F1" w:rsidP="00BD239B">
            <w:pPr>
              <w:jc w:val="right"/>
              <w:rPr>
                <w:color w:val="000000"/>
                <w:lang w:eastAsia="en-CA"/>
              </w:rPr>
            </w:pPr>
            <w:r w:rsidRPr="00565CCD">
              <w:rPr>
                <w:color w:val="000000"/>
                <w:lang w:eastAsia="en-CA"/>
              </w:rPr>
              <w:t>0.64</w:t>
            </w:r>
          </w:p>
        </w:tc>
        <w:tc>
          <w:tcPr>
            <w:tcW w:w="1922" w:type="dxa"/>
            <w:tcBorders>
              <w:top w:val="single" w:sz="18" w:space="0" w:color="7F7F7F" w:themeColor="text1" w:themeTint="80"/>
            </w:tcBorders>
            <w:noWrap/>
            <w:tcMar>
              <w:top w:w="0" w:type="dxa"/>
              <w:left w:w="108" w:type="dxa"/>
              <w:bottom w:w="0" w:type="dxa"/>
              <w:right w:w="108" w:type="dxa"/>
            </w:tcMar>
            <w:vAlign w:val="bottom"/>
            <w:hideMark/>
          </w:tcPr>
          <w:p w:rsidR="001501F1" w:rsidRPr="00565CCD" w:rsidRDefault="001501F1" w:rsidP="00BD239B">
            <w:pPr>
              <w:jc w:val="right"/>
              <w:rPr>
                <w:color w:val="000000"/>
                <w:lang w:eastAsia="en-CA"/>
              </w:rPr>
            </w:pPr>
            <w:r w:rsidRPr="00565CCD">
              <w:rPr>
                <w:color w:val="000000"/>
                <w:lang w:eastAsia="en-CA"/>
              </w:rPr>
              <w:t>6.43</w:t>
            </w:r>
          </w:p>
        </w:tc>
        <w:tc>
          <w:tcPr>
            <w:tcW w:w="1898" w:type="dxa"/>
            <w:tcBorders>
              <w:top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rPr>
                <w:color w:val="000000"/>
                <w:lang w:eastAsia="en-CA"/>
              </w:rPr>
            </w:pPr>
          </w:p>
        </w:tc>
      </w:tr>
      <w:tr w:rsidR="001501F1" w:rsidRPr="00565CCD" w:rsidTr="001501F1">
        <w:trPr>
          <w:trHeight w:val="365"/>
        </w:trPr>
        <w:tc>
          <w:tcPr>
            <w:tcW w:w="2361" w:type="dxa"/>
            <w:tcBorders>
              <w:right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rPr>
                <w:rFonts w:ascii="Calibri" w:hAnsi="Calibri" w:cs="Calibri"/>
                <w:bCs/>
                <w:color w:val="000000"/>
                <w:lang w:eastAsia="en-CA"/>
              </w:rPr>
            </w:pPr>
            <w:r w:rsidRPr="00565CCD">
              <w:rPr>
                <w:bCs/>
                <w:color w:val="000000"/>
                <w:lang w:eastAsia="en-CA"/>
              </w:rPr>
              <w:t>Mexico Exports</w:t>
            </w:r>
          </w:p>
        </w:tc>
        <w:tc>
          <w:tcPr>
            <w:tcW w:w="1613" w:type="dxa"/>
            <w:tcBorders>
              <w:left w:val="single" w:sz="18" w:space="0" w:color="7F7F7F" w:themeColor="text1" w:themeTint="80"/>
            </w:tcBorders>
            <w:noWrap/>
            <w:tcMar>
              <w:top w:w="0" w:type="dxa"/>
              <w:left w:w="108" w:type="dxa"/>
              <w:bottom w:w="0" w:type="dxa"/>
              <w:right w:w="108" w:type="dxa"/>
            </w:tcMar>
            <w:vAlign w:val="bottom"/>
            <w:hideMark/>
          </w:tcPr>
          <w:p w:rsidR="001501F1" w:rsidRPr="00565CCD" w:rsidRDefault="001501F1" w:rsidP="00BD239B">
            <w:pPr>
              <w:jc w:val="right"/>
              <w:rPr>
                <w:color w:val="000000"/>
                <w:lang w:eastAsia="en-CA"/>
              </w:rPr>
            </w:pPr>
            <w:r w:rsidRPr="00565CCD">
              <w:rPr>
                <w:color w:val="000000"/>
                <w:lang w:eastAsia="en-CA"/>
              </w:rPr>
              <w:t>1.1</w:t>
            </w:r>
            <w:r w:rsidR="00BD239B">
              <w:rPr>
                <w:color w:val="000000"/>
                <w:lang w:eastAsia="en-CA"/>
              </w:rPr>
              <w:t>2</w:t>
            </w:r>
          </w:p>
        </w:tc>
        <w:tc>
          <w:tcPr>
            <w:tcW w:w="1922" w:type="dxa"/>
            <w:noWrap/>
            <w:tcMar>
              <w:top w:w="0" w:type="dxa"/>
              <w:left w:w="108" w:type="dxa"/>
              <w:bottom w:w="0" w:type="dxa"/>
              <w:right w:w="108" w:type="dxa"/>
            </w:tcMar>
            <w:vAlign w:val="bottom"/>
            <w:hideMark/>
          </w:tcPr>
          <w:p w:rsidR="001501F1" w:rsidRPr="00565CCD" w:rsidRDefault="001501F1">
            <w:pPr>
              <w:rPr>
                <w:color w:val="000000"/>
                <w:lang w:eastAsia="en-CA"/>
              </w:rPr>
            </w:pPr>
          </w:p>
        </w:tc>
        <w:tc>
          <w:tcPr>
            <w:tcW w:w="1898" w:type="dxa"/>
            <w:noWrap/>
            <w:tcMar>
              <w:top w:w="0" w:type="dxa"/>
              <w:left w:w="108" w:type="dxa"/>
              <w:bottom w:w="0" w:type="dxa"/>
              <w:right w:w="108" w:type="dxa"/>
            </w:tcMar>
            <w:vAlign w:val="bottom"/>
            <w:hideMark/>
          </w:tcPr>
          <w:p w:rsidR="001501F1" w:rsidRPr="00565CCD" w:rsidRDefault="001501F1" w:rsidP="00BD239B">
            <w:pPr>
              <w:jc w:val="right"/>
              <w:rPr>
                <w:rFonts w:ascii="Calibri" w:hAnsi="Calibri" w:cs="Calibri"/>
                <w:color w:val="000000"/>
                <w:lang w:eastAsia="en-CA"/>
              </w:rPr>
            </w:pPr>
            <w:r w:rsidRPr="00565CCD">
              <w:rPr>
                <w:color w:val="000000"/>
                <w:lang w:eastAsia="en-CA"/>
              </w:rPr>
              <w:t>3.1</w:t>
            </w:r>
            <w:r w:rsidR="00BD239B">
              <w:rPr>
                <w:color w:val="000000"/>
                <w:lang w:eastAsia="en-CA"/>
              </w:rPr>
              <w:t>2</w:t>
            </w:r>
          </w:p>
        </w:tc>
      </w:tr>
      <w:tr w:rsidR="001501F1" w:rsidRPr="00565CCD" w:rsidTr="001501F1">
        <w:trPr>
          <w:trHeight w:val="365"/>
        </w:trPr>
        <w:tc>
          <w:tcPr>
            <w:tcW w:w="2361" w:type="dxa"/>
            <w:tcBorders>
              <w:bottom w:val="single" w:sz="18" w:space="0" w:color="7F7F7F" w:themeColor="text1" w:themeTint="80"/>
              <w:right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rPr>
                <w:bCs/>
                <w:color w:val="000000"/>
                <w:lang w:eastAsia="en-CA"/>
              </w:rPr>
            </w:pPr>
            <w:r w:rsidRPr="00565CCD">
              <w:rPr>
                <w:bCs/>
                <w:color w:val="000000"/>
                <w:lang w:eastAsia="en-CA"/>
              </w:rPr>
              <w:t>US Exports</w:t>
            </w:r>
          </w:p>
        </w:tc>
        <w:tc>
          <w:tcPr>
            <w:tcW w:w="1613" w:type="dxa"/>
            <w:tcBorders>
              <w:left w:val="single" w:sz="18" w:space="0" w:color="7F7F7F" w:themeColor="text1" w:themeTint="80"/>
            </w:tcBorders>
            <w:noWrap/>
            <w:tcMar>
              <w:top w:w="0" w:type="dxa"/>
              <w:left w:w="108" w:type="dxa"/>
              <w:bottom w:w="0" w:type="dxa"/>
              <w:right w:w="108" w:type="dxa"/>
            </w:tcMar>
            <w:vAlign w:val="bottom"/>
            <w:hideMark/>
          </w:tcPr>
          <w:p w:rsidR="001501F1" w:rsidRPr="00565CCD" w:rsidRDefault="001501F1">
            <w:pPr>
              <w:rPr>
                <w:bCs/>
                <w:color w:val="000000"/>
                <w:lang w:eastAsia="en-CA"/>
              </w:rPr>
            </w:pPr>
          </w:p>
        </w:tc>
        <w:tc>
          <w:tcPr>
            <w:tcW w:w="1922" w:type="dxa"/>
            <w:noWrap/>
            <w:tcMar>
              <w:top w:w="0" w:type="dxa"/>
              <w:left w:w="108" w:type="dxa"/>
              <w:bottom w:w="0" w:type="dxa"/>
              <w:right w:w="108" w:type="dxa"/>
            </w:tcMar>
            <w:vAlign w:val="bottom"/>
            <w:hideMark/>
          </w:tcPr>
          <w:p w:rsidR="001501F1" w:rsidRPr="00565CCD" w:rsidRDefault="001501F1" w:rsidP="00BD239B">
            <w:pPr>
              <w:jc w:val="right"/>
              <w:rPr>
                <w:rFonts w:ascii="Calibri" w:hAnsi="Calibri" w:cs="Calibri"/>
                <w:color w:val="000000"/>
                <w:lang w:eastAsia="en-CA"/>
              </w:rPr>
            </w:pPr>
            <w:r w:rsidRPr="00565CCD">
              <w:rPr>
                <w:color w:val="000000"/>
                <w:lang w:eastAsia="en-CA"/>
              </w:rPr>
              <w:t>10.84</w:t>
            </w:r>
          </w:p>
        </w:tc>
        <w:tc>
          <w:tcPr>
            <w:tcW w:w="1898" w:type="dxa"/>
            <w:noWrap/>
            <w:tcMar>
              <w:top w:w="0" w:type="dxa"/>
              <w:left w:w="108" w:type="dxa"/>
              <w:bottom w:w="0" w:type="dxa"/>
              <w:right w:w="108" w:type="dxa"/>
            </w:tcMar>
            <w:vAlign w:val="bottom"/>
            <w:hideMark/>
          </w:tcPr>
          <w:p w:rsidR="001501F1" w:rsidRPr="00565CCD" w:rsidRDefault="001501F1" w:rsidP="00BD239B">
            <w:pPr>
              <w:jc w:val="right"/>
              <w:rPr>
                <w:color w:val="000000"/>
                <w:lang w:eastAsia="en-CA"/>
              </w:rPr>
            </w:pPr>
            <w:r w:rsidRPr="00565CCD">
              <w:rPr>
                <w:color w:val="000000"/>
                <w:lang w:eastAsia="en-CA"/>
              </w:rPr>
              <w:t>2.50</w:t>
            </w:r>
          </w:p>
        </w:tc>
      </w:tr>
    </w:tbl>
    <w:p w:rsidR="001501F1" w:rsidRDefault="001501F1" w:rsidP="001501F1">
      <w:pPr>
        <w:rPr>
          <w:rFonts w:ascii="Calibri" w:hAnsi="Calibri" w:cs="Calibri"/>
          <w:lang w:val="en-CA"/>
        </w:rPr>
      </w:pPr>
    </w:p>
    <w:p w:rsidR="001501F1" w:rsidRPr="00565CCD" w:rsidRDefault="00565CCD" w:rsidP="00565CCD">
      <w:pPr>
        <w:spacing w:before="120" w:after="0" w:line="240" w:lineRule="auto"/>
        <w:rPr>
          <w:rFonts w:ascii="Times New Roman" w:hAnsi="Times New Roman" w:cs="Times New Roman"/>
          <w:sz w:val="24"/>
          <w:szCs w:val="24"/>
          <w:lang w:val="en-CA"/>
        </w:rPr>
      </w:pPr>
      <w:r>
        <w:rPr>
          <w:rFonts w:ascii="Times New Roman" w:hAnsi="Times New Roman" w:cs="Times New Roman"/>
          <w:sz w:val="24"/>
          <w:szCs w:val="24"/>
          <w:lang w:val="en-CA"/>
        </w:rPr>
        <w:t>In the first experiment we simulate the effects of increases imposed in 2016 in the powers of tariffs as shown in the table above on finished vehicles</w:t>
      </w:r>
      <w:r w:rsidR="00BD239B">
        <w:rPr>
          <w:rFonts w:ascii="Times New Roman" w:hAnsi="Times New Roman" w:cs="Times New Roman"/>
          <w:sz w:val="24"/>
          <w:szCs w:val="24"/>
          <w:lang w:val="en-CA"/>
        </w:rPr>
        <w:t xml:space="preserve">.  These are Automobiles (com 13, Table 2.2) and Trucks, utilities &amp; trailers (com 21).  </w:t>
      </w:r>
      <w:r w:rsidR="001501F1" w:rsidRPr="00565CCD">
        <w:rPr>
          <w:rFonts w:ascii="Times New Roman" w:hAnsi="Times New Roman" w:cs="Times New Roman"/>
          <w:sz w:val="24"/>
          <w:szCs w:val="24"/>
          <w:lang w:val="en-CA"/>
        </w:rPr>
        <w:t>For example</w:t>
      </w:r>
      <w:r w:rsidR="007C424B">
        <w:rPr>
          <w:rFonts w:ascii="Times New Roman" w:hAnsi="Times New Roman" w:cs="Times New Roman"/>
          <w:sz w:val="24"/>
          <w:szCs w:val="24"/>
          <w:lang w:val="en-CA"/>
        </w:rPr>
        <w:t>,</w:t>
      </w:r>
      <w:r w:rsidR="001501F1" w:rsidRPr="00565CCD">
        <w:rPr>
          <w:rFonts w:ascii="Times New Roman" w:hAnsi="Times New Roman" w:cs="Times New Roman"/>
          <w:sz w:val="24"/>
          <w:szCs w:val="24"/>
          <w:lang w:val="en-CA"/>
        </w:rPr>
        <w:t xml:space="preserve"> Canada’s exports of finished motor vehicles face </w:t>
      </w:r>
      <w:r w:rsidR="00BD239B">
        <w:rPr>
          <w:rFonts w:ascii="Times New Roman" w:hAnsi="Times New Roman" w:cs="Times New Roman"/>
          <w:sz w:val="24"/>
          <w:szCs w:val="24"/>
          <w:lang w:val="en-CA"/>
        </w:rPr>
        <w:t xml:space="preserve">a </w:t>
      </w:r>
      <w:r w:rsidR="001501F1" w:rsidRPr="00565CCD">
        <w:rPr>
          <w:rFonts w:ascii="Times New Roman" w:hAnsi="Times New Roman" w:cs="Times New Roman"/>
          <w:sz w:val="24"/>
          <w:szCs w:val="24"/>
          <w:lang w:val="en-CA"/>
        </w:rPr>
        <w:t>0.64</w:t>
      </w:r>
      <w:r w:rsidR="00BD239B">
        <w:rPr>
          <w:rFonts w:ascii="Times New Roman" w:hAnsi="Times New Roman" w:cs="Times New Roman"/>
          <w:sz w:val="24"/>
          <w:szCs w:val="24"/>
          <w:lang w:val="en-CA"/>
        </w:rPr>
        <w:t xml:space="preserve"> per cent increase in the power of the </w:t>
      </w:r>
      <w:r w:rsidR="001501F1" w:rsidRPr="00565CCD">
        <w:rPr>
          <w:rFonts w:ascii="Times New Roman" w:hAnsi="Times New Roman" w:cs="Times New Roman"/>
          <w:sz w:val="24"/>
          <w:szCs w:val="24"/>
          <w:lang w:val="en-CA"/>
        </w:rPr>
        <w:t>tariff in the U.S. market. Canada increase</w:t>
      </w:r>
      <w:r w:rsidR="00BD239B">
        <w:rPr>
          <w:rFonts w:ascii="Times New Roman" w:hAnsi="Times New Roman" w:cs="Times New Roman"/>
          <w:sz w:val="24"/>
          <w:szCs w:val="24"/>
          <w:lang w:val="en-CA"/>
        </w:rPr>
        <w:t>s</w:t>
      </w:r>
      <w:r w:rsidR="001501F1" w:rsidRPr="00565CCD">
        <w:rPr>
          <w:rFonts w:ascii="Times New Roman" w:hAnsi="Times New Roman" w:cs="Times New Roman"/>
          <w:sz w:val="24"/>
          <w:szCs w:val="24"/>
          <w:lang w:val="en-CA"/>
        </w:rPr>
        <w:t xml:space="preserve"> </w:t>
      </w:r>
      <w:r w:rsidR="00BD239B">
        <w:rPr>
          <w:rFonts w:ascii="Times New Roman" w:hAnsi="Times New Roman" w:cs="Times New Roman"/>
          <w:sz w:val="24"/>
          <w:szCs w:val="24"/>
          <w:lang w:val="en-CA"/>
        </w:rPr>
        <w:t xml:space="preserve">the power of its tariffs </w:t>
      </w:r>
      <w:r w:rsidR="001501F1" w:rsidRPr="00565CCD">
        <w:rPr>
          <w:rFonts w:ascii="Times New Roman" w:hAnsi="Times New Roman" w:cs="Times New Roman"/>
          <w:sz w:val="24"/>
          <w:szCs w:val="24"/>
          <w:lang w:val="en-CA"/>
        </w:rPr>
        <w:t>on finished motor vehicles from the Mexico by 3.1 per</w:t>
      </w:r>
      <w:r w:rsidR="00BD239B">
        <w:rPr>
          <w:rFonts w:ascii="Times New Roman" w:hAnsi="Times New Roman" w:cs="Times New Roman"/>
          <w:sz w:val="24"/>
          <w:szCs w:val="24"/>
          <w:lang w:val="en-CA"/>
        </w:rPr>
        <w:t xml:space="preserve"> </w:t>
      </w:r>
      <w:r w:rsidR="001501F1" w:rsidRPr="00565CCD">
        <w:rPr>
          <w:rFonts w:ascii="Times New Roman" w:hAnsi="Times New Roman" w:cs="Times New Roman"/>
          <w:sz w:val="24"/>
          <w:szCs w:val="24"/>
          <w:lang w:val="en-CA"/>
        </w:rPr>
        <w:t>cen</w:t>
      </w:r>
      <w:r w:rsidR="00BD239B">
        <w:rPr>
          <w:rFonts w:ascii="Times New Roman" w:hAnsi="Times New Roman" w:cs="Times New Roman"/>
          <w:sz w:val="24"/>
          <w:szCs w:val="24"/>
          <w:lang w:val="en-CA"/>
        </w:rPr>
        <w:t>t</w:t>
      </w:r>
      <w:r w:rsidR="001501F1" w:rsidRPr="00565CCD">
        <w:rPr>
          <w:rFonts w:ascii="Times New Roman" w:hAnsi="Times New Roman" w:cs="Times New Roman"/>
          <w:sz w:val="24"/>
          <w:szCs w:val="24"/>
          <w:lang w:val="en-CA"/>
        </w:rPr>
        <w:t>.</w:t>
      </w:r>
      <w:r w:rsidR="007C424B">
        <w:rPr>
          <w:rFonts w:ascii="Times New Roman" w:hAnsi="Times New Roman" w:cs="Times New Roman"/>
          <w:sz w:val="24"/>
          <w:szCs w:val="24"/>
          <w:lang w:val="en-CA"/>
        </w:rPr>
        <w:t xml:space="preserve">  In the baseline all tariffs are zero.  Consequently, the increases mentioned in the table are also the new levels of the tariff rates. </w:t>
      </w:r>
    </w:p>
    <w:p w:rsidR="001501F1" w:rsidRPr="007C424B" w:rsidRDefault="007C424B" w:rsidP="00565CCD">
      <w:pPr>
        <w:spacing w:before="120" w:after="0" w:line="240" w:lineRule="auto"/>
        <w:rPr>
          <w:rFonts w:ascii="Times New Roman" w:hAnsi="Times New Roman" w:cs="Times New Roman"/>
          <w:sz w:val="24"/>
          <w:szCs w:val="24"/>
          <w:lang w:val="en-CA"/>
        </w:rPr>
      </w:pPr>
      <w:r w:rsidRPr="007C424B">
        <w:rPr>
          <w:rFonts w:ascii="Times New Roman" w:hAnsi="Times New Roman" w:cs="Times New Roman"/>
          <w:sz w:val="24"/>
          <w:szCs w:val="24"/>
          <w:lang w:val="en-CA"/>
        </w:rPr>
        <w:t>T</w:t>
      </w:r>
      <w:r w:rsidR="00BD239B" w:rsidRPr="007C424B">
        <w:rPr>
          <w:rFonts w:ascii="Times New Roman" w:hAnsi="Times New Roman" w:cs="Times New Roman"/>
          <w:sz w:val="24"/>
          <w:szCs w:val="24"/>
          <w:lang w:val="en-CA"/>
        </w:rPr>
        <w:t xml:space="preserve">he second experiment </w:t>
      </w:r>
      <w:r w:rsidRPr="007C424B">
        <w:rPr>
          <w:rFonts w:ascii="Times New Roman" w:hAnsi="Times New Roman" w:cs="Times New Roman"/>
          <w:sz w:val="24"/>
          <w:szCs w:val="24"/>
          <w:lang w:val="en-CA"/>
        </w:rPr>
        <w:t>includes</w:t>
      </w:r>
      <w:r w:rsidR="001501F1" w:rsidRPr="007C424B">
        <w:rPr>
          <w:rFonts w:ascii="Times New Roman" w:hAnsi="Times New Roman" w:cs="Times New Roman"/>
          <w:sz w:val="24"/>
          <w:szCs w:val="24"/>
          <w:lang w:val="en-CA"/>
        </w:rPr>
        <w:t xml:space="preserve"> the same tariff</w:t>
      </w:r>
      <w:r w:rsidRPr="007C424B">
        <w:rPr>
          <w:rFonts w:ascii="Times New Roman" w:hAnsi="Times New Roman" w:cs="Times New Roman"/>
          <w:sz w:val="24"/>
          <w:szCs w:val="24"/>
          <w:lang w:val="en-CA"/>
        </w:rPr>
        <w:t xml:space="preserve"> changes between the </w:t>
      </w:r>
      <w:r w:rsidR="001501F1" w:rsidRPr="007C424B">
        <w:rPr>
          <w:rFonts w:ascii="Times New Roman" w:hAnsi="Times New Roman" w:cs="Times New Roman"/>
          <w:sz w:val="24"/>
          <w:szCs w:val="24"/>
          <w:lang w:val="en-CA"/>
        </w:rPr>
        <w:t>NAFTA countries</w:t>
      </w:r>
      <w:r w:rsidRPr="007C424B">
        <w:rPr>
          <w:rFonts w:ascii="Times New Roman" w:hAnsi="Times New Roman" w:cs="Times New Roman"/>
          <w:sz w:val="24"/>
          <w:szCs w:val="24"/>
          <w:lang w:val="en-CA"/>
        </w:rPr>
        <w:t xml:space="preserve"> as in the first experiment</w:t>
      </w:r>
      <w:r w:rsidR="001501F1" w:rsidRPr="007C424B">
        <w:rPr>
          <w:rFonts w:ascii="Times New Roman" w:hAnsi="Times New Roman" w:cs="Times New Roman"/>
          <w:sz w:val="24"/>
          <w:szCs w:val="24"/>
          <w:lang w:val="en-CA"/>
        </w:rPr>
        <w:t xml:space="preserve">, </w:t>
      </w:r>
      <w:r w:rsidR="001501F1" w:rsidRPr="007C424B">
        <w:rPr>
          <w:rFonts w:ascii="Times New Roman" w:hAnsi="Times New Roman" w:cs="Times New Roman"/>
          <w:i/>
          <w:sz w:val="24"/>
          <w:szCs w:val="24"/>
          <w:lang w:val="en-CA"/>
        </w:rPr>
        <w:t>plus</w:t>
      </w:r>
      <w:r w:rsidR="001501F1" w:rsidRPr="007C424B">
        <w:rPr>
          <w:rFonts w:ascii="Times New Roman" w:hAnsi="Times New Roman" w:cs="Times New Roman"/>
          <w:sz w:val="24"/>
          <w:szCs w:val="24"/>
          <w:lang w:val="en-CA"/>
        </w:rPr>
        <w:t xml:space="preserve"> a 25% tariff for all finished motor vehicles going to the U.S. from non-NAFTA countries.</w:t>
      </w:r>
    </w:p>
    <w:p w:rsidR="008A37D0" w:rsidRDefault="008A37D0" w:rsidP="001501F1">
      <w:pPr>
        <w:spacing w:before="120" w:after="0" w:line="240" w:lineRule="auto"/>
        <w:ind w:left="-426"/>
        <w:rPr>
          <w:rFonts w:ascii="Times New Roman" w:hAnsi="Times New Roman" w:cs="Times New Roman"/>
          <w:b/>
          <w:sz w:val="24"/>
          <w:szCs w:val="24"/>
        </w:rPr>
      </w:pPr>
      <w:r>
        <w:rPr>
          <w:rFonts w:ascii="Times New Roman" w:hAnsi="Times New Roman" w:cs="Times New Roman"/>
          <w:b/>
          <w:sz w:val="24"/>
          <w:szCs w:val="24"/>
        </w:rPr>
        <w:t>Motor vehicle sector results</w:t>
      </w:r>
    </w:p>
    <w:p w:rsidR="008A37D0" w:rsidRPr="008A37D0" w:rsidRDefault="008A37D0" w:rsidP="001501F1">
      <w:pPr>
        <w:spacing w:before="120" w:after="0" w:line="240" w:lineRule="auto"/>
        <w:ind w:left="-426"/>
        <w:rPr>
          <w:rFonts w:ascii="Times New Roman" w:hAnsi="Times New Roman" w:cs="Times New Roman"/>
          <w:b/>
          <w:i/>
          <w:sz w:val="24"/>
          <w:szCs w:val="24"/>
        </w:rPr>
      </w:pPr>
      <w:r w:rsidRPr="008A37D0">
        <w:rPr>
          <w:rFonts w:ascii="Times New Roman" w:hAnsi="Times New Roman" w:cs="Times New Roman"/>
          <w:b/>
          <w:i/>
          <w:sz w:val="24"/>
          <w:szCs w:val="24"/>
        </w:rPr>
        <w:t xml:space="preserve">Experiment 1.  </w:t>
      </w:r>
    </w:p>
    <w:p w:rsidR="001501F1" w:rsidRPr="008A37D0" w:rsidRDefault="001501F1" w:rsidP="001501F1">
      <w:pPr>
        <w:spacing w:before="120" w:after="0" w:line="240" w:lineRule="auto"/>
        <w:ind w:left="-426"/>
        <w:rPr>
          <w:rFonts w:ascii="Times New Roman" w:hAnsi="Times New Roman" w:cs="Times New Roman"/>
          <w:i/>
          <w:sz w:val="24"/>
          <w:szCs w:val="24"/>
        </w:rPr>
      </w:pPr>
      <w:r w:rsidRPr="008A37D0">
        <w:rPr>
          <w:rFonts w:ascii="Times New Roman" w:hAnsi="Times New Roman" w:cs="Times New Roman"/>
          <w:i/>
          <w:sz w:val="24"/>
          <w:szCs w:val="24"/>
        </w:rPr>
        <w:t xml:space="preserve">Results for </w:t>
      </w:r>
      <w:r w:rsidR="008A37D0" w:rsidRPr="008A37D0">
        <w:rPr>
          <w:rFonts w:ascii="Times New Roman" w:hAnsi="Times New Roman" w:cs="Times New Roman"/>
          <w:i/>
          <w:sz w:val="24"/>
          <w:szCs w:val="24"/>
        </w:rPr>
        <w:t xml:space="preserve">output in the </w:t>
      </w:r>
      <w:r w:rsidRPr="008A37D0">
        <w:rPr>
          <w:rFonts w:ascii="Times New Roman" w:hAnsi="Times New Roman" w:cs="Times New Roman"/>
          <w:i/>
          <w:sz w:val="24"/>
          <w:szCs w:val="24"/>
        </w:rPr>
        <w:t>motor vehicle sector</w:t>
      </w:r>
      <w:r w:rsidR="008A37D0" w:rsidRPr="008A37D0">
        <w:rPr>
          <w:rFonts w:ascii="Times New Roman" w:hAnsi="Times New Roman" w:cs="Times New Roman"/>
          <w:i/>
          <w:sz w:val="24"/>
          <w:szCs w:val="24"/>
        </w:rPr>
        <w:t>, Table 1a</w:t>
      </w:r>
    </w:p>
    <w:p w:rsidR="001501F1" w:rsidRDefault="001501F1" w:rsidP="001501F1">
      <w:pPr>
        <w:spacing w:before="120" w:after="0" w:line="240" w:lineRule="auto"/>
        <w:ind w:left="-426"/>
        <w:rPr>
          <w:rFonts w:ascii="Times New Roman" w:hAnsi="Times New Roman" w:cs="Times New Roman"/>
          <w:sz w:val="24"/>
          <w:szCs w:val="24"/>
        </w:rPr>
      </w:pPr>
      <w:r w:rsidRPr="00435108">
        <w:rPr>
          <w:rFonts w:ascii="Times New Roman" w:hAnsi="Times New Roman" w:cs="Times New Roman"/>
          <w:sz w:val="24"/>
          <w:szCs w:val="24"/>
        </w:rPr>
        <w:t xml:space="preserve">Output of </w:t>
      </w:r>
      <w:r>
        <w:rPr>
          <w:rFonts w:ascii="Times New Roman" w:hAnsi="Times New Roman" w:cs="Times New Roman"/>
          <w:sz w:val="24"/>
          <w:szCs w:val="24"/>
        </w:rPr>
        <w:t>M</w:t>
      </w:r>
      <w:r w:rsidRPr="00435108">
        <w:rPr>
          <w:rFonts w:ascii="Times New Roman" w:hAnsi="Times New Roman" w:cs="Times New Roman"/>
          <w:sz w:val="24"/>
          <w:szCs w:val="24"/>
        </w:rPr>
        <w:t>otor</w:t>
      </w:r>
      <w:r>
        <w:rPr>
          <w:rFonts w:ascii="Times New Roman" w:hAnsi="Times New Roman" w:cs="Times New Roman"/>
          <w:sz w:val="24"/>
          <w:szCs w:val="24"/>
        </w:rPr>
        <w:t xml:space="preserve"> vehicles and parts declines in the three NAFTA countries.  While the Motor vehicle sector in each of the three countries benefits from reduced competition from its NAFTA partners, it suffers an offsetting effect from reduced demand from its NAFTA partners.  So why is the overall effect negative?  This is because non-NAFTA countries gain market share in NAFTA destinations: in this experiment non-NAFTA countries do not suffer a tariff increase on their exports to NAFTA.  The gain in market share for non-NAFTA countries in NAFTA markets explains why the Motor vehicle sector is stimulated in non-NAFTA countries.  </w:t>
      </w:r>
    </w:p>
    <w:p w:rsidR="001501F1" w:rsidRDefault="001501F1" w:rsidP="001501F1">
      <w:pPr>
        <w:spacing w:before="120"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In this experiment, the tariffs are applied only on finished vehicles.  Consequently, the negative effects on the production of finished vehicles are generally larger than those for parts.  Nevertheless, parts production generally declines in the three NAFTA countries, reflecting reductions in sales to their own Finished vehicles industries.  </w:t>
      </w:r>
    </w:p>
    <w:p w:rsidR="001501F1" w:rsidRDefault="001501F1" w:rsidP="001501F1">
      <w:pPr>
        <w:spacing w:before="120"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Against the general pattern of the other results, output of parts in Mexico initially increases slightly.  At the macro level, Mexico experiences a bigger real devaluation than the other two NAFTA countries: Mexico is more dependent on motor vehicle exports than the other two countries.  Greater real devaluation allows the Mexican parts sector to compete successfully outside NAFTA.  This slight positive effect is offset in the long run by continuing negative adjustment in the Finished motor vehicle industry in the NAFTA countries, reducing demand for Mexican parts within NAFTA. </w:t>
      </w:r>
    </w:p>
    <w:p w:rsidR="001501F1" w:rsidRDefault="001501F1" w:rsidP="001501F1">
      <w:pPr>
        <w:spacing w:before="120"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Continuing negative adjustment of the Finished motor vehicle industry in the NAFTA countries is caused by gradual downward adjustment in their capital stocks.  </w:t>
      </w:r>
    </w:p>
    <w:p w:rsidR="008A37D0" w:rsidRDefault="008A37D0" w:rsidP="008A37D0">
      <w:pPr>
        <w:spacing w:before="120" w:after="0" w:line="240" w:lineRule="auto"/>
        <w:ind w:left="-426"/>
        <w:rPr>
          <w:rFonts w:ascii="Times New Roman" w:hAnsi="Times New Roman" w:cs="Times New Roman"/>
          <w:b/>
          <w:i/>
          <w:sz w:val="24"/>
          <w:szCs w:val="24"/>
        </w:rPr>
      </w:pPr>
    </w:p>
    <w:p w:rsidR="008A37D0" w:rsidRDefault="008A37D0" w:rsidP="008A37D0">
      <w:pPr>
        <w:spacing w:before="120" w:after="0" w:line="240" w:lineRule="auto"/>
        <w:ind w:left="-426"/>
        <w:rPr>
          <w:rFonts w:ascii="Times New Roman" w:hAnsi="Times New Roman" w:cs="Times New Roman"/>
          <w:b/>
          <w:i/>
          <w:sz w:val="24"/>
          <w:szCs w:val="24"/>
        </w:rPr>
      </w:pPr>
    </w:p>
    <w:p w:rsidR="008A37D0" w:rsidRPr="00327E69" w:rsidRDefault="008A37D0" w:rsidP="008A37D0">
      <w:pPr>
        <w:jc w:val="center"/>
        <w:rPr>
          <w:rFonts w:ascii="Times New Roman" w:hAnsi="Times New Roman" w:cs="Times New Roman"/>
          <w:b/>
          <w:i/>
        </w:rPr>
      </w:pPr>
      <w:r>
        <w:rPr>
          <w:rFonts w:ascii="Times New Roman" w:hAnsi="Times New Roman" w:cs="Times New Roman"/>
          <w:b/>
          <w:i/>
        </w:rPr>
        <w:t xml:space="preserve">Table 1a.  Experiment 1 (tariff increases in NAFTA): percentage effects on outputs of motor vehicles </w:t>
      </w:r>
    </w:p>
    <w:tbl>
      <w:tblPr>
        <w:tblStyle w:val="TableGrid"/>
        <w:tblW w:w="9721" w:type="dxa"/>
        <w:tblInd w:w="-431" w:type="dxa"/>
        <w:tblLook w:val="04A0" w:firstRow="1" w:lastRow="0" w:firstColumn="1" w:lastColumn="0" w:noHBand="0" w:noVBand="1"/>
      </w:tblPr>
      <w:tblGrid>
        <w:gridCol w:w="1844"/>
        <w:gridCol w:w="983"/>
        <w:gridCol w:w="984"/>
        <w:gridCol w:w="985"/>
        <w:gridCol w:w="985"/>
        <w:gridCol w:w="985"/>
        <w:gridCol w:w="985"/>
        <w:gridCol w:w="985"/>
        <w:gridCol w:w="985"/>
      </w:tblGrid>
      <w:tr w:rsidR="008A37D0" w:rsidTr="008D67C4">
        <w:tc>
          <w:tcPr>
            <w:tcW w:w="1844" w:type="dxa"/>
            <w:vAlign w:val="bottom"/>
          </w:tcPr>
          <w:p w:rsidR="008A37D0" w:rsidRPr="00327E69" w:rsidRDefault="008A37D0" w:rsidP="008D67C4">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Motor vehicles &amp; parts</w:t>
            </w:r>
          </w:p>
        </w:tc>
        <w:tc>
          <w:tcPr>
            <w:tcW w:w="983"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-0.169</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-0.467</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-0.308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-0.677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0.292</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0.189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r>
      <w:tr w:rsidR="008A37D0" w:rsidTr="008D67C4">
        <w:tc>
          <w:tcPr>
            <w:tcW w:w="1844" w:type="dxa"/>
            <w:vAlign w:val="bottom"/>
          </w:tcPr>
          <w:p w:rsidR="008A37D0" w:rsidRPr="00327E69" w:rsidRDefault="008A37D0" w:rsidP="008D67C4">
            <w:pPr>
              <w:jc w:val="right"/>
              <w:rPr>
                <w:rFonts w:ascii="Times New Roman" w:hAnsi="Times New Roman" w:cs="Times New Roman"/>
                <w:color w:val="000000"/>
                <w:sz w:val="20"/>
                <w:szCs w:val="20"/>
              </w:rPr>
            </w:pPr>
          </w:p>
        </w:tc>
        <w:tc>
          <w:tcPr>
            <w:tcW w:w="983" w:type="dxa"/>
            <w:vAlign w:val="bottom"/>
          </w:tcPr>
          <w:p w:rsidR="008A37D0" w:rsidRPr="00327E69" w:rsidRDefault="008A37D0" w:rsidP="008D67C4">
            <w:pPr>
              <w:rPr>
                <w:rFonts w:ascii="Times New Roman" w:hAnsi="Times New Roman" w:cs="Times New Roman"/>
                <w:sz w:val="20"/>
                <w:szCs w:val="20"/>
              </w:rPr>
            </w:pPr>
          </w:p>
        </w:tc>
        <w:tc>
          <w:tcPr>
            <w:tcW w:w="984"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r>
      <w:tr w:rsidR="008A37D0" w:rsidTr="008D67C4">
        <w:tc>
          <w:tcPr>
            <w:tcW w:w="1844" w:type="dxa"/>
            <w:vAlign w:val="bottom"/>
          </w:tcPr>
          <w:p w:rsidR="008A37D0" w:rsidRPr="00327E69" w:rsidRDefault="008A37D0" w:rsidP="008D67C4">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Finished vehicles</w:t>
            </w:r>
          </w:p>
        </w:tc>
        <w:tc>
          <w:tcPr>
            <w:tcW w:w="983"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-0.534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-0.547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-0.538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-0.519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-0.163</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-0.774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-1.012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-1.202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-1.464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-1.551</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0.241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0.302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0.331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0.314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0.179</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0.231</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0.101</w:t>
            </w:r>
          </w:p>
        </w:tc>
      </w:tr>
      <w:tr w:rsidR="008A37D0" w:rsidTr="008D67C4">
        <w:tc>
          <w:tcPr>
            <w:tcW w:w="1844" w:type="dxa"/>
            <w:vAlign w:val="bottom"/>
          </w:tcPr>
          <w:p w:rsidR="008A37D0" w:rsidRPr="00327E69" w:rsidRDefault="008A37D0" w:rsidP="008D67C4">
            <w:pPr>
              <w:jc w:val="right"/>
              <w:rPr>
                <w:rFonts w:ascii="Times New Roman" w:hAnsi="Times New Roman" w:cs="Times New Roman"/>
                <w:color w:val="000000"/>
                <w:sz w:val="20"/>
                <w:szCs w:val="20"/>
              </w:rPr>
            </w:pPr>
          </w:p>
        </w:tc>
        <w:tc>
          <w:tcPr>
            <w:tcW w:w="983" w:type="dxa"/>
            <w:vAlign w:val="bottom"/>
          </w:tcPr>
          <w:p w:rsidR="008A37D0" w:rsidRPr="00327E69" w:rsidRDefault="008A37D0" w:rsidP="008D67C4">
            <w:pPr>
              <w:rPr>
                <w:rFonts w:ascii="Times New Roman" w:hAnsi="Times New Roman" w:cs="Times New Roman"/>
                <w:sz w:val="20"/>
                <w:szCs w:val="20"/>
              </w:rPr>
            </w:pPr>
          </w:p>
        </w:tc>
        <w:tc>
          <w:tcPr>
            <w:tcW w:w="984"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r>
      <w:tr w:rsidR="008A37D0" w:rsidTr="008D67C4">
        <w:tc>
          <w:tcPr>
            <w:tcW w:w="1844" w:type="dxa"/>
            <w:vAlign w:val="bottom"/>
          </w:tcPr>
          <w:p w:rsidR="008A37D0" w:rsidRPr="00327E69" w:rsidRDefault="008A37D0" w:rsidP="008D67C4">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Vehicle parts</w:t>
            </w:r>
          </w:p>
        </w:tc>
        <w:tc>
          <w:tcPr>
            <w:tcW w:w="983"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-0.128</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-0.287</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-0.425</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-0.006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0.271</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0.007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0.115</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0.017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w:t>
            </w:r>
          </w:p>
        </w:tc>
      </w:tr>
    </w:tbl>
    <w:p w:rsidR="008A37D0" w:rsidRDefault="008A37D0" w:rsidP="008A37D0">
      <w:pPr>
        <w:spacing w:before="120" w:after="0" w:line="240" w:lineRule="auto"/>
        <w:ind w:left="-426"/>
        <w:rPr>
          <w:rFonts w:ascii="Times New Roman" w:hAnsi="Times New Roman" w:cs="Times New Roman"/>
          <w:b/>
          <w:i/>
          <w:sz w:val="24"/>
          <w:szCs w:val="24"/>
        </w:rPr>
      </w:pPr>
    </w:p>
    <w:p w:rsidR="008A37D0" w:rsidRPr="008A37D0" w:rsidRDefault="008A37D0" w:rsidP="008A37D0">
      <w:pPr>
        <w:spacing w:before="120" w:after="0" w:line="240" w:lineRule="auto"/>
        <w:ind w:left="-426"/>
        <w:rPr>
          <w:rFonts w:ascii="Times New Roman" w:hAnsi="Times New Roman" w:cs="Times New Roman"/>
          <w:i/>
          <w:sz w:val="24"/>
          <w:szCs w:val="24"/>
        </w:rPr>
      </w:pPr>
      <w:r w:rsidRPr="008A37D0">
        <w:rPr>
          <w:rFonts w:ascii="Times New Roman" w:hAnsi="Times New Roman" w:cs="Times New Roman"/>
          <w:i/>
          <w:sz w:val="24"/>
          <w:szCs w:val="24"/>
        </w:rPr>
        <w:t>Results for employment in the motor vehicle sector, Table 1b</w:t>
      </w:r>
    </w:p>
    <w:p w:rsidR="001501F1" w:rsidRPr="00334CEA" w:rsidRDefault="001501F1" w:rsidP="001501F1">
      <w:pPr>
        <w:spacing w:before="120" w:after="0" w:line="240" w:lineRule="auto"/>
        <w:ind w:left="-425"/>
        <w:rPr>
          <w:rFonts w:ascii="Times New Roman" w:hAnsi="Times New Roman" w:cs="Times New Roman"/>
          <w:sz w:val="24"/>
          <w:szCs w:val="24"/>
        </w:rPr>
      </w:pPr>
      <w:r w:rsidRPr="00334CEA">
        <w:rPr>
          <w:rFonts w:ascii="Times New Roman" w:hAnsi="Times New Roman" w:cs="Times New Roman"/>
          <w:sz w:val="24"/>
          <w:szCs w:val="24"/>
        </w:rPr>
        <w:t xml:space="preserve">The employment results for motor vehicles generally follow the output results.  However, in the short run </w:t>
      </w:r>
      <w:r>
        <w:rPr>
          <w:rFonts w:ascii="Times New Roman" w:hAnsi="Times New Roman" w:cs="Times New Roman"/>
          <w:sz w:val="24"/>
          <w:szCs w:val="24"/>
        </w:rPr>
        <w:t xml:space="preserve">they tend to be a little more extreme.  For example, in 2016 the output deviation for Motor vehicles and parts in the U.S. is -0.360 per cent whereas the employment deviation is </w:t>
      </w:r>
      <w:r>
        <w:rPr>
          <w:rFonts w:ascii="Times New Roman" w:hAnsi="Times New Roman" w:cs="Times New Roman"/>
          <w:sz w:val="24"/>
          <w:szCs w:val="24"/>
        </w:rPr>
        <w:br/>
        <w:t>-0.466 per cent.  In the short run, most of the adjustment in output is via the flexible factor, labor.  In the longer term capital also adjusts bringing the labor and capital adjustments broadly into line.  For example, in 2023 the output deviation for Motor vehicles and parts in the U.S. is -0.399 per cent closely matching the employment deviation, -0.391 per cent.</w:t>
      </w:r>
    </w:p>
    <w:p w:rsidR="001501F1" w:rsidRDefault="001501F1" w:rsidP="001501F1">
      <w:pPr>
        <w:spacing w:before="120" w:after="0" w:line="240" w:lineRule="auto"/>
        <w:jc w:val="center"/>
        <w:rPr>
          <w:rFonts w:ascii="Times New Roman" w:hAnsi="Times New Roman" w:cs="Times New Roman"/>
        </w:rPr>
      </w:pPr>
    </w:p>
    <w:p w:rsidR="001501F1" w:rsidRDefault="001501F1" w:rsidP="001501F1">
      <w:pPr>
        <w:rPr>
          <w:rFonts w:ascii="Times New Roman" w:hAnsi="Times New Roman" w:cs="Times New Roman"/>
        </w:rPr>
      </w:pPr>
      <w:r>
        <w:rPr>
          <w:rFonts w:ascii="Times New Roman" w:hAnsi="Times New Roman" w:cs="Times New Roman"/>
        </w:rPr>
        <w:br w:type="page"/>
      </w:r>
    </w:p>
    <w:p w:rsidR="001501F1" w:rsidRPr="00327E69" w:rsidRDefault="001501F1" w:rsidP="001501F1">
      <w:pPr>
        <w:jc w:val="center"/>
        <w:rPr>
          <w:rFonts w:ascii="Times New Roman" w:hAnsi="Times New Roman" w:cs="Times New Roman"/>
          <w:b/>
          <w:i/>
        </w:rPr>
      </w:pPr>
      <w:r>
        <w:rPr>
          <w:rFonts w:ascii="Times New Roman" w:hAnsi="Times New Roman" w:cs="Times New Roman"/>
          <w:b/>
          <w:i/>
        </w:rPr>
        <w:lastRenderedPageBreak/>
        <w:t xml:space="preserve">Table 1b.  Experiment 1 (tariff increases in NAFTA): percentage effects on employment in production of motor vehicles </w:t>
      </w:r>
    </w:p>
    <w:tbl>
      <w:tblPr>
        <w:tblStyle w:val="TableGrid"/>
        <w:tblW w:w="9721" w:type="dxa"/>
        <w:tblInd w:w="-431" w:type="dxa"/>
        <w:tblLook w:val="04A0" w:firstRow="1" w:lastRow="0" w:firstColumn="1" w:lastColumn="0" w:noHBand="0" w:noVBand="1"/>
      </w:tblPr>
      <w:tblGrid>
        <w:gridCol w:w="1844"/>
        <w:gridCol w:w="983"/>
        <w:gridCol w:w="984"/>
        <w:gridCol w:w="985"/>
        <w:gridCol w:w="985"/>
        <w:gridCol w:w="985"/>
        <w:gridCol w:w="985"/>
        <w:gridCol w:w="985"/>
        <w:gridCol w:w="985"/>
      </w:tblGrid>
      <w:tr w:rsidR="001501F1" w:rsidTr="001501F1">
        <w:tc>
          <w:tcPr>
            <w:tcW w:w="1844" w:type="dxa"/>
            <w:vAlign w:val="bottom"/>
          </w:tcPr>
          <w:p w:rsidR="001501F1" w:rsidRPr="00327E69" w:rsidRDefault="001501F1" w:rsidP="001501F1">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Motor vehicles &amp; parts</w:t>
            </w:r>
          </w:p>
        </w:tc>
        <w:tc>
          <w:tcPr>
            <w:tcW w:w="983"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-0.466</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-0.438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-0.414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-0.385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-0.445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-0.448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-0.442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-0.433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-0.425</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-0.611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-0.736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-0.833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-0.905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-0.958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-1.034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0.143</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0.209</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0.066</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0.143</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0.066</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0.103</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r>
      <w:tr w:rsidR="001501F1" w:rsidTr="001501F1">
        <w:tc>
          <w:tcPr>
            <w:tcW w:w="1844" w:type="dxa"/>
            <w:vAlign w:val="bottom"/>
          </w:tcPr>
          <w:p w:rsidR="001501F1" w:rsidRPr="00327E69" w:rsidRDefault="001501F1" w:rsidP="001501F1">
            <w:pPr>
              <w:jc w:val="right"/>
              <w:rPr>
                <w:rFonts w:ascii="Times New Roman" w:hAnsi="Times New Roman" w:cs="Times New Roman"/>
                <w:color w:val="000000"/>
                <w:sz w:val="20"/>
                <w:szCs w:val="20"/>
              </w:rPr>
            </w:pP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p>
        </w:tc>
        <w:tc>
          <w:tcPr>
            <w:tcW w:w="984"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r>
      <w:tr w:rsidR="001501F1" w:rsidTr="001501F1">
        <w:tc>
          <w:tcPr>
            <w:tcW w:w="1844" w:type="dxa"/>
            <w:vAlign w:val="bottom"/>
          </w:tcPr>
          <w:p w:rsidR="001501F1" w:rsidRPr="00327E69" w:rsidRDefault="001501F1" w:rsidP="001501F1">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Finished vehicles</w:t>
            </w:r>
          </w:p>
        </w:tc>
        <w:tc>
          <w:tcPr>
            <w:tcW w:w="983"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-0.567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-0.559</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-0.548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-0.548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-0.517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-0.446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-0.412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-0.817</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-1.058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-1.234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-1.367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-1.459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-1.523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-1.572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-1.608</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0.288</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0.316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0.355</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0.262</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0.312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0.332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0.206</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0.082</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0.103</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r>
      <w:tr w:rsidR="001501F1" w:rsidTr="001501F1">
        <w:tc>
          <w:tcPr>
            <w:tcW w:w="1844" w:type="dxa"/>
            <w:vAlign w:val="bottom"/>
          </w:tcPr>
          <w:p w:rsidR="001501F1" w:rsidRPr="00327E69" w:rsidRDefault="001501F1" w:rsidP="001501F1">
            <w:pPr>
              <w:jc w:val="right"/>
              <w:rPr>
                <w:rFonts w:ascii="Times New Roman" w:hAnsi="Times New Roman" w:cs="Times New Roman"/>
                <w:color w:val="000000"/>
                <w:sz w:val="20"/>
                <w:szCs w:val="20"/>
              </w:rPr>
            </w:pP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p>
        </w:tc>
        <w:tc>
          <w:tcPr>
            <w:tcW w:w="984"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c>
          <w:tcPr>
            <w:tcW w:w="985" w:type="dxa"/>
            <w:vAlign w:val="bottom"/>
          </w:tcPr>
          <w:p w:rsidR="001501F1" w:rsidRPr="00327E69" w:rsidRDefault="001501F1" w:rsidP="001501F1">
            <w:pPr>
              <w:rPr>
                <w:rFonts w:ascii="Times New Roman" w:hAnsi="Times New Roman" w:cs="Times New Roman"/>
                <w:sz w:val="20"/>
                <w:szCs w:val="20"/>
              </w:rPr>
            </w:pPr>
          </w:p>
        </w:tc>
      </w:tr>
      <w:tr w:rsidR="001501F1" w:rsidTr="001501F1">
        <w:tc>
          <w:tcPr>
            <w:tcW w:w="1844" w:type="dxa"/>
            <w:vAlign w:val="bottom"/>
          </w:tcPr>
          <w:p w:rsidR="001501F1" w:rsidRPr="00327E69" w:rsidRDefault="001501F1" w:rsidP="001501F1">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Vehicle parts</w:t>
            </w:r>
          </w:p>
        </w:tc>
        <w:tc>
          <w:tcPr>
            <w:tcW w:w="983"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1501F1" w:rsidRPr="00327E69" w:rsidRDefault="001501F1" w:rsidP="001501F1">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-0.156</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-0.286</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-0.188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-0.417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-0.432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0.007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0.102</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0.275</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0.012</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0.089</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0.111</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0.075</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0.064</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0.059</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0.031</w:t>
            </w:r>
          </w:p>
        </w:tc>
        <w:tc>
          <w:tcPr>
            <w:tcW w:w="984"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0.035</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0.037</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0.038</w:t>
            </w:r>
          </w:p>
        </w:tc>
        <w:tc>
          <w:tcPr>
            <w:tcW w:w="985" w:type="dxa"/>
            <w:vAlign w:val="bottom"/>
          </w:tcPr>
          <w:p w:rsidR="001501F1" w:rsidRPr="00327E69" w:rsidRDefault="001501F1" w:rsidP="001501F1">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0.039</w:t>
            </w:r>
          </w:p>
        </w:tc>
      </w:tr>
    </w:tbl>
    <w:p w:rsidR="001501F1" w:rsidRDefault="001501F1" w:rsidP="001501F1">
      <w:pPr>
        <w:spacing w:before="120" w:after="0" w:line="240" w:lineRule="auto"/>
        <w:jc w:val="center"/>
        <w:rPr>
          <w:rFonts w:ascii="Times New Roman" w:hAnsi="Times New Roman" w:cs="Times New Roman"/>
        </w:rPr>
      </w:pPr>
    </w:p>
    <w:p w:rsidR="008A37D0" w:rsidRPr="008A37D0" w:rsidRDefault="008A37D0" w:rsidP="008A37D0">
      <w:pPr>
        <w:spacing w:before="120" w:after="0" w:line="240" w:lineRule="auto"/>
        <w:ind w:left="-426"/>
        <w:rPr>
          <w:rFonts w:ascii="Times New Roman" w:hAnsi="Times New Roman" w:cs="Times New Roman"/>
          <w:b/>
          <w:i/>
          <w:sz w:val="24"/>
          <w:szCs w:val="24"/>
        </w:rPr>
      </w:pPr>
      <w:r w:rsidRPr="008A37D0">
        <w:rPr>
          <w:rFonts w:ascii="Times New Roman" w:hAnsi="Times New Roman" w:cs="Times New Roman"/>
          <w:b/>
          <w:i/>
          <w:sz w:val="24"/>
          <w:szCs w:val="24"/>
        </w:rPr>
        <w:t xml:space="preserve">Experiment 2.  </w:t>
      </w:r>
    </w:p>
    <w:p w:rsidR="008A37D0" w:rsidRPr="008A37D0" w:rsidRDefault="008A37D0" w:rsidP="008A37D0">
      <w:pPr>
        <w:spacing w:before="120" w:after="0" w:line="240" w:lineRule="auto"/>
        <w:ind w:left="-426"/>
        <w:rPr>
          <w:rFonts w:ascii="Times New Roman" w:hAnsi="Times New Roman" w:cs="Times New Roman"/>
          <w:i/>
          <w:sz w:val="24"/>
          <w:szCs w:val="24"/>
        </w:rPr>
      </w:pPr>
      <w:r w:rsidRPr="008A37D0">
        <w:rPr>
          <w:rFonts w:ascii="Times New Roman" w:hAnsi="Times New Roman" w:cs="Times New Roman"/>
          <w:i/>
          <w:sz w:val="24"/>
          <w:szCs w:val="24"/>
        </w:rPr>
        <w:t>Results for output in the motor vehicle sector, Table 2a</w:t>
      </w:r>
    </w:p>
    <w:p w:rsidR="001501F1" w:rsidRDefault="001501F1" w:rsidP="001501F1">
      <w:pPr>
        <w:spacing w:before="120"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This experiment imposes two sets of shocks: (a) the quite small intra-NAFTA tariff shocks that were applied in the first experiment; and (b) a 25 per cent U.S. tariff against imports of finished vehicles from non-NAFTA countries.  The second set of shocks is dominant in most of our results.  </w:t>
      </w:r>
    </w:p>
    <w:p w:rsidR="001501F1" w:rsidRDefault="001501F1" w:rsidP="001501F1">
      <w:pPr>
        <w:spacing w:before="120"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The U.S. tariff on finished motor vehicles from non-NAFTA countries stimulates output of both finished goods and parts in the U.S.  It also has a generally stimulatory effect in the Motor vehicle sector in the other two NAFTA countries.  Output of finished motor vehicles in these countries benefits from reduced competition in the U.S. market from non-NAFTA countries.  Parts production in Canada benefits from expansion in its own Finished motor vehicle industry and that of the U.S.  </w:t>
      </w:r>
    </w:p>
    <w:p w:rsidR="001501F1" w:rsidRDefault="001501F1" w:rsidP="001501F1">
      <w:pPr>
        <w:spacing w:before="120" w:after="0" w:line="240" w:lineRule="auto"/>
        <w:ind w:left="-425"/>
        <w:rPr>
          <w:rFonts w:ascii="Times New Roman" w:hAnsi="Times New Roman" w:cs="Times New Roman"/>
          <w:sz w:val="24"/>
          <w:szCs w:val="24"/>
        </w:rPr>
      </w:pPr>
      <w:r>
        <w:rPr>
          <w:rFonts w:ascii="Times New Roman" w:hAnsi="Times New Roman" w:cs="Times New Roman"/>
          <w:sz w:val="24"/>
          <w:szCs w:val="24"/>
        </w:rPr>
        <w:lastRenderedPageBreak/>
        <w:t xml:space="preserve">The results for Parts production in Mexico in the early years of the simulation are negative.  This is explained by a symmetrical argument to that given in the commentary on Table 1a for Mexican parts production.  This time Mexico is a major beneficiary from the U.S. tariff on finished vehicles (includes trucks) from non-NAFTA countries.  Associated real appreciation of the Mexican currency initially hurts its parts sales outside Mexico.  </w:t>
      </w:r>
    </w:p>
    <w:p w:rsidR="001501F1" w:rsidRDefault="001501F1" w:rsidP="001501F1">
      <w:pPr>
        <w:spacing w:before="120"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Motor vehicle production in non-NAFTA countries shows strongly negative effects, especially for Japan for which the U.S. is a major market. </w:t>
      </w:r>
    </w:p>
    <w:p w:rsidR="008A37D0" w:rsidRPr="00327E69" w:rsidRDefault="008A37D0" w:rsidP="007D6386">
      <w:pPr>
        <w:spacing w:before="120" w:after="40"/>
        <w:jc w:val="center"/>
        <w:rPr>
          <w:rFonts w:ascii="Times New Roman" w:hAnsi="Times New Roman" w:cs="Times New Roman"/>
          <w:b/>
          <w:i/>
        </w:rPr>
      </w:pPr>
      <w:r>
        <w:rPr>
          <w:rFonts w:ascii="Times New Roman" w:hAnsi="Times New Roman" w:cs="Times New Roman"/>
          <w:b/>
          <w:i/>
        </w:rPr>
        <w:t xml:space="preserve">Table 2a. Experiment 2 (tariff increases in NAFTA and U.S. tariffs on Non-NAFTA): percentage effects on outputs of motor vehicles </w:t>
      </w:r>
    </w:p>
    <w:tbl>
      <w:tblPr>
        <w:tblStyle w:val="TableGrid"/>
        <w:tblW w:w="9721" w:type="dxa"/>
        <w:tblInd w:w="-431" w:type="dxa"/>
        <w:tblLook w:val="04A0" w:firstRow="1" w:lastRow="0" w:firstColumn="1" w:lastColumn="0" w:noHBand="0" w:noVBand="1"/>
      </w:tblPr>
      <w:tblGrid>
        <w:gridCol w:w="1844"/>
        <w:gridCol w:w="983"/>
        <w:gridCol w:w="984"/>
        <w:gridCol w:w="985"/>
        <w:gridCol w:w="985"/>
        <w:gridCol w:w="985"/>
        <w:gridCol w:w="985"/>
        <w:gridCol w:w="985"/>
        <w:gridCol w:w="985"/>
      </w:tblGrid>
      <w:tr w:rsidR="008A37D0" w:rsidTr="008D67C4">
        <w:tc>
          <w:tcPr>
            <w:tcW w:w="1844" w:type="dxa"/>
            <w:vAlign w:val="bottom"/>
          </w:tcPr>
          <w:p w:rsidR="008A37D0" w:rsidRPr="00327E69" w:rsidRDefault="008A37D0" w:rsidP="008D67C4">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Motor vehicles &amp; parts</w:t>
            </w:r>
          </w:p>
        </w:tc>
        <w:tc>
          <w:tcPr>
            <w:tcW w:w="983"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vAlign w:val="bottom"/>
          </w:tcPr>
          <w:p w:rsidR="008A37D0" w:rsidRPr="00327E69" w:rsidRDefault="008A37D0" w:rsidP="008D67C4">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4.143</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5.059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5.138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5.045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4.967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4.89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4.47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7.878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10.271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11.888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12.907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13.505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13.866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14.068</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0.931</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2.984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6.04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7.101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8.499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8.949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-3.096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-3.818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-4.394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-4.781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-5.041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-5.131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-5.201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-5.236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-1.412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-2.104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-3.309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-3.499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-3.638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-3.736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-0.651</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-0.803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-0.893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-0.925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-0.911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-0.896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-0.88</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-2.638</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-2.762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-2.812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-2.787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-2.776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-2.751</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-0.659</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-0.863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-1.076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-1.108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-1.134</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-2.097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-2.282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-2.49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-2.681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-2.706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-0.756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-0.825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-0.821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-0.809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-0.795</w:t>
            </w:r>
          </w:p>
        </w:tc>
      </w:tr>
      <w:tr w:rsidR="008A37D0" w:rsidTr="008D67C4">
        <w:tc>
          <w:tcPr>
            <w:tcW w:w="1844" w:type="dxa"/>
            <w:vAlign w:val="bottom"/>
          </w:tcPr>
          <w:p w:rsidR="008A37D0" w:rsidRPr="00327E69" w:rsidRDefault="008A37D0" w:rsidP="008D67C4">
            <w:pPr>
              <w:jc w:val="right"/>
              <w:rPr>
                <w:rFonts w:ascii="Times New Roman" w:hAnsi="Times New Roman" w:cs="Times New Roman"/>
                <w:color w:val="000000"/>
                <w:sz w:val="20"/>
                <w:szCs w:val="20"/>
              </w:rPr>
            </w:pP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p>
        </w:tc>
        <w:tc>
          <w:tcPr>
            <w:tcW w:w="984"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r>
      <w:tr w:rsidR="008A37D0" w:rsidTr="008D67C4">
        <w:tc>
          <w:tcPr>
            <w:tcW w:w="1844" w:type="dxa"/>
            <w:vAlign w:val="bottom"/>
          </w:tcPr>
          <w:p w:rsidR="008A37D0" w:rsidRPr="00327E69" w:rsidRDefault="008A37D0" w:rsidP="008D67C4">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Finished vehicles</w:t>
            </w:r>
          </w:p>
        </w:tc>
        <w:tc>
          <w:tcPr>
            <w:tcW w:w="983"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5.341</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5.779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5.994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5.966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5.811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5.62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5.478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5.355</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7.108</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11.98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15.199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17.192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18.281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18.77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18.955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18.96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1.522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4.572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7.011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8.926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10.387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11.463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12.247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12.819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-4.424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-4.97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-5.541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-5.876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-6.082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-6.114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-6.109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-3.847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-4.721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-5.296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-5.612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-5.799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-5.911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-5.974</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-0.922</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-1.148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-1.279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-1.337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-1.315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-1.291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-1.266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-1.242</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-3.476</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-3.649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-3.873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-3.941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-3.926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-3.903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-3.878</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-0.888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-1.108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-2.257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-2.528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-2.792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-2.944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-3.028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-3.046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-3.054</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-0.725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-0.948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-0.969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-0.951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-0.932</w:t>
            </w:r>
          </w:p>
        </w:tc>
      </w:tr>
      <w:tr w:rsidR="008A37D0" w:rsidTr="008D67C4">
        <w:tc>
          <w:tcPr>
            <w:tcW w:w="1844" w:type="dxa"/>
            <w:vAlign w:val="bottom"/>
          </w:tcPr>
          <w:p w:rsidR="008A37D0" w:rsidRPr="00327E69" w:rsidRDefault="008A37D0" w:rsidP="008D67C4">
            <w:pPr>
              <w:jc w:val="right"/>
              <w:rPr>
                <w:rFonts w:ascii="Times New Roman" w:hAnsi="Times New Roman" w:cs="Times New Roman"/>
                <w:color w:val="000000"/>
                <w:sz w:val="20"/>
                <w:szCs w:val="20"/>
              </w:rPr>
            </w:pP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p>
        </w:tc>
        <w:tc>
          <w:tcPr>
            <w:tcW w:w="984"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c>
          <w:tcPr>
            <w:tcW w:w="985" w:type="dxa"/>
            <w:vAlign w:val="bottom"/>
          </w:tcPr>
          <w:p w:rsidR="008A37D0" w:rsidRPr="00327E69" w:rsidRDefault="008A37D0" w:rsidP="008D67C4">
            <w:pPr>
              <w:rPr>
                <w:rFonts w:ascii="Times New Roman" w:hAnsi="Times New Roman" w:cs="Times New Roman"/>
                <w:sz w:val="20"/>
                <w:szCs w:val="20"/>
              </w:rPr>
            </w:pPr>
          </w:p>
        </w:tc>
      </w:tr>
      <w:tr w:rsidR="008A37D0" w:rsidTr="008D67C4">
        <w:tc>
          <w:tcPr>
            <w:tcW w:w="1844" w:type="dxa"/>
            <w:vAlign w:val="bottom"/>
          </w:tcPr>
          <w:p w:rsidR="008A37D0" w:rsidRPr="00327E69" w:rsidRDefault="008A37D0" w:rsidP="008D67C4">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Vehicle parts</w:t>
            </w:r>
          </w:p>
        </w:tc>
        <w:tc>
          <w:tcPr>
            <w:tcW w:w="983"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vAlign w:val="bottom"/>
          </w:tcPr>
          <w:p w:rsidR="008A37D0" w:rsidRPr="00207E0F" w:rsidRDefault="008A37D0" w:rsidP="008D67C4">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1.865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3.196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3.557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3.769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3.871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3.916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3.925</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0.448</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2.511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3.513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4.394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5.115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5.684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6.121</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-0.351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0.865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1.215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1.542</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-2.667</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-3.423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-3.999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-4.401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-4.797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-4.879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-4.926</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-0.483</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-0.783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-1.076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-1.342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-1.575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-1.768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-1.926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-2.052</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-0.535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-0.748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-0.784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-0.783</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-0.775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-0.766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-0.754</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-1.624</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-1.415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-1.384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-1.367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-1.334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-1.322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-1.317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-1.309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-0.665</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-1.068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-1.101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-1.139</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-1.439</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-1.254</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-1.205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-1.208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-1.216</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-1.221</w:t>
            </w:r>
          </w:p>
        </w:tc>
      </w:tr>
      <w:tr w:rsidR="008A37D0" w:rsidTr="008D67C4">
        <w:tc>
          <w:tcPr>
            <w:tcW w:w="1844" w:type="dxa"/>
            <w:vAlign w:val="bottom"/>
          </w:tcPr>
          <w:p w:rsidR="008A37D0" w:rsidRPr="00327E69" w:rsidRDefault="008A37D0" w:rsidP="008D67C4">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-0.439</w:t>
            </w:r>
          </w:p>
        </w:tc>
        <w:tc>
          <w:tcPr>
            <w:tcW w:w="984"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-0.488</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-0.507</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-0.51</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-0.482</w:t>
            </w:r>
          </w:p>
        </w:tc>
        <w:tc>
          <w:tcPr>
            <w:tcW w:w="985" w:type="dxa"/>
            <w:vAlign w:val="bottom"/>
          </w:tcPr>
          <w:p w:rsidR="008A37D0" w:rsidRPr="00327E69" w:rsidRDefault="008A37D0" w:rsidP="008D67C4">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-0.473</w:t>
            </w:r>
          </w:p>
        </w:tc>
      </w:tr>
    </w:tbl>
    <w:p w:rsidR="008A37D0" w:rsidRDefault="008A37D0" w:rsidP="008A37D0">
      <w:pPr>
        <w:spacing w:before="120" w:after="0" w:line="240" w:lineRule="auto"/>
        <w:ind w:left="-426"/>
        <w:rPr>
          <w:rFonts w:ascii="Times New Roman" w:hAnsi="Times New Roman" w:cs="Times New Roman"/>
          <w:b/>
          <w:sz w:val="24"/>
          <w:szCs w:val="24"/>
        </w:rPr>
      </w:pPr>
    </w:p>
    <w:p w:rsidR="008A37D0" w:rsidRPr="008A37D0" w:rsidRDefault="008A37D0" w:rsidP="008A37D0">
      <w:pPr>
        <w:spacing w:before="120" w:after="0" w:line="240" w:lineRule="auto"/>
        <w:ind w:left="-426"/>
        <w:rPr>
          <w:rFonts w:ascii="Times New Roman" w:hAnsi="Times New Roman" w:cs="Times New Roman"/>
          <w:i/>
          <w:sz w:val="24"/>
          <w:szCs w:val="24"/>
        </w:rPr>
      </w:pPr>
      <w:r w:rsidRPr="008A37D0">
        <w:rPr>
          <w:rFonts w:ascii="Times New Roman" w:hAnsi="Times New Roman" w:cs="Times New Roman"/>
          <w:i/>
          <w:sz w:val="24"/>
          <w:szCs w:val="24"/>
        </w:rPr>
        <w:t>Results for employment in the motor vehicle sector, Table 2b</w:t>
      </w:r>
    </w:p>
    <w:p w:rsidR="001501F1" w:rsidRDefault="001501F1" w:rsidP="001501F1">
      <w:pPr>
        <w:spacing w:before="120"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The relationship between output and employment results for experiment 2 is similar to that for experiment 1, see commentary on Table 1b.  </w:t>
      </w:r>
    </w:p>
    <w:p w:rsidR="001501F1" w:rsidRDefault="001501F1" w:rsidP="001501F1">
      <w:pPr>
        <w:rPr>
          <w:rFonts w:ascii="Times New Roman" w:hAnsi="Times New Roman" w:cs="Times New Roman"/>
        </w:rPr>
      </w:pPr>
    </w:p>
    <w:p w:rsidR="001501F1" w:rsidRDefault="001501F1" w:rsidP="001501F1">
      <w:pPr>
        <w:jc w:val="center"/>
        <w:rPr>
          <w:rFonts w:ascii="Times New Roman" w:hAnsi="Times New Roman" w:cs="Times New Roman"/>
          <w:b/>
          <w:i/>
        </w:rPr>
      </w:pPr>
    </w:p>
    <w:p w:rsidR="001501F1" w:rsidRPr="00327E69" w:rsidRDefault="001501F1" w:rsidP="001501F1">
      <w:pPr>
        <w:jc w:val="center"/>
        <w:rPr>
          <w:rFonts w:ascii="Times New Roman" w:hAnsi="Times New Roman" w:cs="Times New Roman"/>
          <w:b/>
          <w:i/>
        </w:rPr>
      </w:pPr>
      <w:r>
        <w:rPr>
          <w:rFonts w:ascii="Times New Roman" w:hAnsi="Times New Roman" w:cs="Times New Roman"/>
          <w:b/>
          <w:i/>
        </w:rPr>
        <w:lastRenderedPageBreak/>
        <w:t xml:space="preserve">Table 2b.  Experiment 2 (tariff increases in NAFTA and U.S. tariffs on Non-NAFTA): percentage effects on employment in production of motor vehicles </w:t>
      </w:r>
    </w:p>
    <w:tbl>
      <w:tblPr>
        <w:tblStyle w:val="TableGrid"/>
        <w:tblW w:w="9721" w:type="dxa"/>
        <w:tblInd w:w="-431" w:type="dxa"/>
        <w:tblLook w:val="04A0" w:firstRow="1" w:lastRow="0" w:firstColumn="1" w:lastColumn="0" w:noHBand="0" w:noVBand="1"/>
      </w:tblPr>
      <w:tblGrid>
        <w:gridCol w:w="1844"/>
        <w:gridCol w:w="983"/>
        <w:gridCol w:w="984"/>
        <w:gridCol w:w="985"/>
        <w:gridCol w:w="985"/>
        <w:gridCol w:w="985"/>
        <w:gridCol w:w="985"/>
        <w:gridCol w:w="985"/>
        <w:gridCol w:w="985"/>
      </w:tblGrid>
      <w:tr w:rsidR="001501F1" w:rsidTr="001501F1">
        <w:tc>
          <w:tcPr>
            <w:tcW w:w="1844" w:type="dxa"/>
            <w:vAlign w:val="bottom"/>
          </w:tcPr>
          <w:p w:rsidR="001501F1" w:rsidRPr="00327E69" w:rsidRDefault="001501F1" w:rsidP="001501F1">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Motor vehicles &amp; parts</w:t>
            </w:r>
          </w:p>
        </w:tc>
        <w:tc>
          <w:tcPr>
            <w:tcW w:w="983"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5.449</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5.363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5.376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5.28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5.127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4.969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4.869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4.784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9.505</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10.867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11.907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12.495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12.761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12.859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12.938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12.967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4.339</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5.616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6.509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7.184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7.655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7.982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8.242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8.435</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-4.121</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-4.436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-4.828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-5.068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-5.223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-5.203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-5.226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-5.228</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-2.669</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-2.842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-3.118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-3.316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-3.422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-3.513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-3.587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-3.638</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-1.286</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-1.038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-1.008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-0.944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-0.915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-0.895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-0.877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-2.964</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-2.807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-2.842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-2.841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-2.779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-2.751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-2.731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-2.713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-1.249</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-1.164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-1.181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-1.156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-1.148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-1.144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-2.53</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-2.523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-2.638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-2.697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-2.681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-2.688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-2.689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-2.689</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-1.009</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-0.909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-0.877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-0.779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-0.76</w:t>
            </w:r>
          </w:p>
        </w:tc>
      </w:tr>
      <w:tr w:rsidR="001501F1" w:rsidTr="001501F1">
        <w:tc>
          <w:tcPr>
            <w:tcW w:w="1844" w:type="dxa"/>
            <w:vAlign w:val="bottom"/>
          </w:tcPr>
          <w:p w:rsidR="001501F1" w:rsidRPr="00327E69" w:rsidRDefault="001501F1" w:rsidP="001501F1">
            <w:pPr>
              <w:jc w:val="right"/>
              <w:rPr>
                <w:rFonts w:ascii="Times New Roman" w:hAnsi="Times New Roman" w:cs="Times New Roman"/>
                <w:color w:val="000000"/>
                <w:sz w:val="20"/>
                <w:szCs w:val="20"/>
              </w:rPr>
            </w:pP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p>
        </w:tc>
        <w:tc>
          <w:tcPr>
            <w:tcW w:w="984"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r>
      <w:tr w:rsidR="001501F1" w:rsidTr="001501F1">
        <w:tc>
          <w:tcPr>
            <w:tcW w:w="1844" w:type="dxa"/>
            <w:vAlign w:val="bottom"/>
          </w:tcPr>
          <w:p w:rsidR="001501F1" w:rsidRPr="00327E69" w:rsidRDefault="001501F1" w:rsidP="001501F1">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Finished vehicles</w:t>
            </w:r>
          </w:p>
        </w:tc>
        <w:tc>
          <w:tcPr>
            <w:tcW w:w="983"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7.33</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6.742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6.464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6.146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5.828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5.558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5.276</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16.731</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17.976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18.85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19.129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19.013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18.734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18.526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18.309</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8.184</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9.815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11.075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11.982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12.575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12.956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13.255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13.462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-6.414</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-5.992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-6.237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-6.33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-6.428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-6.212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-6.209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-6.173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-5.435</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-5.817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-5.986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-5.966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-5.972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-5.982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-5.977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-1.988</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-1.548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-1.501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-1.456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-1.335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-1.295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-1.268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-1.242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-3.986</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-3.941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-4.054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-4.073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-3.987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-3.945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-3.874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-1.342</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-1.243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-1.245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-1.225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-1.176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-1.155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-1.141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-1.131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-2.761</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-2.831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-2.993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-3.072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-3.057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-3.065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-3.064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-3.061</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-1.133</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-1.078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-1.098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-1.018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-0.977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-0.946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-0.92</w:t>
            </w:r>
          </w:p>
        </w:tc>
      </w:tr>
      <w:tr w:rsidR="001501F1" w:rsidTr="001501F1">
        <w:tc>
          <w:tcPr>
            <w:tcW w:w="1844" w:type="dxa"/>
            <w:vAlign w:val="bottom"/>
          </w:tcPr>
          <w:p w:rsidR="001501F1" w:rsidRPr="00327E69" w:rsidRDefault="001501F1" w:rsidP="001501F1">
            <w:pPr>
              <w:jc w:val="right"/>
              <w:rPr>
                <w:rFonts w:ascii="Times New Roman" w:hAnsi="Times New Roman" w:cs="Times New Roman"/>
                <w:color w:val="000000"/>
                <w:sz w:val="20"/>
                <w:szCs w:val="20"/>
              </w:rPr>
            </w:pP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p>
        </w:tc>
        <w:tc>
          <w:tcPr>
            <w:tcW w:w="984"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c>
          <w:tcPr>
            <w:tcW w:w="985" w:type="dxa"/>
            <w:vAlign w:val="bottom"/>
          </w:tcPr>
          <w:p w:rsidR="001501F1" w:rsidRPr="00207E0F" w:rsidRDefault="001501F1" w:rsidP="001501F1">
            <w:pPr>
              <w:rPr>
                <w:rFonts w:ascii="Times New Roman" w:hAnsi="Times New Roman" w:cs="Times New Roman"/>
                <w:sz w:val="20"/>
                <w:szCs w:val="20"/>
              </w:rPr>
            </w:pPr>
          </w:p>
        </w:tc>
      </w:tr>
      <w:tr w:rsidR="001501F1" w:rsidTr="001501F1">
        <w:tc>
          <w:tcPr>
            <w:tcW w:w="1844" w:type="dxa"/>
            <w:vAlign w:val="bottom"/>
          </w:tcPr>
          <w:p w:rsidR="001501F1" w:rsidRPr="00327E69" w:rsidRDefault="001501F1" w:rsidP="001501F1">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Vehicle parts</w:t>
            </w:r>
          </w:p>
        </w:tc>
        <w:tc>
          <w:tcPr>
            <w:tcW w:w="983"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vAlign w:val="bottom"/>
          </w:tcPr>
          <w:p w:rsidR="001501F1" w:rsidRPr="00207E0F" w:rsidRDefault="001501F1" w:rsidP="001501F1">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2.276</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3.007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3.481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3.765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3.954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3.959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3.942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0.831</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2.307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3.477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4.413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5.146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5.683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6.073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6.354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-1.037</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-0.202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0.22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0.635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1.024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1.371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1.673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1.946</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-3.466</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-3.978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-4.415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-4.697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-4.871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-4.904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-4.934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-4.947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-0.851</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-1.367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-1.591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-1.779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-1.926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-2.043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-2.132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-1.016</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-0.891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-0.866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-0.844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-0.801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-0.777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-0.761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-0.747</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-1.782</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-1.479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-1.413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-1.379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-1.335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-1.319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-1.313</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-1.304</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-1.121</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-1.055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-1.089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-1.12</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-1.128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-1.139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-1.149</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-1.152</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-1.645</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-1.331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-1.261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-1.236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-1.207</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-1.208</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-1.215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-1.219</w:t>
            </w:r>
          </w:p>
        </w:tc>
      </w:tr>
      <w:tr w:rsidR="001501F1" w:rsidTr="001501F1">
        <w:tc>
          <w:tcPr>
            <w:tcW w:w="1844" w:type="dxa"/>
            <w:vAlign w:val="bottom"/>
          </w:tcPr>
          <w:p w:rsidR="001501F1" w:rsidRPr="00327E69" w:rsidRDefault="001501F1" w:rsidP="001501F1">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-0.802</w:t>
            </w:r>
          </w:p>
        </w:tc>
        <w:tc>
          <w:tcPr>
            <w:tcW w:w="984"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-0.626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-0.564</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-0.531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-0.501</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-0.485</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-0.476</w:t>
            </w:r>
          </w:p>
        </w:tc>
        <w:tc>
          <w:tcPr>
            <w:tcW w:w="985" w:type="dxa"/>
            <w:vAlign w:val="bottom"/>
          </w:tcPr>
          <w:p w:rsidR="001501F1" w:rsidRPr="00207E0F" w:rsidRDefault="001501F1" w:rsidP="001501F1">
            <w:pPr>
              <w:jc w:val="right"/>
              <w:rPr>
                <w:rFonts w:ascii="Times New Roman" w:hAnsi="Times New Roman" w:cs="Times New Roman"/>
                <w:color w:val="000000"/>
                <w:sz w:val="20"/>
                <w:szCs w:val="20"/>
              </w:rPr>
            </w:pPr>
            <w:r w:rsidRPr="00207E0F">
              <w:rPr>
                <w:rFonts w:ascii="Times New Roman" w:hAnsi="Times New Roman" w:cs="Times New Roman"/>
                <w:color w:val="000000"/>
                <w:sz w:val="20"/>
                <w:szCs w:val="20"/>
              </w:rPr>
              <w:t>-0.466</w:t>
            </w:r>
          </w:p>
        </w:tc>
      </w:tr>
    </w:tbl>
    <w:p w:rsidR="001501F1" w:rsidRDefault="001501F1" w:rsidP="001501F1">
      <w:pPr>
        <w:spacing w:before="120" w:after="0" w:line="240" w:lineRule="auto"/>
        <w:jc w:val="center"/>
        <w:rPr>
          <w:rFonts w:ascii="Times New Roman" w:hAnsi="Times New Roman" w:cs="Times New Roman"/>
          <w:b/>
          <w:i/>
        </w:rPr>
      </w:pPr>
    </w:p>
    <w:p w:rsidR="001501F1" w:rsidRPr="007D6386" w:rsidRDefault="001501F1" w:rsidP="001501F1">
      <w:pPr>
        <w:spacing w:before="120" w:after="0" w:line="240" w:lineRule="auto"/>
        <w:ind w:left="-142"/>
        <w:rPr>
          <w:rFonts w:ascii="Times New Roman" w:hAnsi="Times New Roman" w:cs="Times New Roman"/>
          <w:b/>
          <w:sz w:val="24"/>
          <w:szCs w:val="24"/>
        </w:rPr>
      </w:pPr>
      <w:r w:rsidRPr="007D6386">
        <w:rPr>
          <w:rFonts w:ascii="Times New Roman" w:hAnsi="Times New Roman" w:cs="Times New Roman"/>
          <w:b/>
          <w:sz w:val="24"/>
          <w:szCs w:val="24"/>
        </w:rPr>
        <w:t>Macro results</w:t>
      </w:r>
    </w:p>
    <w:p w:rsidR="001501F1" w:rsidRPr="00364082" w:rsidRDefault="001501F1" w:rsidP="001501F1">
      <w:pPr>
        <w:spacing w:before="120" w:after="0" w:line="240" w:lineRule="auto"/>
        <w:ind w:left="-142"/>
        <w:rPr>
          <w:rFonts w:ascii="Times New Roman" w:hAnsi="Times New Roman" w:cs="Times New Roman"/>
          <w:b/>
          <w:i/>
          <w:sz w:val="24"/>
        </w:rPr>
      </w:pPr>
      <w:r w:rsidRPr="008A37D0">
        <w:rPr>
          <w:rFonts w:ascii="Times New Roman" w:hAnsi="Times New Roman" w:cs="Times New Roman"/>
          <w:b/>
          <w:i/>
          <w:sz w:val="24"/>
        </w:rPr>
        <w:t>Experiment 1</w:t>
      </w:r>
      <w:r w:rsidR="008A37D0">
        <w:rPr>
          <w:rFonts w:ascii="Times New Roman" w:hAnsi="Times New Roman" w:cs="Times New Roman"/>
          <w:b/>
          <w:i/>
          <w:sz w:val="24"/>
        </w:rPr>
        <w:t xml:space="preserve">, </w:t>
      </w:r>
      <w:r>
        <w:rPr>
          <w:rFonts w:ascii="Times New Roman" w:hAnsi="Times New Roman" w:cs="Times New Roman"/>
          <w:b/>
          <w:i/>
          <w:sz w:val="24"/>
        </w:rPr>
        <w:t>Table 3</w:t>
      </w:r>
    </w:p>
    <w:p w:rsidR="001501F1" w:rsidRDefault="001501F1" w:rsidP="001501F1">
      <w:pPr>
        <w:spacing w:before="120" w:after="0" w:line="240" w:lineRule="auto"/>
        <w:ind w:left="-142"/>
        <w:rPr>
          <w:rFonts w:ascii="Times New Roman" w:hAnsi="Times New Roman" w:cs="Times New Roman"/>
        </w:rPr>
      </w:pPr>
      <w:r>
        <w:rPr>
          <w:rFonts w:ascii="Times New Roman" w:hAnsi="Times New Roman" w:cs="Times New Roman"/>
        </w:rPr>
        <w:t xml:space="preserve">In the short run, raising tariffs within NAFTA reduces GDP in the NAFTA countries but increases GDP for other countries, which gain from diversion of demand by NAFTA countries away from their NAFTA partners.  The NAFTA countries lose by increasing the costs of Finished cars &amp; trucks to their households and capital creators.  These increases in costs reduce the number of people who can be employed at current real wages.  Eventually wages adjust down so that employment in the NAFTA countries is restored gradually to baseline.  This process is complete by 2023 for the U.S. and Canada, but still has some distance to go for Mexico.  Even though the employment effects are eliminated in the long run, the GDP deviations for the NAFTA countries remain negative.  This is because the NAFTA countries lose capital in the long run.  With higher tariffs, capital must become more scarce for rates of return to be restored to baseline levels, or explained another way, reduced real wages mean that an economy’s K/L ratio will fall implying, with L returning to baseline, a long-run reduction in K.    </w:t>
      </w:r>
    </w:p>
    <w:p w:rsidR="001501F1" w:rsidRDefault="001501F1" w:rsidP="001501F1">
      <w:pPr>
        <w:spacing w:before="120" w:after="0" w:line="240" w:lineRule="auto"/>
        <w:ind w:left="-142"/>
        <w:rPr>
          <w:rFonts w:ascii="Times New Roman" w:hAnsi="Times New Roman" w:cs="Times New Roman"/>
        </w:rPr>
      </w:pPr>
      <w:r>
        <w:rPr>
          <w:rFonts w:ascii="Times New Roman" w:hAnsi="Times New Roman" w:cs="Times New Roman"/>
        </w:rPr>
        <w:lastRenderedPageBreak/>
        <w:t xml:space="preserve">The final panel in Table 3 shows percentage deviations in private and public consumption, which we assume move together.  These deviations can be interpreted as welfare effects.  In the long run, the intra-NAFTA tariffs reduce the welfare of all three NAFTA countries.  Outside NAFTA the results are generally positive.  Most of the non-NAFTA countries (or regions) identified in our model benefit from terms-of-trade improvements associated with improved competitiveness in NAFTA markets. </w:t>
      </w:r>
    </w:p>
    <w:p w:rsidR="008A37D0" w:rsidRPr="00BB0715" w:rsidRDefault="008A37D0" w:rsidP="008A37D0">
      <w:pPr>
        <w:spacing w:before="120" w:after="0" w:line="240" w:lineRule="auto"/>
        <w:jc w:val="center"/>
        <w:rPr>
          <w:rFonts w:ascii="Times New Roman" w:hAnsi="Times New Roman" w:cs="Times New Roman"/>
          <w:b/>
          <w:i/>
        </w:rPr>
      </w:pPr>
      <w:r w:rsidRPr="00BB0715">
        <w:rPr>
          <w:rFonts w:ascii="Times New Roman" w:hAnsi="Times New Roman" w:cs="Times New Roman"/>
          <w:b/>
          <w:i/>
        </w:rPr>
        <w:t xml:space="preserve">Table </w:t>
      </w:r>
      <w:r>
        <w:rPr>
          <w:rFonts w:ascii="Times New Roman" w:hAnsi="Times New Roman" w:cs="Times New Roman"/>
          <w:b/>
          <w:i/>
        </w:rPr>
        <w:t>3.  Experiment 1: percentage deviations in macro aggregates by region</w:t>
      </w:r>
    </w:p>
    <w:tbl>
      <w:tblPr>
        <w:tblStyle w:val="TableGrid"/>
        <w:tblW w:w="0" w:type="auto"/>
        <w:tblInd w:w="-147" w:type="dxa"/>
        <w:tblLook w:val="04A0" w:firstRow="1" w:lastRow="0" w:firstColumn="1" w:lastColumn="0" w:noHBand="0" w:noVBand="1"/>
      </w:tblPr>
      <w:tblGrid>
        <w:gridCol w:w="1347"/>
        <w:gridCol w:w="892"/>
        <w:gridCol w:w="8"/>
        <w:gridCol w:w="972"/>
        <w:gridCol w:w="17"/>
        <w:gridCol w:w="962"/>
        <w:gridCol w:w="26"/>
        <w:gridCol w:w="953"/>
        <w:gridCol w:w="35"/>
        <w:gridCol w:w="987"/>
        <w:gridCol w:w="988"/>
        <w:gridCol w:w="988"/>
        <w:gridCol w:w="988"/>
      </w:tblGrid>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Pr>
                <w:rFonts w:ascii="Times New Roman" w:hAnsi="Times New Roman" w:cs="Times New Roman"/>
                <w:b/>
                <w:i/>
              </w:rPr>
              <w:t>real GDP</w:t>
            </w:r>
          </w:p>
        </w:tc>
        <w:tc>
          <w:tcPr>
            <w:tcW w:w="900"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989"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988"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988"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987"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900" w:type="dxa"/>
            <w:gridSpan w:val="2"/>
            <w:vAlign w:val="bottom"/>
          </w:tcPr>
          <w:p w:rsidR="008A37D0" w:rsidRDefault="008A37D0" w:rsidP="008D67C4">
            <w:pPr>
              <w:jc w:val="right"/>
              <w:rPr>
                <w:color w:val="000000"/>
                <w:sz w:val="20"/>
                <w:szCs w:val="20"/>
              </w:rPr>
            </w:pPr>
            <w:r>
              <w:rPr>
                <w:color w:val="000000"/>
                <w:sz w:val="20"/>
                <w:szCs w:val="20"/>
              </w:rPr>
              <w:t>-0.005</w:t>
            </w:r>
          </w:p>
        </w:tc>
        <w:tc>
          <w:tcPr>
            <w:tcW w:w="989" w:type="dxa"/>
            <w:gridSpan w:val="2"/>
            <w:vAlign w:val="bottom"/>
          </w:tcPr>
          <w:p w:rsidR="008A37D0" w:rsidRDefault="008A37D0" w:rsidP="008D67C4">
            <w:pPr>
              <w:jc w:val="right"/>
              <w:rPr>
                <w:color w:val="000000"/>
                <w:sz w:val="20"/>
                <w:szCs w:val="20"/>
              </w:rPr>
            </w:pPr>
            <w:r>
              <w:rPr>
                <w:color w:val="000000"/>
                <w:sz w:val="20"/>
                <w:szCs w:val="20"/>
              </w:rPr>
              <w:t>-0.003</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7"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900" w:type="dxa"/>
            <w:gridSpan w:val="2"/>
            <w:vAlign w:val="bottom"/>
          </w:tcPr>
          <w:p w:rsidR="008A37D0" w:rsidRDefault="008A37D0" w:rsidP="008D67C4">
            <w:pPr>
              <w:jc w:val="right"/>
              <w:rPr>
                <w:color w:val="000000"/>
                <w:sz w:val="20"/>
                <w:szCs w:val="20"/>
              </w:rPr>
            </w:pPr>
            <w:r>
              <w:rPr>
                <w:color w:val="000000"/>
                <w:sz w:val="20"/>
                <w:szCs w:val="20"/>
              </w:rPr>
              <w:t>-0.038</w:t>
            </w:r>
          </w:p>
        </w:tc>
        <w:tc>
          <w:tcPr>
            <w:tcW w:w="989" w:type="dxa"/>
            <w:gridSpan w:val="2"/>
            <w:vAlign w:val="bottom"/>
          </w:tcPr>
          <w:p w:rsidR="008A37D0" w:rsidRDefault="008A37D0" w:rsidP="008D67C4">
            <w:pPr>
              <w:jc w:val="right"/>
              <w:rPr>
                <w:color w:val="000000"/>
                <w:sz w:val="20"/>
                <w:szCs w:val="20"/>
              </w:rPr>
            </w:pPr>
            <w:r>
              <w:rPr>
                <w:color w:val="000000"/>
                <w:sz w:val="20"/>
                <w:szCs w:val="20"/>
              </w:rPr>
              <w:t>-0.030</w:t>
            </w:r>
          </w:p>
        </w:tc>
        <w:tc>
          <w:tcPr>
            <w:tcW w:w="988" w:type="dxa"/>
            <w:gridSpan w:val="2"/>
            <w:vAlign w:val="bottom"/>
          </w:tcPr>
          <w:p w:rsidR="008A37D0" w:rsidRDefault="008A37D0" w:rsidP="008D67C4">
            <w:pPr>
              <w:jc w:val="right"/>
              <w:rPr>
                <w:color w:val="000000"/>
                <w:sz w:val="20"/>
                <w:szCs w:val="20"/>
              </w:rPr>
            </w:pPr>
            <w:r>
              <w:rPr>
                <w:color w:val="000000"/>
                <w:sz w:val="20"/>
                <w:szCs w:val="20"/>
              </w:rPr>
              <w:t>-0.027</w:t>
            </w:r>
          </w:p>
        </w:tc>
        <w:tc>
          <w:tcPr>
            <w:tcW w:w="988" w:type="dxa"/>
            <w:gridSpan w:val="2"/>
            <w:vAlign w:val="bottom"/>
          </w:tcPr>
          <w:p w:rsidR="008A37D0" w:rsidRDefault="008A37D0" w:rsidP="008D67C4">
            <w:pPr>
              <w:jc w:val="right"/>
              <w:rPr>
                <w:color w:val="000000"/>
                <w:sz w:val="20"/>
                <w:szCs w:val="20"/>
              </w:rPr>
            </w:pPr>
            <w:r>
              <w:rPr>
                <w:color w:val="000000"/>
                <w:sz w:val="20"/>
                <w:szCs w:val="20"/>
              </w:rPr>
              <w:t>-0.025</w:t>
            </w:r>
          </w:p>
        </w:tc>
        <w:tc>
          <w:tcPr>
            <w:tcW w:w="987" w:type="dxa"/>
            <w:vAlign w:val="bottom"/>
          </w:tcPr>
          <w:p w:rsidR="008A37D0" w:rsidRDefault="008A37D0" w:rsidP="008D67C4">
            <w:pPr>
              <w:jc w:val="right"/>
              <w:rPr>
                <w:color w:val="000000"/>
                <w:sz w:val="20"/>
                <w:szCs w:val="20"/>
              </w:rPr>
            </w:pPr>
            <w:r>
              <w:rPr>
                <w:color w:val="000000"/>
                <w:sz w:val="20"/>
                <w:szCs w:val="20"/>
              </w:rPr>
              <w:t>-0.023</w:t>
            </w:r>
          </w:p>
        </w:tc>
        <w:tc>
          <w:tcPr>
            <w:tcW w:w="988" w:type="dxa"/>
            <w:vAlign w:val="bottom"/>
          </w:tcPr>
          <w:p w:rsidR="008A37D0" w:rsidRDefault="008A37D0" w:rsidP="008D67C4">
            <w:pPr>
              <w:jc w:val="right"/>
              <w:rPr>
                <w:color w:val="000000"/>
                <w:sz w:val="20"/>
                <w:szCs w:val="20"/>
              </w:rPr>
            </w:pPr>
            <w:r>
              <w:rPr>
                <w:color w:val="000000"/>
                <w:sz w:val="20"/>
                <w:szCs w:val="20"/>
              </w:rPr>
              <w:t>-0.021</w:t>
            </w:r>
          </w:p>
        </w:tc>
        <w:tc>
          <w:tcPr>
            <w:tcW w:w="988" w:type="dxa"/>
            <w:vAlign w:val="bottom"/>
          </w:tcPr>
          <w:p w:rsidR="008A37D0" w:rsidRDefault="008A37D0" w:rsidP="008D67C4">
            <w:pPr>
              <w:jc w:val="right"/>
              <w:rPr>
                <w:color w:val="000000"/>
                <w:sz w:val="20"/>
                <w:szCs w:val="20"/>
              </w:rPr>
            </w:pPr>
            <w:r>
              <w:rPr>
                <w:color w:val="000000"/>
                <w:sz w:val="20"/>
                <w:szCs w:val="20"/>
              </w:rPr>
              <w:t>-0.020</w:t>
            </w:r>
          </w:p>
        </w:tc>
        <w:tc>
          <w:tcPr>
            <w:tcW w:w="988" w:type="dxa"/>
            <w:vAlign w:val="bottom"/>
          </w:tcPr>
          <w:p w:rsidR="008A37D0" w:rsidRDefault="008A37D0" w:rsidP="008D67C4">
            <w:pPr>
              <w:jc w:val="right"/>
              <w:rPr>
                <w:color w:val="000000"/>
                <w:sz w:val="20"/>
                <w:szCs w:val="20"/>
              </w:rPr>
            </w:pPr>
            <w:r>
              <w:rPr>
                <w:color w:val="000000"/>
                <w:sz w:val="20"/>
                <w:szCs w:val="20"/>
              </w:rPr>
              <w:t>-0.020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900" w:type="dxa"/>
            <w:gridSpan w:val="2"/>
            <w:vAlign w:val="bottom"/>
          </w:tcPr>
          <w:p w:rsidR="008A37D0" w:rsidRDefault="008A37D0" w:rsidP="008D67C4">
            <w:pPr>
              <w:jc w:val="right"/>
              <w:rPr>
                <w:color w:val="000000"/>
                <w:sz w:val="20"/>
                <w:szCs w:val="20"/>
              </w:rPr>
            </w:pPr>
            <w:r>
              <w:rPr>
                <w:color w:val="000000"/>
                <w:sz w:val="20"/>
                <w:szCs w:val="20"/>
              </w:rPr>
              <w:t>-0.036</w:t>
            </w:r>
          </w:p>
        </w:tc>
        <w:tc>
          <w:tcPr>
            <w:tcW w:w="989" w:type="dxa"/>
            <w:gridSpan w:val="2"/>
            <w:vAlign w:val="bottom"/>
          </w:tcPr>
          <w:p w:rsidR="008A37D0" w:rsidRDefault="008A37D0" w:rsidP="008D67C4">
            <w:pPr>
              <w:jc w:val="right"/>
              <w:rPr>
                <w:color w:val="000000"/>
                <w:sz w:val="20"/>
                <w:szCs w:val="20"/>
              </w:rPr>
            </w:pPr>
            <w:r>
              <w:rPr>
                <w:color w:val="000000"/>
                <w:sz w:val="20"/>
                <w:szCs w:val="20"/>
              </w:rPr>
              <w:t>-0.054</w:t>
            </w:r>
          </w:p>
        </w:tc>
        <w:tc>
          <w:tcPr>
            <w:tcW w:w="988" w:type="dxa"/>
            <w:gridSpan w:val="2"/>
            <w:vAlign w:val="bottom"/>
          </w:tcPr>
          <w:p w:rsidR="008A37D0" w:rsidRDefault="008A37D0" w:rsidP="008D67C4">
            <w:pPr>
              <w:jc w:val="right"/>
              <w:rPr>
                <w:color w:val="000000"/>
                <w:sz w:val="20"/>
                <w:szCs w:val="20"/>
              </w:rPr>
            </w:pPr>
            <w:r>
              <w:rPr>
                <w:color w:val="000000"/>
                <w:sz w:val="20"/>
                <w:szCs w:val="20"/>
              </w:rPr>
              <w:t>-0.070</w:t>
            </w:r>
          </w:p>
        </w:tc>
        <w:tc>
          <w:tcPr>
            <w:tcW w:w="988" w:type="dxa"/>
            <w:gridSpan w:val="2"/>
            <w:vAlign w:val="bottom"/>
          </w:tcPr>
          <w:p w:rsidR="008A37D0" w:rsidRDefault="008A37D0" w:rsidP="008D67C4">
            <w:pPr>
              <w:jc w:val="right"/>
              <w:rPr>
                <w:color w:val="000000"/>
                <w:sz w:val="20"/>
                <w:szCs w:val="20"/>
              </w:rPr>
            </w:pPr>
            <w:r>
              <w:rPr>
                <w:color w:val="000000"/>
                <w:sz w:val="20"/>
                <w:szCs w:val="20"/>
              </w:rPr>
              <w:t>-0.081</w:t>
            </w:r>
          </w:p>
        </w:tc>
        <w:tc>
          <w:tcPr>
            <w:tcW w:w="987" w:type="dxa"/>
            <w:vAlign w:val="bottom"/>
          </w:tcPr>
          <w:p w:rsidR="008A37D0" w:rsidRDefault="008A37D0" w:rsidP="008D67C4">
            <w:pPr>
              <w:jc w:val="right"/>
              <w:rPr>
                <w:color w:val="000000"/>
                <w:sz w:val="20"/>
                <w:szCs w:val="20"/>
              </w:rPr>
            </w:pPr>
            <w:r>
              <w:rPr>
                <w:color w:val="000000"/>
                <w:sz w:val="20"/>
                <w:szCs w:val="20"/>
              </w:rPr>
              <w:t>-0.090</w:t>
            </w:r>
          </w:p>
        </w:tc>
        <w:tc>
          <w:tcPr>
            <w:tcW w:w="988" w:type="dxa"/>
            <w:vAlign w:val="bottom"/>
          </w:tcPr>
          <w:p w:rsidR="008A37D0" w:rsidRDefault="008A37D0" w:rsidP="008D67C4">
            <w:pPr>
              <w:jc w:val="right"/>
              <w:rPr>
                <w:color w:val="000000"/>
                <w:sz w:val="20"/>
                <w:szCs w:val="20"/>
              </w:rPr>
            </w:pPr>
            <w:r>
              <w:rPr>
                <w:color w:val="000000"/>
                <w:sz w:val="20"/>
                <w:szCs w:val="20"/>
              </w:rPr>
              <w:t>-0.097</w:t>
            </w:r>
          </w:p>
        </w:tc>
        <w:tc>
          <w:tcPr>
            <w:tcW w:w="988" w:type="dxa"/>
            <w:vAlign w:val="bottom"/>
          </w:tcPr>
          <w:p w:rsidR="008A37D0" w:rsidRDefault="008A37D0" w:rsidP="008D67C4">
            <w:pPr>
              <w:jc w:val="right"/>
              <w:rPr>
                <w:color w:val="000000"/>
                <w:sz w:val="20"/>
                <w:szCs w:val="20"/>
              </w:rPr>
            </w:pPr>
            <w:r>
              <w:rPr>
                <w:color w:val="000000"/>
                <w:sz w:val="20"/>
                <w:szCs w:val="20"/>
              </w:rPr>
              <w:t>-0.102</w:t>
            </w:r>
          </w:p>
        </w:tc>
        <w:tc>
          <w:tcPr>
            <w:tcW w:w="988" w:type="dxa"/>
            <w:vAlign w:val="bottom"/>
          </w:tcPr>
          <w:p w:rsidR="008A37D0" w:rsidRDefault="008A37D0" w:rsidP="008D67C4">
            <w:pPr>
              <w:jc w:val="right"/>
              <w:rPr>
                <w:color w:val="000000"/>
                <w:sz w:val="20"/>
                <w:szCs w:val="20"/>
              </w:rPr>
            </w:pPr>
            <w:r>
              <w:rPr>
                <w:color w:val="000000"/>
                <w:sz w:val="20"/>
                <w:szCs w:val="20"/>
              </w:rPr>
              <w:t>-0.106</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900" w:type="dxa"/>
            <w:gridSpan w:val="2"/>
            <w:vAlign w:val="bottom"/>
          </w:tcPr>
          <w:p w:rsidR="008A37D0" w:rsidRDefault="008A37D0" w:rsidP="008D67C4">
            <w:pPr>
              <w:jc w:val="right"/>
              <w:rPr>
                <w:color w:val="000000"/>
                <w:sz w:val="20"/>
                <w:szCs w:val="20"/>
              </w:rPr>
            </w:pPr>
            <w:r>
              <w:rPr>
                <w:color w:val="000000"/>
                <w:sz w:val="20"/>
                <w:szCs w:val="20"/>
              </w:rPr>
              <w:t>0.004</w:t>
            </w:r>
          </w:p>
        </w:tc>
        <w:tc>
          <w:tcPr>
            <w:tcW w:w="989" w:type="dxa"/>
            <w:gridSpan w:val="2"/>
            <w:vAlign w:val="bottom"/>
          </w:tcPr>
          <w:p w:rsidR="008A37D0" w:rsidRDefault="008A37D0" w:rsidP="008D67C4">
            <w:pPr>
              <w:jc w:val="right"/>
              <w:rPr>
                <w:color w:val="000000"/>
                <w:sz w:val="20"/>
                <w:szCs w:val="20"/>
              </w:rPr>
            </w:pPr>
            <w:r>
              <w:rPr>
                <w:color w:val="000000"/>
                <w:sz w:val="20"/>
                <w:szCs w:val="20"/>
              </w:rPr>
              <w:t>0.005</w:t>
            </w:r>
          </w:p>
        </w:tc>
        <w:tc>
          <w:tcPr>
            <w:tcW w:w="988" w:type="dxa"/>
            <w:gridSpan w:val="2"/>
            <w:vAlign w:val="bottom"/>
          </w:tcPr>
          <w:p w:rsidR="008A37D0" w:rsidRDefault="008A37D0" w:rsidP="008D67C4">
            <w:pPr>
              <w:jc w:val="right"/>
              <w:rPr>
                <w:color w:val="000000"/>
                <w:sz w:val="20"/>
                <w:szCs w:val="20"/>
              </w:rPr>
            </w:pPr>
            <w:r>
              <w:rPr>
                <w:color w:val="000000"/>
                <w:sz w:val="20"/>
                <w:szCs w:val="20"/>
              </w:rPr>
              <w:t>0.004</w:t>
            </w:r>
          </w:p>
        </w:tc>
        <w:tc>
          <w:tcPr>
            <w:tcW w:w="988" w:type="dxa"/>
            <w:gridSpan w:val="2"/>
            <w:vAlign w:val="bottom"/>
          </w:tcPr>
          <w:p w:rsidR="008A37D0" w:rsidRDefault="008A37D0" w:rsidP="008D67C4">
            <w:pPr>
              <w:jc w:val="right"/>
              <w:rPr>
                <w:color w:val="000000"/>
                <w:sz w:val="20"/>
                <w:szCs w:val="20"/>
              </w:rPr>
            </w:pPr>
            <w:r>
              <w:rPr>
                <w:color w:val="000000"/>
                <w:sz w:val="20"/>
                <w:szCs w:val="20"/>
              </w:rPr>
              <w:t>0.004</w:t>
            </w:r>
          </w:p>
        </w:tc>
        <w:tc>
          <w:tcPr>
            <w:tcW w:w="987" w:type="dxa"/>
            <w:vAlign w:val="bottom"/>
          </w:tcPr>
          <w:p w:rsidR="008A37D0" w:rsidRDefault="008A37D0" w:rsidP="008D67C4">
            <w:pPr>
              <w:jc w:val="right"/>
              <w:rPr>
                <w:color w:val="000000"/>
                <w:sz w:val="20"/>
                <w:szCs w:val="20"/>
              </w:rPr>
            </w:pPr>
            <w:r>
              <w:rPr>
                <w:color w:val="000000"/>
                <w:sz w:val="20"/>
                <w:szCs w:val="20"/>
              </w:rPr>
              <w:t>0.004</w:t>
            </w:r>
          </w:p>
        </w:tc>
        <w:tc>
          <w:tcPr>
            <w:tcW w:w="988" w:type="dxa"/>
            <w:vAlign w:val="bottom"/>
          </w:tcPr>
          <w:p w:rsidR="008A37D0" w:rsidRDefault="008A37D0" w:rsidP="008D67C4">
            <w:pPr>
              <w:jc w:val="right"/>
              <w:rPr>
                <w:color w:val="000000"/>
                <w:sz w:val="20"/>
                <w:szCs w:val="20"/>
              </w:rPr>
            </w:pPr>
            <w:r>
              <w:rPr>
                <w:color w:val="000000"/>
                <w:sz w:val="20"/>
                <w:szCs w:val="20"/>
              </w:rPr>
              <w:t>0.004</w:t>
            </w:r>
          </w:p>
        </w:tc>
        <w:tc>
          <w:tcPr>
            <w:tcW w:w="988" w:type="dxa"/>
            <w:vAlign w:val="bottom"/>
          </w:tcPr>
          <w:p w:rsidR="008A37D0" w:rsidRDefault="008A37D0" w:rsidP="008D67C4">
            <w:pPr>
              <w:jc w:val="right"/>
              <w:rPr>
                <w:color w:val="000000"/>
                <w:sz w:val="20"/>
                <w:szCs w:val="20"/>
              </w:rPr>
            </w:pPr>
            <w:r>
              <w:rPr>
                <w:color w:val="000000"/>
                <w:sz w:val="20"/>
                <w:szCs w:val="20"/>
              </w:rPr>
              <w:t>0.004</w:t>
            </w:r>
          </w:p>
        </w:tc>
        <w:tc>
          <w:tcPr>
            <w:tcW w:w="988" w:type="dxa"/>
            <w:vAlign w:val="bottom"/>
          </w:tcPr>
          <w:p w:rsidR="008A37D0" w:rsidRDefault="008A37D0" w:rsidP="008D67C4">
            <w:pPr>
              <w:jc w:val="right"/>
              <w:rPr>
                <w:color w:val="000000"/>
                <w:sz w:val="20"/>
                <w:szCs w:val="20"/>
              </w:rPr>
            </w:pPr>
            <w:r>
              <w:rPr>
                <w:color w:val="000000"/>
                <w:sz w:val="20"/>
                <w:szCs w:val="20"/>
              </w:rPr>
              <w:t>0.003</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900" w:type="dxa"/>
            <w:gridSpan w:val="2"/>
            <w:vAlign w:val="bottom"/>
          </w:tcPr>
          <w:p w:rsidR="008A37D0" w:rsidRDefault="008A37D0" w:rsidP="008D67C4">
            <w:pPr>
              <w:jc w:val="right"/>
              <w:rPr>
                <w:color w:val="000000"/>
                <w:sz w:val="20"/>
                <w:szCs w:val="20"/>
              </w:rPr>
            </w:pPr>
            <w:r>
              <w:rPr>
                <w:color w:val="000000"/>
                <w:sz w:val="20"/>
                <w:szCs w:val="20"/>
              </w:rPr>
              <w:t>0.006</w:t>
            </w:r>
          </w:p>
        </w:tc>
        <w:tc>
          <w:tcPr>
            <w:tcW w:w="989" w:type="dxa"/>
            <w:gridSpan w:val="2"/>
            <w:vAlign w:val="bottom"/>
          </w:tcPr>
          <w:p w:rsidR="008A37D0" w:rsidRDefault="008A37D0" w:rsidP="008D67C4">
            <w:pPr>
              <w:jc w:val="right"/>
              <w:rPr>
                <w:color w:val="000000"/>
                <w:sz w:val="20"/>
                <w:szCs w:val="20"/>
              </w:rPr>
            </w:pPr>
            <w:r>
              <w:rPr>
                <w:color w:val="000000"/>
                <w:sz w:val="20"/>
                <w:szCs w:val="20"/>
              </w:rPr>
              <w:t>0.004</w:t>
            </w:r>
          </w:p>
        </w:tc>
        <w:tc>
          <w:tcPr>
            <w:tcW w:w="988" w:type="dxa"/>
            <w:gridSpan w:val="2"/>
            <w:vAlign w:val="bottom"/>
          </w:tcPr>
          <w:p w:rsidR="008A37D0" w:rsidRDefault="008A37D0" w:rsidP="008D67C4">
            <w:pPr>
              <w:jc w:val="right"/>
              <w:rPr>
                <w:color w:val="000000"/>
                <w:sz w:val="20"/>
                <w:szCs w:val="20"/>
              </w:rPr>
            </w:pPr>
            <w:r>
              <w:rPr>
                <w:color w:val="000000"/>
                <w:sz w:val="20"/>
                <w:szCs w:val="20"/>
              </w:rPr>
              <w:t>0.004</w:t>
            </w:r>
          </w:p>
        </w:tc>
        <w:tc>
          <w:tcPr>
            <w:tcW w:w="988" w:type="dxa"/>
            <w:gridSpan w:val="2"/>
            <w:vAlign w:val="bottom"/>
          </w:tcPr>
          <w:p w:rsidR="008A37D0" w:rsidRDefault="008A37D0" w:rsidP="008D67C4">
            <w:pPr>
              <w:jc w:val="right"/>
              <w:rPr>
                <w:color w:val="000000"/>
                <w:sz w:val="20"/>
                <w:szCs w:val="20"/>
              </w:rPr>
            </w:pPr>
            <w:r>
              <w:rPr>
                <w:color w:val="000000"/>
                <w:sz w:val="20"/>
                <w:szCs w:val="20"/>
              </w:rPr>
              <w:t>0.005</w:t>
            </w:r>
          </w:p>
        </w:tc>
        <w:tc>
          <w:tcPr>
            <w:tcW w:w="987" w:type="dxa"/>
            <w:vAlign w:val="bottom"/>
          </w:tcPr>
          <w:p w:rsidR="008A37D0" w:rsidRDefault="008A37D0" w:rsidP="008D67C4">
            <w:pPr>
              <w:jc w:val="right"/>
              <w:rPr>
                <w:color w:val="000000"/>
                <w:sz w:val="20"/>
                <w:szCs w:val="20"/>
              </w:rPr>
            </w:pPr>
            <w:r>
              <w:rPr>
                <w:color w:val="000000"/>
                <w:sz w:val="20"/>
                <w:szCs w:val="20"/>
              </w:rPr>
              <w:t>0.005</w:t>
            </w:r>
          </w:p>
        </w:tc>
        <w:tc>
          <w:tcPr>
            <w:tcW w:w="988" w:type="dxa"/>
            <w:vAlign w:val="bottom"/>
          </w:tcPr>
          <w:p w:rsidR="008A37D0" w:rsidRDefault="008A37D0" w:rsidP="008D67C4">
            <w:pPr>
              <w:jc w:val="right"/>
              <w:rPr>
                <w:color w:val="000000"/>
                <w:sz w:val="20"/>
                <w:szCs w:val="20"/>
              </w:rPr>
            </w:pPr>
            <w:r>
              <w:rPr>
                <w:color w:val="000000"/>
                <w:sz w:val="20"/>
                <w:szCs w:val="20"/>
              </w:rPr>
              <w:t>0.005</w:t>
            </w:r>
          </w:p>
        </w:tc>
        <w:tc>
          <w:tcPr>
            <w:tcW w:w="988" w:type="dxa"/>
            <w:vAlign w:val="bottom"/>
          </w:tcPr>
          <w:p w:rsidR="008A37D0" w:rsidRDefault="008A37D0" w:rsidP="008D67C4">
            <w:pPr>
              <w:jc w:val="right"/>
              <w:rPr>
                <w:color w:val="000000"/>
                <w:sz w:val="20"/>
                <w:szCs w:val="20"/>
              </w:rPr>
            </w:pPr>
            <w:r>
              <w:rPr>
                <w:color w:val="000000"/>
                <w:sz w:val="20"/>
                <w:szCs w:val="20"/>
              </w:rPr>
              <w:t>0.005</w:t>
            </w:r>
          </w:p>
        </w:tc>
        <w:tc>
          <w:tcPr>
            <w:tcW w:w="988" w:type="dxa"/>
            <w:vAlign w:val="bottom"/>
          </w:tcPr>
          <w:p w:rsidR="008A37D0" w:rsidRDefault="008A37D0" w:rsidP="008D67C4">
            <w:pPr>
              <w:jc w:val="right"/>
              <w:rPr>
                <w:color w:val="000000"/>
                <w:sz w:val="20"/>
                <w:szCs w:val="20"/>
              </w:rPr>
            </w:pPr>
            <w:r>
              <w:rPr>
                <w:color w:val="000000"/>
                <w:sz w:val="20"/>
                <w:szCs w:val="20"/>
              </w:rPr>
              <w:t>0.004</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900" w:type="dxa"/>
            <w:gridSpan w:val="2"/>
            <w:vAlign w:val="bottom"/>
          </w:tcPr>
          <w:p w:rsidR="008A37D0" w:rsidRDefault="008A37D0" w:rsidP="008D67C4">
            <w:pPr>
              <w:jc w:val="right"/>
              <w:rPr>
                <w:color w:val="000000"/>
                <w:sz w:val="20"/>
                <w:szCs w:val="20"/>
              </w:rPr>
            </w:pPr>
            <w:r>
              <w:rPr>
                <w:color w:val="000000"/>
                <w:sz w:val="20"/>
                <w:szCs w:val="20"/>
              </w:rPr>
              <w:t>0.003</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7"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0.001</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900" w:type="dxa"/>
            <w:gridSpan w:val="2"/>
            <w:vAlign w:val="bottom"/>
          </w:tcPr>
          <w:p w:rsidR="008A37D0" w:rsidRDefault="008A37D0" w:rsidP="008D67C4">
            <w:pPr>
              <w:jc w:val="right"/>
              <w:rPr>
                <w:color w:val="000000"/>
                <w:sz w:val="20"/>
                <w:szCs w:val="20"/>
              </w:rPr>
            </w:pPr>
            <w:r>
              <w:rPr>
                <w:color w:val="000000"/>
                <w:sz w:val="20"/>
                <w:szCs w:val="20"/>
              </w:rPr>
              <w:t>0.003</w:t>
            </w:r>
          </w:p>
        </w:tc>
        <w:tc>
          <w:tcPr>
            <w:tcW w:w="989"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7"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0.001</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900" w:type="dxa"/>
            <w:gridSpan w:val="2"/>
            <w:vAlign w:val="bottom"/>
          </w:tcPr>
          <w:p w:rsidR="008A37D0" w:rsidRDefault="008A37D0" w:rsidP="008D67C4">
            <w:pPr>
              <w:jc w:val="right"/>
              <w:rPr>
                <w:color w:val="000000"/>
                <w:sz w:val="20"/>
                <w:szCs w:val="20"/>
              </w:rPr>
            </w:pPr>
            <w:r>
              <w:rPr>
                <w:color w:val="000000"/>
                <w:sz w:val="20"/>
                <w:szCs w:val="20"/>
              </w:rPr>
              <w:t>0.001</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7"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0.003</w:t>
            </w:r>
          </w:p>
        </w:tc>
        <w:tc>
          <w:tcPr>
            <w:tcW w:w="988" w:type="dxa"/>
            <w:vAlign w:val="bottom"/>
          </w:tcPr>
          <w:p w:rsidR="008A37D0" w:rsidRDefault="008A37D0" w:rsidP="008D67C4">
            <w:pPr>
              <w:jc w:val="right"/>
              <w:rPr>
                <w:color w:val="000000"/>
                <w:sz w:val="20"/>
                <w:szCs w:val="20"/>
              </w:rPr>
            </w:pPr>
            <w:r>
              <w:rPr>
                <w:color w:val="000000"/>
                <w:sz w:val="20"/>
                <w:szCs w:val="20"/>
              </w:rPr>
              <w:t>0.003</w:t>
            </w:r>
          </w:p>
        </w:tc>
        <w:tc>
          <w:tcPr>
            <w:tcW w:w="988" w:type="dxa"/>
            <w:vAlign w:val="bottom"/>
          </w:tcPr>
          <w:p w:rsidR="008A37D0" w:rsidRDefault="008A37D0" w:rsidP="008D67C4">
            <w:pPr>
              <w:jc w:val="right"/>
              <w:rPr>
                <w:color w:val="000000"/>
                <w:sz w:val="20"/>
                <w:szCs w:val="20"/>
              </w:rPr>
            </w:pPr>
            <w:r>
              <w:rPr>
                <w:color w:val="000000"/>
                <w:sz w:val="20"/>
                <w:szCs w:val="20"/>
              </w:rPr>
              <w:t>0.003</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900" w:type="dxa"/>
            <w:gridSpan w:val="2"/>
            <w:vAlign w:val="bottom"/>
          </w:tcPr>
          <w:p w:rsidR="008A37D0" w:rsidRDefault="008A37D0" w:rsidP="008D67C4">
            <w:pPr>
              <w:jc w:val="right"/>
              <w:rPr>
                <w:color w:val="000000"/>
                <w:sz w:val="20"/>
                <w:szCs w:val="20"/>
              </w:rPr>
            </w:pPr>
            <w:r>
              <w:rPr>
                <w:color w:val="000000"/>
                <w:sz w:val="20"/>
                <w:szCs w:val="20"/>
              </w:rPr>
              <w:t>0.002</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7"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900" w:type="dxa"/>
            <w:gridSpan w:val="2"/>
            <w:vAlign w:val="bottom"/>
          </w:tcPr>
          <w:p w:rsidR="008A37D0" w:rsidRDefault="008A37D0" w:rsidP="008D67C4">
            <w:pPr>
              <w:jc w:val="right"/>
              <w:rPr>
                <w:color w:val="000000"/>
                <w:sz w:val="20"/>
                <w:szCs w:val="20"/>
              </w:rPr>
            </w:pPr>
            <w:r>
              <w:rPr>
                <w:color w:val="000000"/>
                <w:sz w:val="20"/>
                <w:szCs w:val="20"/>
              </w:rPr>
              <w:t>0.000</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7"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0.002</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p>
        </w:tc>
        <w:tc>
          <w:tcPr>
            <w:tcW w:w="900" w:type="dxa"/>
            <w:gridSpan w:val="2"/>
          </w:tcPr>
          <w:p w:rsidR="008A37D0" w:rsidRPr="00BB0715" w:rsidRDefault="008A37D0" w:rsidP="008D67C4">
            <w:pPr>
              <w:rPr>
                <w:rFonts w:ascii="Times New Roman" w:hAnsi="Times New Roman" w:cs="Times New Roman"/>
                <w:b/>
                <w:sz w:val="20"/>
                <w:szCs w:val="20"/>
              </w:rPr>
            </w:pPr>
          </w:p>
        </w:tc>
        <w:tc>
          <w:tcPr>
            <w:tcW w:w="989" w:type="dxa"/>
            <w:gridSpan w:val="2"/>
          </w:tcPr>
          <w:p w:rsidR="008A37D0" w:rsidRPr="00BB0715" w:rsidRDefault="008A37D0" w:rsidP="008D67C4">
            <w:pPr>
              <w:rPr>
                <w:rFonts w:ascii="Times New Roman" w:hAnsi="Times New Roman" w:cs="Times New Roman"/>
                <w:b/>
                <w:sz w:val="20"/>
                <w:szCs w:val="20"/>
              </w:rPr>
            </w:pPr>
          </w:p>
        </w:tc>
        <w:tc>
          <w:tcPr>
            <w:tcW w:w="988" w:type="dxa"/>
            <w:gridSpan w:val="2"/>
          </w:tcPr>
          <w:p w:rsidR="008A37D0" w:rsidRPr="00BB0715" w:rsidRDefault="008A37D0" w:rsidP="008D67C4">
            <w:pPr>
              <w:rPr>
                <w:rFonts w:ascii="Times New Roman" w:hAnsi="Times New Roman" w:cs="Times New Roman"/>
                <w:b/>
                <w:sz w:val="20"/>
                <w:szCs w:val="20"/>
              </w:rPr>
            </w:pPr>
          </w:p>
        </w:tc>
        <w:tc>
          <w:tcPr>
            <w:tcW w:w="988" w:type="dxa"/>
            <w:gridSpan w:val="2"/>
          </w:tcPr>
          <w:p w:rsidR="008A37D0" w:rsidRPr="00BB0715" w:rsidRDefault="008A37D0" w:rsidP="008D67C4">
            <w:pPr>
              <w:rPr>
                <w:rFonts w:ascii="Times New Roman" w:hAnsi="Times New Roman" w:cs="Times New Roman"/>
                <w:b/>
                <w:sz w:val="20"/>
                <w:szCs w:val="20"/>
              </w:rPr>
            </w:pPr>
          </w:p>
        </w:tc>
        <w:tc>
          <w:tcPr>
            <w:tcW w:w="987" w:type="dxa"/>
          </w:tcPr>
          <w:p w:rsidR="008A37D0" w:rsidRPr="00BB0715" w:rsidRDefault="008A37D0" w:rsidP="008D67C4">
            <w:pPr>
              <w:rPr>
                <w:rFonts w:ascii="Times New Roman" w:hAnsi="Times New Roman" w:cs="Times New Roman"/>
                <w:b/>
                <w:sz w:val="20"/>
                <w:szCs w:val="20"/>
              </w:rPr>
            </w:pPr>
          </w:p>
        </w:tc>
        <w:tc>
          <w:tcPr>
            <w:tcW w:w="988" w:type="dxa"/>
          </w:tcPr>
          <w:p w:rsidR="008A37D0" w:rsidRPr="00BB0715" w:rsidRDefault="008A37D0" w:rsidP="008D67C4">
            <w:pPr>
              <w:rPr>
                <w:rFonts w:ascii="Times New Roman" w:hAnsi="Times New Roman" w:cs="Times New Roman"/>
                <w:b/>
                <w:sz w:val="20"/>
                <w:szCs w:val="20"/>
              </w:rPr>
            </w:pPr>
          </w:p>
        </w:tc>
        <w:tc>
          <w:tcPr>
            <w:tcW w:w="988" w:type="dxa"/>
          </w:tcPr>
          <w:p w:rsidR="008A37D0" w:rsidRPr="00BB0715" w:rsidRDefault="008A37D0" w:rsidP="008D67C4">
            <w:pPr>
              <w:rPr>
                <w:rFonts w:ascii="Times New Roman" w:hAnsi="Times New Roman" w:cs="Times New Roman"/>
                <w:b/>
                <w:sz w:val="20"/>
                <w:szCs w:val="20"/>
              </w:rPr>
            </w:pPr>
          </w:p>
        </w:tc>
        <w:tc>
          <w:tcPr>
            <w:tcW w:w="988" w:type="dxa"/>
          </w:tcPr>
          <w:p w:rsidR="008A37D0" w:rsidRPr="00BB0715" w:rsidRDefault="008A37D0" w:rsidP="008D67C4">
            <w:pPr>
              <w:rPr>
                <w:rFonts w:ascii="Times New Roman" w:hAnsi="Times New Roman" w:cs="Times New Roman"/>
                <w:b/>
                <w:sz w:val="20"/>
                <w:szCs w:val="20"/>
              </w:rPr>
            </w:pP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Pr>
                <w:rFonts w:ascii="Times New Roman" w:hAnsi="Times New Roman" w:cs="Times New Roman"/>
                <w:b/>
                <w:sz w:val="20"/>
                <w:szCs w:val="20"/>
              </w:rPr>
              <w:t>Employment</w:t>
            </w:r>
          </w:p>
        </w:tc>
        <w:tc>
          <w:tcPr>
            <w:tcW w:w="900"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989"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988"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988"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987"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900" w:type="dxa"/>
            <w:gridSpan w:val="2"/>
            <w:vAlign w:val="bottom"/>
          </w:tcPr>
          <w:p w:rsidR="008A37D0" w:rsidRDefault="008A37D0" w:rsidP="008D67C4">
            <w:pPr>
              <w:jc w:val="right"/>
              <w:rPr>
                <w:color w:val="000000"/>
                <w:sz w:val="20"/>
                <w:szCs w:val="20"/>
              </w:rPr>
            </w:pPr>
            <w:r>
              <w:rPr>
                <w:color w:val="000000"/>
                <w:sz w:val="20"/>
                <w:szCs w:val="20"/>
              </w:rPr>
              <w:t>-0.007</w:t>
            </w:r>
          </w:p>
        </w:tc>
        <w:tc>
          <w:tcPr>
            <w:tcW w:w="989" w:type="dxa"/>
            <w:gridSpan w:val="2"/>
            <w:vAlign w:val="bottom"/>
          </w:tcPr>
          <w:p w:rsidR="008A37D0" w:rsidRDefault="008A37D0" w:rsidP="008D67C4">
            <w:pPr>
              <w:jc w:val="right"/>
              <w:rPr>
                <w:color w:val="000000"/>
                <w:sz w:val="20"/>
                <w:szCs w:val="20"/>
              </w:rPr>
            </w:pPr>
            <w:r>
              <w:rPr>
                <w:color w:val="000000"/>
                <w:sz w:val="20"/>
                <w:szCs w:val="20"/>
              </w:rPr>
              <w:t>-0.003</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900" w:type="dxa"/>
            <w:gridSpan w:val="2"/>
            <w:vAlign w:val="bottom"/>
          </w:tcPr>
          <w:p w:rsidR="008A37D0" w:rsidRDefault="008A37D0" w:rsidP="008D67C4">
            <w:pPr>
              <w:jc w:val="right"/>
              <w:rPr>
                <w:color w:val="000000"/>
                <w:sz w:val="20"/>
                <w:szCs w:val="20"/>
              </w:rPr>
            </w:pPr>
            <w:r>
              <w:rPr>
                <w:color w:val="000000"/>
                <w:sz w:val="20"/>
                <w:szCs w:val="20"/>
              </w:rPr>
              <w:t>-0.052</w:t>
            </w:r>
          </w:p>
        </w:tc>
        <w:tc>
          <w:tcPr>
            <w:tcW w:w="989" w:type="dxa"/>
            <w:gridSpan w:val="2"/>
            <w:vAlign w:val="bottom"/>
          </w:tcPr>
          <w:p w:rsidR="008A37D0" w:rsidRDefault="008A37D0" w:rsidP="008D67C4">
            <w:pPr>
              <w:jc w:val="right"/>
              <w:rPr>
                <w:color w:val="000000"/>
                <w:sz w:val="20"/>
                <w:szCs w:val="20"/>
              </w:rPr>
            </w:pPr>
            <w:r>
              <w:rPr>
                <w:color w:val="000000"/>
                <w:sz w:val="20"/>
                <w:szCs w:val="20"/>
              </w:rPr>
              <w:t>-0.027</w:t>
            </w:r>
          </w:p>
        </w:tc>
        <w:tc>
          <w:tcPr>
            <w:tcW w:w="988" w:type="dxa"/>
            <w:gridSpan w:val="2"/>
            <w:vAlign w:val="bottom"/>
          </w:tcPr>
          <w:p w:rsidR="008A37D0" w:rsidRDefault="008A37D0" w:rsidP="008D67C4">
            <w:pPr>
              <w:jc w:val="right"/>
              <w:rPr>
                <w:color w:val="000000"/>
                <w:sz w:val="20"/>
                <w:szCs w:val="20"/>
              </w:rPr>
            </w:pPr>
            <w:r>
              <w:rPr>
                <w:color w:val="000000"/>
                <w:sz w:val="20"/>
                <w:szCs w:val="20"/>
              </w:rPr>
              <w:t>-0.014</w:t>
            </w:r>
          </w:p>
        </w:tc>
        <w:tc>
          <w:tcPr>
            <w:tcW w:w="988" w:type="dxa"/>
            <w:gridSpan w:val="2"/>
            <w:vAlign w:val="bottom"/>
          </w:tcPr>
          <w:p w:rsidR="008A37D0" w:rsidRDefault="008A37D0" w:rsidP="008D67C4">
            <w:pPr>
              <w:jc w:val="right"/>
              <w:rPr>
                <w:color w:val="000000"/>
                <w:sz w:val="20"/>
                <w:szCs w:val="20"/>
              </w:rPr>
            </w:pPr>
            <w:r>
              <w:rPr>
                <w:color w:val="000000"/>
                <w:sz w:val="20"/>
                <w:szCs w:val="20"/>
              </w:rPr>
              <w:t>-0.008</w:t>
            </w:r>
          </w:p>
        </w:tc>
        <w:tc>
          <w:tcPr>
            <w:tcW w:w="987" w:type="dxa"/>
            <w:vAlign w:val="bottom"/>
          </w:tcPr>
          <w:p w:rsidR="008A37D0" w:rsidRDefault="008A37D0" w:rsidP="008D67C4">
            <w:pPr>
              <w:jc w:val="right"/>
              <w:rPr>
                <w:color w:val="000000"/>
                <w:sz w:val="20"/>
                <w:szCs w:val="20"/>
              </w:rPr>
            </w:pPr>
            <w:r>
              <w:rPr>
                <w:color w:val="000000"/>
                <w:sz w:val="20"/>
                <w:szCs w:val="20"/>
              </w:rPr>
              <w:t>-0.004</w:t>
            </w:r>
          </w:p>
        </w:tc>
        <w:tc>
          <w:tcPr>
            <w:tcW w:w="988" w:type="dxa"/>
            <w:vAlign w:val="bottom"/>
          </w:tcPr>
          <w:p w:rsidR="008A37D0" w:rsidRDefault="008A37D0" w:rsidP="008D67C4">
            <w:pPr>
              <w:jc w:val="right"/>
              <w:rPr>
                <w:color w:val="000000"/>
                <w:sz w:val="20"/>
                <w:szCs w:val="20"/>
              </w:rPr>
            </w:pPr>
            <w:r>
              <w:rPr>
                <w:color w:val="000000"/>
                <w:sz w:val="20"/>
                <w:szCs w:val="20"/>
              </w:rPr>
              <w:t>-0.002</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900" w:type="dxa"/>
            <w:gridSpan w:val="2"/>
            <w:vAlign w:val="bottom"/>
          </w:tcPr>
          <w:p w:rsidR="008A37D0" w:rsidRDefault="008A37D0" w:rsidP="008D67C4">
            <w:pPr>
              <w:jc w:val="right"/>
              <w:rPr>
                <w:color w:val="000000"/>
                <w:sz w:val="20"/>
                <w:szCs w:val="20"/>
              </w:rPr>
            </w:pPr>
            <w:r>
              <w:rPr>
                <w:color w:val="000000"/>
                <w:sz w:val="20"/>
                <w:szCs w:val="20"/>
              </w:rPr>
              <w:t>-0.060</w:t>
            </w:r>
          </w:p>
        </w:tc>
        <w:tc>
          <w:tcPr>
            <w:tcW w:w="989" w:type="dxa"/>
            <w:gridSpan w:val="2"/>
            <w:vAlign w:val="bottom"/>
          </w:tcPr>
          <w:p w:rsidR="008A37D0" w:rsidRDefault="008A37D0" w:rsidP="008D67C4">
            <w:pPr>
              <w:jc w:val="right"/>
              <w:rPr>
                <w:color w:val="000000"/>
                <w:sz w:val="20"/>
                <w:szCs w:val="20"/>
              </w:rPr>
            </w:pPr>
            <w:r>
              <w:rPr>
                <w:color w:val="000000"/>
                <w:sz w:val="20"/>
                <w:szCs w:val="20"/>
              </w:rPr>
              <w:t>-0.048</w:t>
            </w:r>
          </w:p>
        </w:tc>
        <w:tc>
          <w:tcPr>
            <w:tcW w:w="988" w:type="dxa"/>
            <w:gridSpan w:val="2"/>
            <w:vAlign w:val="bottom"/>
          </w:tcPr>
          <w:p w:rsidR="008A37D0" w:rsidRDefault="008A37D0" w:rsidP="008D67C4">
            <w:pPr>
              <w:jc w:val="right"/>
              <w:rPr>
                <w:color w:val="000000"/>
                <w:sz w:val="20"/>
                <w:szCs w:val="20"/>
              </w:rPr>
            </w:pPr>
            <w:r>
              <w:rPr>
                <w:color w:val="000000"/>
                <w:sz w:val="20"/>
                <w:szCs w:val="20"/>
              </w:rPr>
              <w:t>-0.041</w:t>
            </w:r>
          </w:p>
        </w:tc>
        <w:tc>
          <w:tcPr>
            <w:tcW w:w="988" w:type="dxa"/>
            <w:gridSpan w:val="2"/>
            <w:vAlign w:val="bottom"/>
          </w:tcPr>
          <w:p w:rsidR="008A37D0" w:rsidRDefault="008A37D0" w:rsidP="008D67C4">
            <w:pPr>
              <w:jc w:val="right"/>
              <w:rPr>
                <w:color w:val="000000"/>
                <w:sz w:val="20"/>
                <w:szCs w:val="20"/>
              </w:rPr>
            </w:pPr>
            <w:r>
              <w:rPr>
                <w:color w:val="000000"/>
                <w:sz w:val="20"/>
                <w:szCs w:val="20"/>
              </w:rPr>
              <w:t>-0.035</w:t>
            </w:r>
          </w:p>
        </w:tc>
        <w:tc>
          <w:tcPr>
            <w:tcW w:w="987" w:type="dxa"/>
            <w:vAlign w:val="bottom"/>
          </w:tcPr>
          <w:p w:rsidR="008A37D0" w:rsidRDefault="008A37D0" w:rsidP="008D67C4">
            <w:pPr>
              <w:jc w:val="right"/>
              <w:rPr>
                <w:color w:val="000000"/>
                <w:sz w:val="20"/>
                <w:szCs w:val="20"/>
              </w:rPr>
            </w:pPr>
            <w:r>
              <w:rPr>
                <w:color w:val="000000"/>
                <w:sz w:val="20"/>
                <w:szCs w:val="20"/>
              </w:rPr>
              <w:t>-0.029</w:t>
            </w:r>
          </w:p>
        </w:tc>
        <w:tc>
          <w:tcPr>
            <w:tcW w:w="988" w:type="dxa"/>
            <w:vAlign w:val="bottom"/>
          </w:tcPr>
          <w:p w:rsidR="008A37D0" w:rsidRDefault="008A37D0" w:rsidP="008D67C4">
            <w:pPr>
              <w:jc w:val="right"/>
              <w:rPr>
                <w:color w:val="000000"/>
                <w:sz w:val="20"/>
                <w:szCs w:val="20"/>
              </w:rPr>
            </w:pPr>
            <w:r>
              <w:rPr>
                <w:color w:val="000000"/>
                <w:sz w:val="20"/>
                <w:szCs w:val="20"/>
              </w:rPr>
              <w:t>-0.024</w:t>
            </w:r>
          </w:p>
        </w:tc>
        <w:tc>
          <w:tcPr>
            <w:tcW w:w="988" w:type="dxa"/>
            <w:vAlign w:val="bottom"/>
          </w:tcPr>
          <w:p w:rsidR="008A37D0" w:rsidRDefault="008A37D0" w:rsidP="008D67C4">
            <w:pPr>
              <w:jc w:val="right"/>
              <w:rPr>
                <w:color w:val="000000"/>
                <w:sz w:val="20"/>
                <w:szCs w:val="20"/>
              </w:rPr>
            </w:pPr>
            <w:r>
              <w:rPr>
                <w:color w:val="000000"/>
                <w:sz w:val="20"/>
                <w:szCs w:val="20"/>
              </w:rPr>
              <w:t>-0.019</w:t>
            </w:r>
          </w:p>
        </w:tc>
        <w:tc>
          <w:tcPr>
            <w:tcW w:w="988" w:type="dxa"/>
            <w:vAlign w:val="bottom"/>
          </w:tcPr>
          <w:p w:rsidR="008A37D0" w:rsidRDefault="008A37D0" w:rsidP="008D67C4">
            <w:pPr>
              <w:jc w:val="right"/>
              <w:rPr>
                <w:color w:val="000000"/>
                <w:sz w:val="20"/>
                <w:szCs w:val="20"/>
              </w:rPr>
            </w:pPr>
            <w:r>
              <w:rPr>
                <w:color w:val="000000"/>
                <w:sz w:val="20"/>
                <w:szCs w:val="20"/>
              </w:rPr>
              <w:t>-0.015</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900" w:type="dxa"/>
            <w:gridSpan w:val="2"/>
            <w:vAlign w:val="bottom"/>
          </w:tcPr>
          <w:p w:rsidR="008A37D0" w:rsidRDefault="008A37D0" w:rsidP="008D67C4">
            <w:pPr>
              <w:jc w:val="right"/>
              <w:rPr>
                <w:color w:val="000000"/>
                <w:sz w:val="20"/>
                <w:szCs w:val="20"/>
              </w:rPr>
            </w:pPr>
            <w:r>
              <w:rPr>
                <w:color w:val="000000"/>
                <w:sz w:val="20"/>
                <w:szCs w:val="20"/>
              </w:rPr>
              <w:t>0.005</w:t>
            </w:r>
          </w:p>
        </w:tc>
        <w:tc>
          <w:tcPr>
            <w:tcW w:w="989" w:type="dxa"/>
            <w:gridSpan w:val="2"/>
            <w:vAlign w:val="bottom"/>
          </w:tcPr>
          <w:p w:rsidR="008A37D0" w:rsidRDefault="008A37D0" w:rsidP="008D67C4">
            <w:pPr>
              <w:jc w:val="right"/>
              <w:rPr>
                <w:color w:val="000000"/>
                <w:sz w:val="20"/>
                <w:szCs w:val="20"/>
              </w:rPr>
            </w:pPr>
            <w:r>
              <w:rPr>
                <w:color w:val="000000"/>
                <w:sz w:val="20"/>
                <w:szCs w:val="20"/>
              </w:rPr>
              <w:t>0.004</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900" w:type="dxa"/>
            <w:gridSpan w:val="2"/>
            <w:vAlign w:val="bottom"/>
          </w:tcPr>
          <w:p w:rsidR="008A37D0" w:rsidRDefault="008A37D0" w:rsidP="008D67C4">
            <w:pPr>
              <w:jc w:val="right"/>
              <w:rPr>
                <w:color w:val="000000"/>
                <w:sz w:val="20"/>
                <w:szCs w:val="20"/>
              </w:rPr>
            </w:pPr>
            <w:r>
              <w:rPr>
                <w:color w:val="000000"/>
                <w:sz w:val="20"/>
                <w:szCs w:val="20"/>
              </w:rPr>
              <w:t>0.007</w:t>
            </w:r>
          </w:p>
        </w:tc>
        <w:tc>
          <w:tcPr>
            <w:tcW w:w="989" w:type="dxa"/>
            <w:gridSpan w:val="2"/>
            <w:vAlign w:val="bottom"/>
          </w:tcPr>
          <w:p w:rsidR="008A37D0" w:rsidRDefault="008A37D0" w:rsidP="008D67C4">
            <w:pPr>
              <w:jc w:val="right"/>
              <w:rPr>
                <w:color w:val="000000"/>
                <w:sz w:val="20"/>
                <w:szCs w:val="20"/>
              </w:rPr>
            </w:pPr>
            <w:r>
              <w:rPr>
                <w:color w:val="000000"/>
                <w:sz w:val="20"/>
                <w:szCs w:val="20"/>
              </w:rPr>
              <w:t>0.003</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900" w:type="dxa"/>
            <w:gridSpan w:val="2"/>
            <w:vAlign w:val="bottom"/>
          </w:tcPr>
          <w:p w:rsidR="008A37D0" w:rsidRDefault="008A37D0" w:rsidP="008D67C4">
            <w:pPr>
              <w:jc w:val="right"/>
              <w:rPr>
                <w:color w:val="000000"/>
                <w:sz w:val="20"/>
                <w:szCs w:val="20"/>
              </w:rPr>
            </w:pPr>
            <w:r>
              <w:rPr>
                <w:color w:val="000000"/>
                <w:sz w:val="20"/>
                <w:szCs w:val="20"/>
              </w:rPr>
              <w:t>0.003</w:t>
            </w:r>
          </w:p>
        </w:tc>
        <w:tc>
          <w:tcPr>
            <w:tcW w:w="989" w:type="dxa"/>
            <w:gridSpan w:val="2"/>
            <w:vAlign w:val="bottom"/>
          </w:tcPr>
          <w:p w:rsidR="008A37D0" w:rsidRDefault="008A37D0" w:rsidP="008D67C4">
            <w:pPr>
              <w:jc w:val="right"/>
              <w:rPr>
                <w:color w:val="000000"/>
                <w:sz w:val="20"/>
                <w:szCs w:val="20"/>
              </w:rPr>
            </w:pPr>
            <w:r>
              <w:rPr>
                <w:color w:val="000000"/>
                <w:sz w:val="20"/>
                <w:szCs w:val="20"/>
              </w:rPr>
              <w:t>0.000</w:t>
            </w:r>
          </w:p>
        </w:tc>
        <w:tc>
          <w:tcPr>
            <w:tcW w:w="988" w:type="dxa"/>
            <w:gridSpan w:val="2"/>
            <w:vAlign w:val="bottom"/>
          </w:tcPr>
          <w:p w:rsidR="008A37D0" w:rsidRDefault="008A37D0" w:rsidP="008D67C4">
            <w:pPr>
              <w:jc w:val="right"/>
              <w:rPr>
                <w:color w:val="000000"/>
                <w:sz w:val="20"/>
                <w:szCs w:val="20"/>
              </w:rPr>
            </w:pPr>
            <w:r>
              <w:rPr>
                <w:color w:val="000000"/>
                <w:sz w:val="20"/>
                <w:szCs w:val="20"/>
              </w:rPr>
              <w:t>0.000</w:t>
            </w:r>
          </w:p>
        </w:tc>
        <w:tc>
          <w:tcPr>
            <w:tcW w:w="988" w:type="dxa"/>
            <w:gridSpan w:val="2"/>
            <w:vAlign w:val="bottom"/>
          </w:tcPr>
          <w:p w:rsidR="008A37D0" w:rsidRDefault="008A37D0" w:rsidP="008D67C4">
            <w:pPr>
              <w:jc w:val="right"/>
              <w:rPr>
                <w:color w:val="000000"/>
                <w:sz w:val="20"/>
                <w:szCs w:val="20"/>
              </w:rPr>
            </w:pPr>
            <w:r>
              <w:rPr>
                <w:color w:val="000000"/>
                <w:sz w:val="20"/>
                <w:szCs w:val="20"/>
              </w:rPr>
              <w:t>0.000</w:t>
            </w:r>
          </w:p>
        </w:tc>
        <w:tc>
          <w:tcPr>
            <w:tcW w:w="987"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900" w:type="dxa"/>
            <w:gridSpan w:val="2"/>
            <w:vAlign w:val="bottom"/>
          </w:tcPr>
          <w:p w:rsidR="008A37D0" w:rsidRDefault="008A37D0" w:rsidP="008D67C4">
            <w:pPr>
              <w:jc w:val="right"/>
              <w:rPr>
                <w:color w:val="000000"/>
                <w:sz w:val="20"/>
                <w:szCs w:val="20"/>
              </w:rPr>
            </w:pPr>
            <w:r>
              <w:rPr>
                <w:color w:val="000000"/>
                <w:sz w:val="20"/>
                <w:szCs w:val="20"/>
              </w:rPr>
              <w:t>0.005</w:t>
            </w:r>
          </w:p>
        </w:tc>
        <w:tc>
          <w:tcPr>
            <w:tcW w:w="989" w:type="dxa"/>
            <w:gridSpan w:val="2"/>
            <w:vAlign w:val="bottom"/>
          </w:tcPr>
          <w:p w:rsidR="008A37D0" w:rsidRDefault="008A37D0" w:rsidP="008D67C4">
            <w:pPr>
              <w:jc w:val="right"/>
              <w:rPr>
                <w:color w:val="000000"/>
                <w:sz w:val="20"/>
                <w:szCs w:val="20"/>
              </w:rPr>
            </w:pPr>
            <w:r>
              <w:rPr>
                <w:color w:val="000000"/>
                <w:sz w:val="20"/>
                <w:szCs w:val="20"/>
              </w:rPr>
              <w:t>0.003</w:t>
            </w:r>
          </w:p>
        </w:tc>
        <w:tc>
          <w:tcPr>
            <w:tcW w:w="988" w:type="dxa"/>
            <w:gridSpan w:val="2"/>
            <w:vAlign w:val="bottom"/>
          </w:tcPr>
          <w:p w:rsidR="008A37D0" w:rsidRDefault="008A37D0" w:rsidP="008D67C4">
            <w:pPr>
              <w:jc w:val="right"/>
              <w:rPr>
                <w:color w:val="000000"/>
                <w:sz w:val="20"/>
                <w:szCs w:val="20"/>
              </w:rPr>
            </w:pPr>
            <w:r>
              <w:rPr>
                <w:color w:val="000000"/>
                <w:sz w:val="20"/>
                <w:szCs w:val="20"/>
              </w:rPr>
              <w:t>0.002</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900" w:type="dxa"/>
            <w:gridSpan w:val="2"/>
            <w:vAlign w:val="bottom"/>
          </w:tcPr>
          <w:p w:rsidR="008A37D0" w:rsidRDefault="008A37D0" w:rsidP="008D67C4">
            <w:pPr>
              <w:jc w:val="right"/>
              <w:rPr>
                <w:color w:val="000000"/>
                <w:sz w:val="20"/>
                <w:szCs w:val="20"/>
              </w:rPr>
            </w:pPr>
            <w:r>
              <w:rPr>
                <w:color w:val="000000"/>
                <w:sz w:val="20"/>
                <w:szCs w:val="20"/>
              </w:rPr>
              <w:t>0.001</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900" w:type="dxa"/>
            <w:gridSpan w:val="2"/>
            <w:vAlign w:val="bottom"/>
          </w:tcPr>
          <w:p w:rsidR="008A37D0" w:rsidRDefault="008A37D0" w:rsidP="008D67C4">
            <w:pPr>
              <w:jc w:val="right"/>
              <w:rPr>
                <w:color w:val="000000"/>
                <w:sz w:val="20"/>
                <w:szCs w:val="20"/>
              </w:rPr>
            </w:pPr>
            <w:r>
              <w:rPr>
                <w:color w:val="000000"/>
                <w:sz w:val="20"/>
                <w:szCs w:val="20"/>
              </w:rPr>
              <w:t>0.002</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Pr="00241593" w:rsidRDefault="008A37D0" w:rsidP="008D67C4">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900" w:type="dxa"/>
            <w:gridSpan w:val="2"/>
            <w:vAlign w:val="bottom"/>
          </w:tcPr>
          <w:p w:rsidR="008A37D0" w:rsidRDefault="008A37D0" w:rsidP="008D67C4">
            <w:pPr>
              <w:jc w:val="right"/>
              <w:rPr>
                <w:color w:val="000000"/>
                <w:sz w:val="20"/>
                <w:szCs w:val="20"/>
              </w:rPr>
            </w:pPr>
            <w:r>
              <w:rPr>
                <w:color w:val="000000"/>
                <w:sz w:val="20"/>
                <w:szCs w:val="20"/>
              </w:rPr>
              <w:t>0.001</w:t>
            </w:r>
          </w:p>
        </w:tc>
        <w:tc>
          <w:tcPr>
            <w:tcW w:w="989"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8" w:type="dxa"/>
            <w:gridSpan w:val="2"/>
            <w:vAlign w:val="bottom"/>
          </w:tcPr>
          <w:p w:rsidR="008A37D0" w:rsidRDefault="008A37D0" w:rsidP="008D67C4">
            <w:pPr>
              <w:jc w:val="right"/>
              <w:rPr>
                <w:color w:val="000000"/>
                <w:sz w:val="20"/>
                <w:szCs w:val="20"/>
              </w:rPr>
            </w:pPr>
            <w:r>
              <w:rPr>
                <w:color w:val="000000"/>
                <w:sz w:val="20"/>
                <w:szCs w:val="20"/>
              </w:rPr>
              <w:t>0.001</w:t>
            </w:r>
          </w:p>
        </w:tc>
        <w:tc>
          <w:tcPr>
            <w:tcW w:w="987" w:type="dxa"/>
            <w:vAlign w:val="bottom"/>
          </w:tcPr>
          <w:p w:rsidR="008A37D0" w:rsidRDefault="008A37D0" w:rsidP="008D67C4">
            <w:pPr>
              <w:jc w:val="right"/>
              <w:rPr>
                <w:color w:val="000000"/>
                <w:sz w:val="20"/>
                <w:szCs w:val="20"/>
              </w:rPr>
            </w:pPr>
            <w:r>
              <w:rPr>
                <w:color w:val="000000"/>
                <w:sz w:val="20"/>
                <w:szCs w:val="20"/>
              </w:rPr>
              <w:t>0.001</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c>
          <w:tcPr>
            <w:tcW w:w="988" w:type="dxa"/>
            <w:vAlign w:val="bottom"/>
          </w:tcPr>
          <w:p w:rsidR="008A37D0" w:rsidRDefault="008A37D0" w:rsidP="008D67C4">
            <w:pPr>
              <w:jc w:val="right"/>
              <w:rPr>
                <w:color w:val="000000"/>
                <w:sz w:val="20"/>
                <w:szCs w:val="20"/>
              </w:rPr>
            </w:pPr>
            <w:r>
              <w:rPr>
                <w:color w:val="000000"/>
                <w:sz w:val="20"/>
                <w:szCs w:val="20"/>
              </w:rPr>
              <w:t>0.000</w:t>
            </w:r>
          </w:p>
        </w:tc>
      </w:tr>
      <w:tr w:rsidR="008A37D0" w:rsidRPr="00BB0715" w:rsidTr="008D67C4">
        <w:tc>
          <w:tcPr>
            <w:tcW w:w="1347" w:type="dxa"/>
          </w:tcPr>
          <w:p w:rsidR="008A37D0" w:rsidRDefault="008A37D0" w:rsidP="008D67C4">
            <w:pPr>
              <w:ind w:left="30" w:hanging="30"/>
              <w:rPr>
                <w:rFonts w:ascii="Times New Roman" w:hAnsi="Times New Roman" w:cs="Times New Roman"/>
                <w:b/>
                <w:sz w:val="20"/>
                <w:szCs w:val="20"/>
              </w:rPr>
            </w:pPr>
          </w:p>
        </w:tc>
        <w:tc>
          <w:tcPr>
            <w:tcW w:w="900" w:type="dxa"/>
            <w:gridSpan w:val="2"/>
          </w:tcPr>
          <w:p w:rsidR="008A37D0" w:rsidRPr="00BB0715" w:rsidRDefault="008A37D0" w:rsidP="008D67C4">
            <w:pPr>
              <w:rPr>
                <w:rFonts w:ascii="Times New Roman" w:hAnsi="Times New Roman" w:cs="Times New Roman"/>
                <w:b/>
                <w:sz w:val="20"/>
                <w:szCs w:val="20"/>
              </w:rPr>
            </w:pPr>
          </w:p>
        </w:tc>
        <w:tc>
          <w:tcPr>
            <w:tcW w:w="989" w:type="dxa"/>
            <w:gridSpan w:val="2"/>
          </w:tcPr>
          <w:p w:rsidR="008A37D0" w:rsidRPr="00BB0715" w:rsidRDefault="008A37D0" w:rsidP="008D67C4">
            <w:pPr>
              <w:rPr>
                <w:rFonts w:ascii="Times New Roman" w:hAnsi="Times New Roman" w:cs="Times New Roman"/>
                <w:b/>
                <w:sz w:val="20"/>
                <w:szCs w:val="20"/>
              </w:rPr>
            </w:pPr>
          </w:p>
        </w:tc>
        <w:tc>
          <w:tcPr>
            <w:tcW w:w="988" w:type="dxa"/>
            <w:gridSpan w:val="2"/>
          </w:tcPr>
          <w:p w:rsidR="008A37D0" w:rsidRPr="00BB0715" w:rsidRDefault="008A37D0" w:rsidP="008D67C4">
            <w:pPr>
              <w:rPr>
                <w:rFonts w:ascii="Times New Roman" w:hAnsi="Times New Roman" w:cs="Times New Roman"/>
                <w:b/>
                <w:sz w:val="20"/>
                <w:szCs w:val="20"/>
              </w:rPr>
            </w:pPr>
          </w:p>
        </w:tc>
        <w:tc>
          <w:tcPr>
            <w:tcW w:w="988" w:type="dxa"/>
            <w:gridSpan w:val="2"/>
          </w:tcPr>
          <w:p w:rsidR="008A37D0" w:rsidRPr="00BB0715" w:rsidRDefault="008A37D0" w:rsidP="008D67C4">
            <w:pPr>
              <w:rPr>
                <w:rFonts w:ascii="Times New Roman" w:hAnsi="Times New Roman" w:cs="Times New Roman"/>
                <w:b/>
                <w:sz w:val="20"/>
                <w:szCs w:val="20"/>
              </w:rPr>
            </w:pPr>
          </w:p>
        </w:tc>
        <w:tc>
          <w:tcPr>
            <w:tcW w:w="987" w:type="dxa"/>
          </w:tcPr>
          <w:p w:rsidR="008A37D0" w:rsidRPr="00BB0715" w:rsidRDefault="008A37D0" w:rsidP="008D67C4">
            <w:pPr>
              <w:rPr>
                <w:rFonts w:ascii="Times New Roman" w:hAnsi="Times New Roman" w:cs="Times New Roman"/>
                <w:b/>
                <w:sz w:val="20"/>
                <w:szCs w:val="20"/>
              </w:rPr>
            </w:pPr>
          </w:p>
        </w:tc>
        <w:tc>
          <w:tcPr>
            <w:tcW w:w="988" w:type="dxa"/>
          </w:tcPr>
          <w:p w:rsidR="008A37D0" w:rsidRPr="00BB0715" w:rsidRDefault="008A37D0" w:rsidP="008D67C4">
            <w:pPr>
              <w:rPr>
                <w:rFonts w:ascii="Times New Roman" w:hAnsi="Times New Roman" w:cs="Times New Roman"/>
                <w:b/>
                <w:sz w:val="20"/>
                <w:szCs w:val="20"/>
              </w:rPr>
            </w:pPr>
          </w:p>
        </w:tc>
        <w:tc>
          <w:tcPr>
            <w:tcW w:w="988" w:type="dxa"/>
          </w:tcPr>
          <w:p w:rsidR="008A37D0" w:rsidRPr="00BB0715" w:rsidRDefault="008A37D0" w:rsidP="008D67C4">
            <w:pPr>
              <w:rPr>
                <w:rFonts w:ascii="Times New Roman" w:hAnsi="Times New Roman" w:cs="Times New Roman"/>
                <w:b/>
                <w:sz w:val="20"/>
                <w:szCs w:val="20"/>
              </w:rPr>
            </w:pPr>
          </w:p>
        </w:tc>
        <w:tc>
          <w:tcPr>
            <w:tcW w:w="988" w:type="dxa"/>
          </w:tcPr>
          <w:p w:rsidR="008A37D0" w:rsidRPr="00BB0715" w:rsidRDefault="008A37D0" w:rsidP="008D67C4">
            <w:pPr>
              <w:rPr>
                <w:rFonts w:ascii="Times New Roman" w:hAnsi="Times New Roman" w:cs="Times New Roman"/>
                <w:b/>
                <w:sz w:val="20"/>
                <w:szCs w:val="20"/>
              </w:rPr>
            </w:pP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Pr>
                <w:rFonts w:ascii="Times New Roman" w:hAnsi="Times New Roman" w:cs="Times New Roman"/>
                <w:b/>
                <w:sz w:val="20"/>
                <w:szCs w:val="20"/>
              </w:rPr>
              <w:t>Capital</w:t>
            </w:r>
          </w:p>
        </w:tc>
        <w:tc>
          <w:tcPr>
            <w:tcW w:w="900"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989"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988"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988" w:type="dxa"/>
            <w:gridSpan w:val="2"/>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987"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988" w:type="dxa"/>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1 USA</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2 Canada</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-0.031</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-0.046</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-0.054</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-0.058</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-0.060</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-0.061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-0.061</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-0.039</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-0.067</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-0.089</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-0.106</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-0.119</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-0.130</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-0.138</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5 SKorea</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0.008</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0.008</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0.008</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0.008</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6 China</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7 Germany</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8 EU26</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9 UK</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sidRPr="00315538">
              <w:rPr>
                <w:rFonts w:ascii="Times New Roman" w:hAnsi="Times New Roman" w:cs="Times New Roman"/>
                <w:sz w:val="20"/>
                <w:szCs w:val="20"/>
              </w:rPr>
              <w:t>10 ROW</w:t>
            </w:r>
          </w:p>
        </w:tc>
        <w:tc>
          <w:tcPr>
            <w:tcW w:w="90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7"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r>
      <w:tr w:rsidR="008A37D0" w:rsidRPr="00BB0715" w:rsidTr="008D67C4">
        <w:tc>
          <w:tcPr>
            <w:tcW w:w="1347" w:type="dxa"/>
          </w:tcPr>
          <w:p w:rsidR="008A37D0" w:rsidRPr="00BB0715" w:rsidRDefault="008A37D0" w:rsidP="008D67C4">
            <w:pPr>
              <w:ind w:left="30" w:hanging="30"/>
              <w:rPr>
                <w:rFonts w:ascii="Times New Roman" w:hAnsi="Times New Roman" w:cs="Times New Roman"/>
                <w:b/>
                <w:sz w:val="20"/>
                <w:szCs w:val="20"/>
              </w:rPr>
            </w:pPr>
            <w:r>
              <w:rPr>
                <w:rFonts w:ascii="Times New Roman" w:hAnsi="Times New Roman" w:cs="Times New Roman"/>
                <w:b/>
                <w:sz w:val="20"/>
                <w:szCs w:val="20"/>
              </w:rPr>
              <w:t>Real private &amp; public consumption</w:t>
            </w:r>
          </w:p>
        </w:tc>
        <w:tc>
          <w:tcPr>
            <w:tcW w:w="892" w:type="dxa"/>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980" w:type="dxa"/>
            <w:gridSpan w:val="2"/>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979" w:type="dxa"/>
            <w:gridSpan w:val="2"/>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979" w:type="dxa"/>
            <w:gridSpan w:val="2"/>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1022" w:type="dxa"/>
            <w:gridSpan w:val="2"/>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988" w:type="dxa"/>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988" w:type="dxa"/>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988" w:type="dxa"/>
            <w:vAlign w:val="bottom"/>
          </w:tcPr>
          <w:p w:rsidR="008A37D0" w:rsidRPr="00BB0715" w:rsidRDefault="008A37D0" w:rsidP="008D67C4">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1 USA</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2 Canada</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-0.023</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-0.016</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-0.012</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-0.010</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-0.028</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-0.035</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-0.043</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-0.047</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-0.048</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-0.049</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-0.049</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-0.049</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5 SKorea</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0.011</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0.006</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6 China</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7 Germany</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8 EU26</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9 UK</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r>
      <w:tr w:rsidR="008A37D0" w:rsidRPr="00BB0715" w:rsidTr="008D67C4">
        <w:tc>
          <w:tcPr>
            <w:tcW w:w="1347" w:type="dxa"/>
          </w:tcPr>
          <w:p w:rsidR="008A37D0" w:rsidRPr="00315538" w:rsidRDefault="008A37D0" w:rsidP="008D67C4">
            <w:pPr>
              <w:ind w:left="30" w:hanging="30"/>
              <w:rPr>
                <w:rFonts w:ascii="Times New Roman" w:hAnsi="Times New Roman" w:cs="Times New Roman"/>
                <w:sz w:val="20"/>
                <w:szCs w:val="20"/>
              </w:rPr>
            </w:pPr>
            <w:r w:rsidRPr="00315538">
              <w:rPr>
                <w:rFonts w:ascii="Times New Roman" w:hAnsi="Times New Roman" w:cs="Times New Roman"/>
                <w:sz w:val="20"/>
                <w:szCs w:val="20"/>
              </w:rPr>
              <w:t>10 ROW</w:t>
            </w:r>
          </w:p>
        </w:tc>
        <w:tc>
          <w:tcPr>
            <w:tcW w:w="892"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-0.002</w:t>
            </w:r>
          </w:p>
        </w:tc>
        <w:tc>
          <w:tcPr>
            <w:tcW w:w="980"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79"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1022" w:type="dxa"/>
            <w:gridSpan w:val="2"/>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988" w:type="dxa"/>
            <w:vAlign w:val="bottom"/>
          </w:tcPr>
          <w:p w:rsidR="008A37D0" w:rsidRPr="00EE2B6F" w:rsidRDefault="008A37D0" w:rsidP="008D67C4">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r>
    </w:tbl>
    <w:p w:rsidR="001501F1" w:rsidRDefault="001501F1" w:rsidP="001501F1">
      <w:pPr>
        <w:rPr>
          <w:rFonts w:ascii="Times New Roman" w:hAnsi="Times New Roman" w:cs="Times New Roman"/>
          <w:b/>
          <w:i/>
        </w:rPr>
      </w:pPr>
      <w:r>
        <w:rPr>
          <w:rFonts w:ascii="Times New Roman" w:hAnsi="Times New Roman" w:cs="Times New Roman"/>
          <w:b/>
          <w:i/>
        </w:rPr>
        <w:br w:type="page"/>
      </w:r>
    </w:p>
    <w:p w:rsidR="001501F1" w:rsidRPr="008A37D0" w:rsidRDefault="001501F1" w:rsidP="001501F1">
      <w:pPr>
        <w:spacing w:before="120" w:after="0" w:line="240" w:lineRule="auto"/>
        <w:ind w:left="-142"/>
        <w:rPr>
          <w:rFonts w:ascii="Times New Roman" w:hAnsi="Times New Roman" w:cs="Times New Roman"/>
          <w:b/>
          <w:i/>
          <w:sz w:val="24"/>
        </w:rPr>
      </w:pPr>
      <w:r w:rsidRPr="008A37D0">
        <w:rPr>
          <w:rFonts w:ascii="Times New Roman" w:hAnsi="Times New Roman" w:cs="Times New Roman"/>
          <w:b/>
          <w:i/>
          <w:sz w:val="24"/>
        </w:rPr>
        <w:lastRenderedPageBreak/>
        <w:t>Experiment 2</w:t>
      </w:r>
      <w:r w:rsidR="008A37D0" w:rsidRPr="008A37D0">
        <w:rPr>
          <w:rFonts w:ascii="Times New Roman" w:hAnsi="Times New Roman" w:cs="Times New Roman"/>
          <w:b/>
          <w:i/>
          <w:sz w:val="24"/>
        </w:rPr>
        <w:t xml:space="preserve">, </w:t>
      </w:r>
      <w:r w:rsidRPr="008A37D0">
        <w:rPr>
          <w:rFonts w:ascii="Times New Roman" w:hAnsi="Times New Roman" w:cs="Times New Roman"/>
          <w:b/>
          <w:i/>
          <w:sz w:val="24"/>
        </w:rPr>
        <w:t>Table 4</w:t>
      </w:r>
    </w:p>
    <w:p w:rsidR="001501F1" w:rsidRDefault="001501F1" w:rsidP="001501F1">
      <w:pPr>
        <w:spacing w:before="120" w:after="0" w:line="240" w:lineRule="auto"/>
        <w:ind w:left="-142"/>
        <w:rPr>
          <w:rFonts w:ascii="Times New Roman" w:hAnsi="Times New Roman" w:cs="Times New Roman"/>
        </w:rPr>
      </w:pPr>
      <w:r>
        <w:rPr>
          <w:rFonts w:ascii="Times New Roman" w:hAnsi="Times New Roman" w:cs="Times New Roman"/>
        </w:rPr>
        <w:t xml:space="preserve">Raising tariffs on Finished motor vehicles imported from outside NAFTA reduces employment in the U.S. in the short run and capital in the long run.  The explaining mechanisms can be understood from our commentary on Table 3.  Together the labor and capital effects leave U.S. GDP reduced by the policy in both the short and long run.  </w:t>
      </w:r>
    </w:p>
    <w:p w:rsidR="001501F1" w:rsidRDefault="001501F1" w:rsidP="001501F1">
      <w:pPr>
        <w:spacing w:before="120" w:after="0" w:line="240" w:lineRule="auto"/>
        <w:ind w:left="-142"/>
        <w:rPr>
          <w:rFonts w:ascii="Times New Roman" w:hAnsi="Times New Roman" w:cs="Times New Roman"/>
        </w:rPr>
      </w:pPr>
      <w:r>
        <w:rPr>
          <w:rFonts w:ascii="Times New Roman" w:hAnsi="Times New Roman" w:cs="Times New Roman"/>
        </w:rPr>
        <w:t xml:space="preserve">For Canada and Mexico, the GDP effects in Experiment 2 are positive in both the short and long run.  In the short run, both countries experience employment gains associated with their improved competitiveness in the U.S. Motor vehicle market and in the long run both countries experience increases in their capital stock associated with higher real wages.  </w:t>
      </w:r>
    </w:p>
    <w:p w:rsidR="001501F1" w:rsidRDefault="001501F1" w:rsidP="001501F1">
      <w:pPr>
        <w:spacing w:before="120" w:after="0" w:line="240" w:lineRule="auto"/>
        <w:ind w:left="-142"/>
        <w:rPr>
          <w:rFonts w:ascii="Times New Roman" w:hAnsi="Times New Roman" w:cs="Times New Roman"/>
        </w:rPr>
      </w:pPr>
      <w:r>
        <w:rPr>
          <w:rFonts w:ascii="Times New Roman" w:hAnsi="Times New Roman" w:cs="Times New Roman"/>
        </w:rPr>
        <w:t xml:space="preserve">For Canada, the long-run employment effect is slightly negative (-0.006 per cent in 2023).  As illustrated in Figure 1 below, this is a very minor effect and should not be considered either policy relevant or reliable.  What </w:t>
      </w:r>
      <w:r w:rsidRPr="00A876EA">
        <w:rPr>
          <w:rFonts w:ascii="Times New Roman" w:hAnsi="Times New Roman" w:cs="Times New Roman"/>
          <w:i/>
        </w:rPr>
        <w:t>is</w:t>
      </w:r>
      <w:r>
        <w:rPr>
          <w:rFonts w:ascii="Times New Roman" w:hAnsi="Times New Roman" w:cs="Times New Roman"/>
        </w:rPr>
        <w:t xml:space="preserve"> reliable is that aggregate employment in the long run returns closely to baseline.  Sometimes in our modelling, which involves difference equations, the return of employment to baseline exhibits damped oscillations of the type apparent in the figure.  </w:t>
      </w:r>
    </w:p>
    <w:p w:rsidR="001501F1" w:rsidRDefault="001501F1" w:rsidP="001501F1">
      <w:pPr>
        <w:spacing w:before="120" w:after="0" w:line="240" w:lineRule="auto"/>
        <w:ind w:left="-142"/>
        <w:rPr>
          <w:rFonts w:ascii="Times New Roman" w:hAnsi="Times New Roman" w:cs="Times New Roman"/>
        </w:rPr>
      </w:pPr>
      <w:r>
        <w:rPr>
          <w:rFonts w:ascii="Times New Roman" w:hAnsi="Times New Roman" w:cs="Times New Roman"/>
        </w:rPr>
        <w:t xml:space="preserve">For Japan and SKorea, the macro effects of the U.S. tariff against their exports of Finished motor vehicles to the U.S. are strongly negative.  Both these countries have significant exports of Finished motor vehicles to the U.S.  For other non-NAFTA countries, the direct effects of U.S tariffs on Finished motor vehicles, while negative, are small: these countries don’t export large quantities of Finished motor vehicles to the U.S.  The negative direct effects can be outweighed by positive indirect effects in third markets, arising from U.S. loss in competitiveness.  The U.S. tariffs cause real appreciation and reduction in U.S. exports of all products (not just motor vehicles).  This is a source of gain for countries that compete with the U.S. in third markets. </w:t>
      </w:r>
    </w:p>
    <w:p w:rsidR="001501F1" w:rsidRDefault="001501F1" w:rsidP="001501F1">
      <w:pPr>
        <w:rPr>
          <w:rFonts w:ascii="Times New Roman" w:hAnsi="Times New Roman" w:cs="Times New Roman"/>
          <w:b/>
          <w:i/>
        </w:rPr>
      </w:pPr>
    </w:p>
    <w:p w:rsidR="00911CD5" w:rsidRPr="00DE5E7F" w:rsidRDefault="00911CD5" w:rsidP="00911CD5">
      <w:pPr>
        <w:spacing w:before="120" w:after="0" w:line="240" w:lineRule="auto"/>
        <w:jc w:val="center"/>
        <w:rPr>
          <w:rFonts w:ascii="Times New Roman" w:hAnsi="Times New Roman" w:cs="Times New Roman"/>
          <w:b/>
          <w:i/>
        </w:rPr>
      </w:pPr>
      <w:r>
        <w:rPr>
          <w:rFonts w:ascii="Times New Roman" w:hAnsi="Times New Roman" w:cs="Times New Roman"/>
          <w:b/>
          <w:i/>
        </w:rPr>
        <w:t>Figure 1.  Percentage deviations for Canada in macro variables: experiment 2</w:t>
      </w:r>
    </w:p>
    <w:p w:rsidR="00911CD5" w:rsidRPr="00364082" w:rsidRDefault="00911CD5" w:rsidP="00911CD5">
      <w:pPr>
        <w:spacing w:before="120" w:after="0" w:line="240" w:lineRule="auto"/>
        <w:ind w:left="-142"/>
        <w:rPr>
          <w:rFonts w:ascii="Times New Roman" w:hAnsi="Times New Roman" w:cs="Times New Roman"/>
          <w:b/>
          <w:i/>
          <w:sz w:val="24"/>
        </w:rPr>
      </w:pPr>
      <w:r w:rsidRPr="00DE5E7F">
        <w:rPr>
          <w:noProof/>
          <w:lang w:eastAsia="en-AU"/>
        </w:rPr>
        <w:drawing>
          <wp:inline distT="0" distB="0" distL="0" distR="0" wp14:anchorId="39BFBAE0" wp14:editId="0B70F008">
            <wp:extent cx="5731510" cy="374289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31510" cy="3742891"/>
                    </a:xfrm>
                    <a:prstGeom prst="rect">
                      <a:avLst/>
                    </a:prstGeom>
                    <a:noFill/>
                    <a:ln>
                      <a:noFill/>
                    </a:ln>
                  </pic:spPr>
                </pic:pic>
              </a:graphicData>
            </a:graphic>
          </wp:inline>
        </w:drawing>
      </w:r>
    </w:p>
    <w:p w:rsidR="00911CD5" w:rsidRDefault="00911CD5" w:rsidP="00911CD5">
      <w:pPr>
        <w:spacing w:before="120" w:after="0" w:line="240" w:lineRule="auto"/>
        <w:jc w:val="center"/>
        <w:rPr>
          <w:rFonts w:ascii="Times New Roman" w:hAnsi="Times New Roman" w:cs="Times New Roman"/>
          <w:b/>
          <w:i/>
        </w:rPr>
      </w:pPr>
    </w:p>
    <w:p w:rsidR="00911CD5" w:rsidRDefault="00911CD5" w:rsidP="001501F1">
      <w:pPr>
        <w:spacing w:before="120" w:after="0" w:line="240" w:lineRule="auto"/>
        <w:jc w:val="center"/>
        <w:rPr>
          <w:rFonts w:ascii="Times New Roman" w:hAnsi="Times New Roman" w:cs="Times New Roman"/>
          <w:b/>
          <w:i/>
        </w:rPr>
      </w:pPr>
      <w:r>
        <w:rPr>
          <w:rFonts w:ascii="Times New Roman" w:hAnsi="Times New Roman" w:cs="Times New Roman"/>
          <w:b/>
          <w:i/>
        </w:rPr>
        <w:br w:type="page"/>
      </w:r>
    </w:p>
    <w:p w:rsidR="001501F1" w:rsidRDefault="001501F1" w:rsidP="001501F1">
      <w:pPr>
        <w:spacing w:before="120" w:after="0" w:line="240" w:lineRule="auto"/>
        <w:jc w:val="center"/>
        <w:rPr>
          <w:rFonts w:ascii="Times New Roman" w:hAnsi="Times New Roman" w:cs="Times New Roman"/>
          <w:b/>
          <w:i/>
        </w:rPr>
      </w:pPr>
      <w:r w:rsidRPr="00BB0715">
        <w:rPr>
          <w:rFonts w:ascii="Times New Roman" w:hAnsi="Times New Roman" w:cs="Times New Roman"/>
          <w:b/>
          <w:i/>
        </w:rPr>
        <w:lastRenderedPageBreak/>
        <w:t xml:space="preserve">Table </w:t>
      </w:r>
      <w:r>
        <w:rPr>
          <w:rFonts w:ascii="Times New Roman" w:hAnsi="Times New Roman" w:cs="Times New Roman"/>
          <w:b/>
          <w:i/>
        </w:rPr>
        <w:t>4.  Experiment 2: percentage deviations in macro aggregates by region</w:t>
      </w:r>
    </w:p>
    <w:tbl>
      <w:tblPr>
        <w:tblStyle w:val="TableGrid"/>
        <w:tblW w:w="9507" w:type="dxa"/>
        <w:tblInd w:w="-147" w:type="dxa"/>
        <w:tblLook w:val="04A0" w:firstRow="1" w:lastRow="0" w:firstColumn="1" w:lastColumn="0" w:noHBand="0" w:noVBand="1"/>
      </w:tblPr>
      <w:tblGrid>
        <w:gridCol w:w="1347"/>
        <w:gridCol w:w="1020"/>
        <w:gridCol w:w="1020"/>
        <w:gridCol w:w="1020"/>
        <w:gridCol w:w="1020"/>
        <w:gridCol w:w="1020"/>
        <w:gridCol w:w="1020"/>
        <w:gridCol w:w="1020"/>
        <w:gridCol w:w="1020"/>
      </w:tblGrid>
      <w:tr w:rsidR="001501F1" w:rsidRPr="00BB0715" w:rsidTr="001501F1">
        <w:tc>
          <w:tcPr>
            <w:tcW w:w="1347" w:type="dxa"/>
          </w:tcPr>
          <w:p w:rsidR="001501F1" w:rsidRPr="00BB0715" w:rsidRDefault="001501F1" w:rsidP="001501F1">
            <w:pPr>
              <w:ind w:left="30" w:hanging="30"/>
              <w:rPr>
                <w:rFonts w:ascii="Times New Roman" w:hAnsi="Times New Roman" w:cs="Times New Roman"/>
                <w:b/>
                <w:sz w:val="20"/>
                <w:szCs w:val="20"/>
              </w:rPr>
            </w:pPr>
            <w:r>
              <w:rPr>
                <w:rFonts w:ascii="Times New Roman" w:hAnsi="Times New Roman" w:cs="Times New Roman"/>
                <w:b/>
                <w:i/>
              </w:rPr>
              <w:t>real GDP</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-0.092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-0.084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-0.076</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-0.078</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-0.079</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-0.080</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0.104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0.093</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0.087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0.082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0.070</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0.070</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0.047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0.101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0.152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0.191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0.220</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0.241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0.257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0.269</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-0.048</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-0.040</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-0.035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-0.031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-0.028</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-0.025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-0.025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-0.024</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-0.061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-0.052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-0.047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-0.043</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-0.039</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-0.037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-0.036</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-0.035</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0.000</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-0.005</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-0.055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-0.019</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0.008</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0.016</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0.016</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0.016</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0.003</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0.009</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0.010</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0.008</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0.006</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0.003</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0.002</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0.000</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0.005</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0.003</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0.002</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0.018</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0.021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0.021</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0.019</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0.017</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0.014</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0.012</w:t>
            </w:r>
          </w:p>
        </w:tc>
        <w:tc>
          <w:tcPr>
            <w:tcW w:w="1020" w:type="dxa"/>
            <w:vAlign w:val="center"/>
          </w:tcPr>
          <w:p w:rsidR="001501F1" w:rsidRPr="00137361" w:rsidRDefault="001501F1" w:rsidP="001501F1">
            <w:pPr>
              <w:jc w:val="right"/>
              <w:rPr>
                <w:color w:val="000000"/>
                <w:sz w:val="20"/>
                <w:szCs w:val="20"/>
              </w:rPr>
            </w:pPr>
            <w:r w:rsidRPr="00137361">
              <w:rPr>
                <w:color w:val="000000"/>
                <w:sz w:val="20"/>
                <w:szCs w:val="20"/>
              </w:rPr>
              <w:t>0.011</w:t>
            </w:r>
          </w:p>
        </w:tc>
      </w:tr>
      <w:tr w:rsidR="001501F1" w:rsidRPr="00BB0715" w:rsidTr="001501F1">
        <w:tc>
          <w:tcPr>
            <w:tcW w:w="1347" w:type="dxa"/>
          </w:tcPr>
          <w:p w:rsidR="001501F1" w:rsidRPr="00BB0715" w:rsidRDefault="001501F1" w:rsidP="001501F1">
            <w:pPr>
              <w:ind w:left="30" w:hanging="30"/>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r>
      <w:tr w:rsidR="001501F1" w:rsidRPr="00BB0715" w:rsidTr="001501F1">
        <w:tc>
          <w:tcPr>
            <w:tcW w:w="1347" w:type="dxa"/>
          </w:tcPr>
          <w:p w:rsidR="001501F1" w:rsidRPr="00BB0715" w:rsidRDefault="001501F1" w:rsidP="001501F1">
            <w:pPr>
              <w:ind w:left="30" w:hanging="30"/>
              <w:rPr>
                <w:rFonts w:ascii="Times New Roman" w:hAnsi="Times New Roman" w:cs="Times New Roman"/>
                <w:b/>
                <w:sz w:val="20"/>
                <w:szCs w:val="20"/>
              </w:rPr>
            </w:pPr>
            <w:r>
              <w:rPr>
                <w:rFonts w:ascii="Times New Roman" w:hAnsi="Times New Roman" w:cs="Times New Roman"/>
                <w:b/>
                <w:sz w:val="20"/>
                <w:szCs w:val="20"/>
              </w:rPr>
              <w:t>Employment</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1020" w:type="dxa"/>
            <w:vAlign w:val="bottom"/>
          </w:tcPr>
          <w:p w:rsidR="001501F1" w:rsidRDefault="001501F1" w:rsidP="001501F1">
            <w:pPr>
              <w:jc w:val="right"/>
              <w:rPr>
                <w:color w:val="000000"/>
                <w:sz w:val="20"/>
                <w:szCs w:val="20"/>
              </w:rPr>
            </w:pPr>
            <w:r>
              <w:rPr>
                <w:color w:val="000000"/>
                <w:sz w:val="20"/>
                <w:szCs w:val="20"/>
              </w:rPr>
              <w:t>-0.078</w:t>
            </w:r>
          </w:p>
        </w:tc>
        <w:tc>
          <w:tcPr>
            <w:tcW w:w="1020" w:type="dxa"/>
            <w:vAlign w:val="bottom"/>
          </w:tcPr>
          <w:p w:rsidR="001501F1" w:rsidRDefault="001501F1" w:rsidP="001501F1">
            <w:pPr>
              <w:jc w:val="right"/>
              <w:rPr>
                <w:color w:val="000000"/>
                <w:sz w:val="20"/>
                <w:szCs w:val="20"/>
              </w:rPr>
            </w:pPr>
            <w:r>
              <w:rPr>
                <w:color w:val="000000"/>
                <w:sz w:val="20"/>
                <w:szCs w:val="20"/>
              </w:rPr>
              <w:t>-0.034</w:t>
            </w:r>
          </w:p>
        </w:tc>
        <w:tc>
          <w:tcPr>
            <w:tcW w:w="1020" w:type="dxa"/>
            <w:vAlign w:val="bottom"/>
          </w:tcPr>
          <w:p w:rsidR="001501F1" w:rsidRDefault="001501F1" w:rsidP="001501F1">
            <w:pPr>
              <w:jc w:val="right"/>
              <w:rPr>
                <w:color w:val="000000"/>
                <w:sz w:val="20"/>
                <w:szCs w:val="20"/>
              </w:rPr>
            </w:pPr>
            <w:r>
              <w:rPr>
                <w:color w:val="000000"/>
                <w:sz w:val="20"/>
                <w:szCs w:val="20"/>
              </w:rPr>
              <w:t>-0.012</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-0.001</w:t>
            </w:r>
          </w:p>
        </w:tc>
        <w:tc>
          <w:tcPr>
            <w:tcW w:w="1020" w:type="dxa"/>
            <w:vAlign w:val="bottom"/>
          </w:tcPr>
          <w:p w:rsidR="001501F1" w:rsidRDefault="001501F1" w:rsidP="001501F1">
            <w:pPr>
              <w:jc w:val="right"/>
              <w:rPr>
                <w:color w:val="000000"/>
                <w:sz w:val="20"/>
                <w:szCs w:val="20"/>
              </w:rPr>
            </w:pPr>
            <w:r>
              <w:rPr>
                <w:color w:val="000000"/>
                <w:sz w:val="20"/>
                <w:szCs w:val="20"/>
              </w:rPr>
              <w:t>0.000</w:t>
            </w:r>
          </w:p>
        </w:tc>
        <w:tc>
          <w:tcPr>
            <w:tcW w:w="1020" w:type="dxa"/>
            <w:vAlign w:val="bottom"/>
          </w:tcPr>
          <w:p w:rsidR="001501F1" w:rsidRDefault="001501F1" w:rsidP="001501F1">
            <w:pPr>
              <w:jc w:val="right"/>
              <w:rPr>
                <w:color w:val="000000"/>
                <w:sz w:val="20"/>
                <w:szCs w:val="20"/>
              </w:rPr>
            </w:pPr>
            <w:r>
              <w:rPr>
                <w:color w:val="000000"/>
                <w:sz w:val="20"/>
                <w:szCs w:val="20"/>
              </w:rPr>
              <w:t>0.000</w:t>
            </w:r>
          </w:p>
        </w:tc>
        <w:tc>
          <w:tcPr>
            <w:tcW w:w="1020" w:type="dxa"/>
            <w:vAlign w:val="bottom"/>
          </w:tcPr>
          <w:p w:rsidR="001501F1" w:rsidRDefault="001501F1" w:rsidP="001501F1">
            <w:pPr>
              <w:jc w:val="right"/>
              <w:rPr>
                <w:color w:val="000000"/>
                <w:sz w:val="20"/>
                <w:szCs w:val="20"/>
              </w:rPr>
            </w:pPr>
            <w:r>
              <w:rPr>
                <w:color w:val="000000"/>
                <w:sz w:val="20"/>
                <w:szCs w:val="20"/>
              </w:rPr>
              <w:t>0.000</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1020" w:type="dxa"/>
            <w:vAlign w:val="bottom"/>
          </w:tcPr>
          <w:p w:rsidR="001501F1" w:rsidRDefault="001501F1" w:rsidP="001501F1">
            <w:pPr>
              <w:jc w:val="right"/>
              <w:rPr>
                <w:color w:val="000000"/>
                <w:sz w:val="20"/>
                <w:szCs w:val="20"/>
              </w:rPr>
            </w:pPr>
            <w:r>
              <w:rPr>
                <w:color w:val="000000"/>
                <w:sz w:val="20"/>
                <w:szCs w:val="20"/>
              </w:rPr>
              <w:t>0.125</w:t>
            </w:r>
          </w:p>
        </w:tc>
        <w:tc>
          <w:tcPr>
            <w:tcW w:w="1020" w:type="dxa"/>
            <w:vAlign w:val="bottom"/>
          </w:tcPr>
          <w:p w:rsidR="001501F1" w:rsidRDefault="001501F1" w:rsidP="001501F1">
            <w:pPr>
              <w:jc w:val="right"/>
              <w:rPr>
                <w:color w:val="000000"/>
                <w:sz w:val="20"/>
                <w:szCs w:val="20"/>
              </w:rPr>
            </w:pPr>
            <w:r>
              <w:rPr>
                <w:color w:val="000000"/>
                <w:sz w:val="20"/>
                <w:szCs w:val="20"/>
              </w:rPr>
              <w:t>0.058</w:t>
            </w:r>
          </w:p>
        </w:tc>
        <w:tc>
          <w:tcPr>
            <w:tcW w:w="1020" w:type="dxa"/>
            <w:vAlign w:val="bottom"/>
          </w:tcPr>
          <w:p w:rsidR="001501F1" w:rsidRDefault="001501F1" w:rsidP="001501F1">
            <w:pPr>
              <w:jc w:val="right"/>
              <w:rPr>
                <w:color w:val="000000"/>
                <w:sz w:val="20"/>
                <w:szCs w:val="20"/>
              </w:rPr>
            </w:pPr>
            <w:r>
              <w:rPr>
                <w:color w:val="000000"/>
                <w:sz w:val="20"/>
                <w:szCs w:val="20"/>
              </w:rPr>
              <w:t>0.027</w:t>
            </w:r>
          </w:p>
        </w:tc>
        <w:tc>
          <w:tcPr>
            <w:tcW w:w="1020" w:type="dxa"/>
            <w:vAlign w:val="bottom"/>
          </w:tcPr>
          <w:p w:rsidR="001501F1" w:rsidRDefault="001501F1" w:rsidP="001501F1">
            <w:pPr>
              <w:jc w:val="right"/>
              <w:rPr>
                <w:color w:val="000000"/>
                <w:sz w:val="20"/>
                <w:szCs w:val="20"/>
              </w:rPr>
            </w:pPr>
            <w:r>
              <w:rPr>
                <w:color w:val="000000"/>
                <w:sz w:val="20"/>
                <w:szCs w:val="20"/>
              </w:rPr>
              <w:t>0.009</w:t>
            </w:r>
          </w:p>
        </w:tc>
        <w:tc>
          <w:tcPr>
            <w:tcW w:w="1020" w:type="dxa"/>
            <w:vAlign w:val="bottom"/>
          </w:tcPr>
          <w:p w:rsidR="001501F1" w:rsidRDefault="001501F1" w:rsidP="001501F1">
            <w:pPr>
              <w:jc w:val="right"/>
              <w:rPr>
                <w:color w:val="000000"/>
                <w:sz w:val="20"/>
                <w:szCs w:val="20"/>
              </w:rPr>
            </w:pPr>
            <w:r>
              <w:rPr>
                <w:color w:val="000000"/>
                <w:sz w:val="20"/>
                <w:szCs w:val="20"/>
              </w:rPr>
              <w:t>-0.004</w:t>
            </w:r>
          </w:p>
        </w:tc>
        <w:tc>
          <w:tcPr>
            <w:tcW w:w="1020" w:type="dxa"/>
            <w:vAlign w:val="bottom"/>
          </w:tcPr>
          <w:p w:rsidR="001501F1" w:rsidRDefault="001501F1" w:rsidP="001501F1">
            <w:pPr>
              <w:jc w:val="right"/>
              <w:rPr>
                <w:color w:val="000000"/>
                <w:sz w:val="20"/>
                <w:szCs w:val="20"/>
              </w:rPr>
            </w:pPr>
            <w:r>
              <w:rPr>
                <w:color w:val="000000"/>
                <w:sz w:val="20"/>
                <w:szCs w:val="20"/>
              </w:rPr>
              <w:t>-0.008</w:t>
            </w:r>
          </w:p>
        </w:tc>
        <w:tc>
          <w:tcPr>
            <w:tcW w:w="1020" w:type="dxa"/>
            <w:vAlign w:val="bottom"/>
          </w:tcPr>
          <w:p w:rsidR="001501F1" w:rsidRDefault="001501F1" w:rsidP="001501F1">
            <w:pPr>
              <w:jc w:val="right"/>
              <w:rPr>
                <w:color w:val="000000"/>
                <w:sz w:val="20"/>
                <w:szCs w:val="20"/>
              </w:rPr>
            </w:pPr>
            <w:r>
              <w:rPr>
                <w:color w:val="000000"/>
                <w:sz w:val="20"/>
                <w:szCs w:val="20"/>
              </w:rPr>
              <w:t>-0.007</w:t>
            </w:r>
          </w:p>
        </w:tc>
        <w:tc>
          <w:tcPr>
            <w:tcW w:w="1020" w:type="dxa"/>
            <w:vAlign w:val="bottom"/>
          </w:tcPr>
          <w:p w:rsidR="001501F1" w:rsidRDefault="001501F1" w:rsidP="001501F1">
            <w:pPr>
              <w:jc w:val="right"/>
              <w:rPr>
                <w:color w:val="000000"/>
                <w:sz w:val="20"/>
                <w:szCs w:val="20"/>
              </w:rPr>
            </w:pPr>
            <w:r>
              <w:rPr>
                <w:color w:val="000000"/>
                <w:sz w:val="20"/>
                <w:szCs w:val="20"/>
              </w:rPr>
              <w:t>-0.006</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1020" w:type="dxa"/>
            <w:vAlign w:val="bottom"/>
          </w:tcPr>
          <w:p w:rsidR="001501F1" w:rsidRDefault="001501F1" w:rsidP="001501F1">
            <w:pPr>
              <w:jc w:val="right"/>
              <w:rPr>
                <w:color w:val="000000"/>
                <w:sz w:val="20"/>
                <w:szCs w:val="20"/>
              </w:rPr>
            </w:pPr>
            <w:r>
              <w:rPr>
                <w:color w:val="000000"/>
                <w:sz w:val="20"/>
                <w:szCs w:val="20"/>
              </w:rPr>
              <w:t>0.096</w:t>
            </w:r>
          </w:p>
        </w:tc>
        <w:tc>
          <w:tcPr>
            <w:tcW w:w="1020" w:type="dxa"/>
            <w:vAlign w:val="bottom"/>
          </w:tcPr>
          <w:p w:rsidR="001501F1" w:rsidRDefault="001501F1" w:rsidP="001501F1">
            <w:pPr>
              <w:jc w:val="right"/>
              <w:rPr>
                <w:color w:val="000000"/>
                <w:sz w:val="20"/>
                <w:szCs w:val="20"/>
              </w:rPr>
            </w:pPr>
            <w:r>
              <w:rPr>
                <w:color w:val="000000"/>
                <w:sz w:val="20"/>
                <w:szCs w:val="20"/>
              </w:rPr>
              <w:t>0.057</w:t>
            </w:r>
          </w:p>
        </w:tc>
        <w:tc>
          <w:tcPr>
            <w:tcW w:w="1020" w:type="dxa"/>
            <w:vAlign w:val="bottom"/>
          </w:tcPr>
          <w:p w:rsidR="001501F1" w:rsidRDefault="001501F1" w:rsidP="001501F1">
            <w:pPr>
              <w:jc w:val="right"/>
              <w:rPr>
                <w:color w:val="000000"/>
                <w:sz w:val="20"/>
                <w:szCs w:val="20"/>
              </w:rPr>
            </w:pPr>
            <w:r>
              <w:rPr>
                <w:color w:val="000000"/>
                <w:sz w:val="20"/>
                <w:szCs w:val="20"/>
              </w:rPr>
              <w:t>0.055</w:t>
            </w:r>
          </w:p>
        </w:tc>
        <w:tc>
          <w:tcPr>
            <w:tcW w:w="1020" w:type="dxa"/>
            <w:vAlign w:val="bottom"/>
          </w:tcPr>
          <w:p w:rsidR="001501F1" w:rsidRDefault="001501F1" w:rsidP="001501F1">
            <w:pPr>
              <w:jc w:val="right"/>
              <w:rPr>
                <w:color w:val="000000"/>
                <w:sz w:val="20"/>
                <w:szCs w:val="20"/>
              </w:rPr>
            </w:pPr>
            <w:r>
              <w:rPr>
                <w:color w:val="000000"/>
                <w:sz w:val="20"/>
                <w:szCs w:val="20"/>
              </w:rPr>
              <w:t>0.048</w:t>
            </w:r>
          </w:p>
        </w:tc>
        <w:tc>
          <w:tcPr>
            <w:tcW w:w="1020" w:type="dxa"/>
            <w:vAlign w:val="bottom"/>
          </w:tcPr>
          <w:p w:rsidR="001501F1" w:rsidRDefault="001501F1" w:rsidP="001501F1">
            <w:pPr>
              <w:jc w:val="right"/>
              <w:rPr>
                <w:color w:val="000000"/>
                <w:sz w:val="20"/>
                <w:szCs w:val="20"/>
              </w:rPr>
            </w:pPr>
            <w:r>
              <w:rPr>
                <w:color w:val="000000"/>
                <w:sz w:val="20"/>
                <w:szCs w:val="20"/>
              </w:rPr>
              <w:t>0.039</w:t>
            </w:r>
          </w:p>
        </w:tc>
        <w:tc>
          <w:tcPr>
            <w:tcW w:w="1020" w:type="dxa"/>
            <w:vAlign w:val="bottom"/>
          </w:tcPr>
          <w:p w:rsidR="001501F1" w:rsidRDefault="001501F1" w:rsidP="001501F1">
            <w:pPr>
              <w:jc w:val="right"/>
              <w:rPr>
                <w:color w:val="000000"/>
                <w:sz w:val="20"/>
                <w:szCs w:val="20"/>
              </w:rPr>
            </w:pPr>
            <w:r>
              <w:rPr>
                <w:color w:val="000000"/>
                <w:sz w:val="20"/>
                <w:szCs w:val="20"/>
              </w:rPr>
              <w:t>0.031</w:t>
            </w:r>
          </w:p>
        </w:tc>
        <w:tc>
          <w:tcPr>
            <w:tcW w:w="1020" w:type="dxa"/>
            <w:vAlign w:val="bottom"/>
          </w:tcPr>
          <w:p w:rsidR="001501F1" w:rsidRDefault="001501F1" w:rsidP="001501F1">
            <w:pPr>
              <w:jc w:val="right"/>
              <w:rPr>
                <w:color w:val="000000"/>
                <w:sz w:val="20"/>
                <w:szCs w:val="20"/>
              </w:rPr>
            </w:pPr>
            <w:r>
              <w:rPr>
                <w:color w:val="000000"/>
                <w:sz w:val="20"/>
                <w:szCs w:val="20"/>
              </w:rPr>
              <w:t>0.025</w:t>
            </w:r>
          </w:p>
        </w:tc>
        <w:tc>
          <w:tcPr>
            <w:tcW w:w="1020" w:type="dxa"/>
            <w:vAlign w:val="bottom"/>
          </w:tcPr>
          <w:p w:rsidR="001501F1" w:rsidRDefault="001501F1" w:rsidP="001501F1">
            <w:pPr>
              <w:jc w:val="right"/>
              <w:rPr>
                <w:color w:val="000000"/>
                <w:sz w:val="20"/>
                <w:szCs w:val="20"/>
              </w:rPr>
            </w:pPr>
            <w:r>
              <w:rPr>
                <w:color w:val="000000"/>
                <w:sz w:val="20"/>
                <w:szCs w:val="20"/>
              </w:rPr>
              <w:t>0.020</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1020" w:type="dxa"/>
            <w:vAlign w:val="bottom"/>
          </w:tcPr>
          <w:p w:rsidR="001501F1" w:rsidRDefault="001501F1" w:rsidP="001501F1">
            <w:pPr>
              <w:jc w:val="right"/>
              <w:rPr>
                <w:color w:val="000000"/>
                <w:sz w:val="20"/>
                <w:szCs w:val="20"/>
              </w:rPr>
            </w:pPr>
            <w:r>
              <w:rPr>
                <w:color w:val="000000"/>
                <w:sz w:val="20"/>
                <w:szCs w:val="20"/>
              </w:rPr>
              <w:t>-0.072</w:t>
            </w:r>
          </w:p>
        </w:tc>
        <w:tc>
          <w:tcPr>
            <w:tcW w:w="1020" w:type="dxa"/>
            <w:vAlign w:val="bottom"/>
          </w:tcPr>
          <w:p w:rsidR="001501F1" w:rsidRDefault="001501F1" w:rsidP="001501F1">
            <w:pPr>
              <w:jc w:val="right"/>
              <w:rPr>
                <w:color w:val="000000"/>
                <w:sz w:val="20"/>
                <w:szCs w:val="20"/>
              </w:rPr>
            </w:pPr>
            <w:r>
              <w:rPr>
                <w:color w:val="000000"/>
                <w:sz w:val="20"/>
                <w:szCs w:val="20"/>
              </w:rPr>
              <w:t>-0.043</w:t>
            </w:r>
          </w:p>
        </w:tc>
        <w:tc>
          <w:tcPr>
            <w:tcW w:w="1020" w:type="dxa"/>
            <w:vAlign w:val="bottom"/>
          </w:tcPr>
          <w:p w:rsidR="001501F1" w:rsidRDefault="001501F1" w:rsidP="001501F1">
            <w:pPr>
              <w:jc w:val="right"/>
              <w:rPr>
                <w:color w:val="000000"/>
                <w:sz w:val="20"/>
                <w:szCs w:val="20"/>
              </w:rPr>
            </w:pPr>
            <w:r>
              <w:rPr>
                <w:color w:val="000000"/>
                <w:sz w:val="20"/>
                <w:szCs w:val="20"/>
              </w:rPr>
              <w:t>-0.026</w:t>
            </w:r>
          </w:p>
        </w:tc>
        <w:tc>
          <w:tcPr>
            <w:tcW w:w="1020" w:type="dxa"/>
            <w:vAlign w:val="bottom"/>
          </w:tcPr>
          <w:p w:rsidR="001501F1" w:rsidRDefault="001501F1" w:rsidP="001501F1">
            <w:pPr>
              <w:jc w:val="right"/>
              <w:rPr>
                <w:color w:val="000000"/>
                <w:sz w:val="20"/>
                <w:szCs w:val="20"/>
              </w:rPr>
            </w:pPr>
            <w:r>
              <w:rPr>
                <w:color w:val="000000"/>
                <w:sz w:val="20"/>
                <w:szCs w:val="20"/>
              </w:rPr>
              <w:t>-0.016</w:t>
            </w:r>
          </w:p>
        </w:tc>
        <w:tc>
          <w:tcPr>
            <w:tcW w:w="1020" w:type="dxa"/>
            <w:vAlign w:val="bottom"/>
          </w:tcPr>
          <w:p w:rsidR="001501F1" w:rsidRDefault="001501F1" w:rsidP="001501F1">
            <w:pPr>
              <w:jc w:val="right"/>
              <w:rPr>
                <w:color w:val="000000"/>
                <w:sz w:val="20"/>
                <w:szCs w:val="20"/>
              </w:rPr>
            </w:pPr>
            <w:r>
              <w:rPr>
                <w:color w:val="000000"/>
                <w:sz w:val="20"/>
                <w:szCs w:val="20"/>
              </w:rPr>
              <w:t>-0.008</w:t>
            </w:r>
          </w:p>
        </w:tc>
        <w:tc>
          <w:tcPr>
            <w:tcW w:w="1020" w:type="dxa"/>
            <w:vAlign w:val="bottom"/>
          </w:tcPr>
          <w:p w:rsidR="001501F1" w:rsidRDefault="001501F1" w:rsidP="001501F1">
            <w:pPr>
              <w:jc w:val="right"/>
              <w:rPr>
                <w:color w:val="000000"/>
                <w:sz w:val="20"/>
                <w:szCs w:val="20"/>
              </w:rPr>
            </w:pPr>
            <w:r>
              <w:rPr>
                <w:color w:val="000000"/>
                <w:sz w:val="20"/>
                <w:szCs w:val="20"/>
              </w:rPr>
              <w:t>-0.004</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-0.002</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1020" w:type="dxa"/>
            <w:vAlign w:val="bottom"/>
          </w:tcPr>
          <w:p w:rsidR="001501F1" w:rsidRDefault="001501F1" w:rsidP="001501F1">
            <w:pPr>
              <w:jc w:val="right"/>
              <w:rPr>
                <w:color w:val="000000"/>
                <w:sz w:val="20"/>
                <w:szCs w:val="20"/>
              </w:rPr>
            </w:pPr>
            <w:r>
              <w:rPr>
                <w:color w:val="000000"/>
                <w:sz w:val="20"/>
                <w:szCs w:val="20"/>
              </w:rPr>
              <w:t>-0.091</w:t>
            </w:r>
          </w:p>
        </w:tc>
        <w:tc>
          <w:tcPr>
            <w:tcW w:w="1020" w:type="dxa"/>
            <w:vAlign w:val="bottom"/>
          </w:tcPr>
          <w:p w:rsidR="001501F1" w:rsidRDefault="001501F1" w:rsidP="001501F1">
            <w:pPr>
              <w:jc w:val="right"/>
              <w:rPr>
                <w:color w:val="000000"/>
                <w:sz w:val="20"/>
                <w:szCs w:val="20"/>
              </w:rPr>
            </w:pPr>
            <w:r>
              <w:rPr>
                <w:color w:val="000000"/>
                <w:sz w:val="20"/>
                <w:szCs w:val="20"/>
              </w:rPr>
              <w:t>-0.056</w:t>
            </w:r>
          </w:p>
        </w:tc>
        <w:tc>
          <w:tcPr>
            <w:tcW w:w="1020" w:type="dxa"/>
            <w:vAlign w:val="bottom"/>
          </w:tcPr>
          <w:p w:rsidR="001501F1" w:rsidRDefault="001501F1" w:rsidP="001501F1">
            <w:pPr>
              <w:jc w:val="right"/>
              <w:rPr>
                <w:color w:val="000000"/>
                <w:sz w:val="20"/>
                <w:szCs w:val="20"/>
              </w:rPr>
            </w:pPr>
            <w:r>
              <w:rPr>
                <w:color w:val="000000"/>
                <w:sz w:val="20"/>
                <w:szCs w:val="20"/>
              </w:rPr>
              <w:t>-0.034</w:t>
            </w:r>
          </w:p>
        </w:tc>
        <w:tc>
          <w:tcPr>
            <w:tcW w:w="1020" w:type="dxa"/>
            <w:vAlign w:val="bottom"/>
          </w:tcPr>
          <w:p w:rsidR="001501F1" w:rsidRDefault="001501F1" w:rsidP="001501F1">
            <w:pPr>
              <w:jc w:val="right"/>
              <w:rPr>
                <w:color w:val="000000"/>
                <w:sz w:val="20"/>
                <w:szCs w:val="20"/>
              </w:rPr>
            </w:pPr>
            <w:r>
              <w:rPr>
                <w:color w:val="000000"/>
                <w:sz w:val="20"/>
                <w:szCs w:val="20"/>
              </w:rPr>
              <w:t>-0.021</w:t>
            </w:r>
          </w:p>
        </w:tc>
        <w:tc>
          <w:tcPr>
            <w:tcW w:w="1020" w:type="dxa"/>
            <w:vAlign w:val="bottom"/>
          </w:tcPr>
          <w:p w:rsidR="001501F1" w:rsidRDefault="001501F1" w:rsidP="001501F1">
            <w:pPr>
              <w:jc w:val="right"/>
              <w:rPr>
                <w:color w:val="000000"/>
                <w:sz w:val="20"/>
                <w:szCs w:val="20"/>
              </w:rPr>
            </w:pPr>
            <w:r>
              <w:rPr>
                <w:color w:val="000000"/>
                <w:sz w:val="20"/>
                <w:szCs w:val="20"/>
              </w:rPr>
              <w:t>-0.011</w:t>
            </w:r>
          </w:p>
        </w:tc>
        <w:tc>
          <w:tcPr>
            <w:tcW w:w="1020" w:type="dxa"/>
            <w:vAlign w:val="bottom"/>
          </w:tcPr>
          <w:p w:rsidR="001501F1" w:rsidRDefault="001501F1" w:rsidP="001501F1">
            <w:pPr>
              <w:jc w:val="right"/>
              <w:rPr>
                <w:color w:val="000000"/>
                <w:sz w:val="20"/>
                <w:szCs w:val="20"/>
              </w:rPr>
            </w:pPr>
            <w:r>
              <w:rPr>
                <w:color w:val="000000"/>
                <w:sz w:val="20"/>
                <w:szCs w:val="20"/>
              </w:rPr>
              <w:t>-0.007</w:t>
            </w:r>
          </w:p>
        </w:tc>
        <w:tc>
          <w:tcPr>
            <w:tcW w:w="1020" w:type="dxa"/>
            <w:vAlign w:val="bottom"/>
          </w:tcPr>
          <w:p w:rsidR="001501F1" w:rsidRDefault="001501F1" w:rsidP="001501F1">
            <w:pPr>
              <w:jc w:val="right"/>
              <w:rPr>
                <w:color w:val="000000"/>
                <w:sz w:val="20"/>
                <w:szCs w:val="20"/>
              </w:rPr>
            </w:pPr>
            <w:r>
              <w:rPr>
                <w:color w:val="000000"/>
                <w:sz w:val="20"/>
                <w:szCs w:val="20"/>
              </w:rPr>
              <w:t>-0.004</w:t>
            </w:r>
          </w:p>
        </w:tc>
        <w:tc>
          <w:tcPr>
            <w:tcW w:w="1020" w:type="dxa"/>
            <w:vAlign w:val="bottom"/>
          </w:tcPr>
          <w:p w:rsidR="001501F1" w:rsidRDefault="001501F1" w:rsidP="001501F1">
            <w:pPr>
              <w:jc w:val="right"/>
              <w:rPr>
                <w:color w:val="000000"/>
                <w:sz w:val="20"/>
                <w:szCs w:val="20"/>
              </w:rPr>
            </w:pPr>
            <w:r>
              <w:rPr>
                <w:color w:val="000000"/>
                <w:sz w:val="20"/>
                <w:szCs w:val="20"/>
              </w:rPr>
              <w:t>-0.003</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0.000</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0.000</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-0.003</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1020" w:type="dxa"/>
            <w:vAlign w:val="bottom"/>
          </w:tcPr>
          <w:p w:rsidR="001501F1" w:rsidRDefault="001501F1" w:rsidP="001501F1">
            <w:pPr>
              <w:jc w:val="right"/>
              <w:rPr>
                <w:color w:val="000000"/>
                <w:sz w:val="20"/>
                <w:szCs w:val="20"/>
              </w:rPr>
            </w:pPr>
            <w:r>
              <w:rPr>
                <w:color w:val="000000"/>
                <w:sz w:val="20"/>
                <w:szCs w:val="20"/>
              </w:rPr>
              <w:t>-0.089</w:t>
            </w:r>
          </w:p>
        </w:tc>
        <w:tc>
          <w:tcPr>
            <w:tcW w:w="1020" w:type="dxa"/>
            <w:vAlign w:val="bottom"/>
          </w:tcPr>
          <w:p w:rsidR="001501F1" w:rsidRDefault="001501F1" w:rsidP="001501F1">
            <w:pPr>
              <w:jc w:val="right"/>
              <w:rPr>
                <w:color w:val="000000"/>
                <w:sz w:val="20"/>
                <w:szCs w:val="20"/>
              </w:rPr>
            </w:pPr>
            <w:r>
              <w:rPr>
                <w:color w:val="000000"/>
                <w:sz w:val="20"/>
                <w:szCs w:val="20"/>
              </w:rPr>
              <w:t>-0.033</w:t>
            </w:r>
          </w:p>
        </w:tc>
        <w:tc>
          <w:tcPr>
            <w:tcW w:w="1020" w:type="dxa"/>
            <w:vAlign w:val="bottom"/>
          </w:tcPr>
          <w:p w:rsidR="001501F1" w:rsidRDefault="001501F1" w:rsidP="001501F1">
            <w:pPr>
              <w:jc w:val="right"/>
              <w:rPr>
                <w:color w:val="000000"/>
                <w:sz w:val="20"/>
                <w:szCs w:val="20"/>
              </w:rPr>
            </w:pPr>
            <w:r>
              <w:rPr>
                <w:color w:val="000000"/>
                <w:sz w:val="20"/>
                <w:szCs w:val="20"/>
              </w:rPr>
              <w:t>-0.010</w:t>
            </w:r>
          </w:p>
        </w:tc>
        <w:tc>
          <w:tcPr>
            <w:tcW w:w="1020" w:type="dxa"/>
            <w:vAlign w:val="bottom"/>
          </w:tcPr>
          <w:p w:rsidR="001501F1" w:rsidRDefault="001501F1" w:rsidP="001501F1">
            <w:pPr>
              <w:jc w:val="right"/>
              <w:rPr>
                <w:color w:val="000000"/>
                <w:sz w:val="20"/>
                <w:szCs w:val="20"/>
              </w:rPr>
            </w:pPr>
            <w:r>
              <w:rPr>
                <w:color w:val="000000"/>
                <w:sz w:val="20"/>
                <w:szCs w:val="20"/>
              </w:rPr>
              <w:t>0.000</w:t>
            </w:r>
          </w:p>
        </w:tc>
        <w:tc>
          <w:tcPr>
            <w:tcW w:w="1020" w:type="dxa"/>
            <w:vAlign w:val="bottom"/>
          </w:tcPr>
          <w:p w:rsidR="001501F1" w:rsidRDefault="001501F1" w:rsidP="001501F1">
            <w:pPr>
              <w:jc w:val="right"/>
              <w:rPr>
                <w:color w:val="000000"/>
                <w:sz w:val="20"/>
                <w:szCs w:val="20"/>
              </w:rPr>
            </w:pPr>
            <w:r>
              <w:rPr>
                <w:color w:val="000000"/>
                <w:sz w:val="20"/>
                <w:szCs w:val="20"/>
              </w:rPr>
              <w:t>0.006</w:t>
            </w:r>
          </w:p>
        </w:tc>
        <w:tc>
          <w:tcPr>
            <w:tcW w:w="1020" w:type="dxa"/>
            <w:vAlign w:val="bottom"/>
          </w:tcPr>
          <w:p w:rsidR="001501F1" w:rsidRDefault="001501F1" w:rsidP="001501F1">
            <w:pPr>
              <w:jc w:val="right"/>
              <w:rPr>
                <w:color w:val="000000"/>
                <w:sz w:val="20"/>
                <w:szCs w:val="20"/>
              </w:rPr>
            </w:pPr>
            <w:r>
              <w:rPr>
                <w:color w:val="000000"/>
                <w:sz w:val="20"/>
                <w:szCs w:val="20"/>
              </w:rPr>
              <w:t>0.006</w:t>
            </w:r>
          </w:p>
        </w:tc>
        <w:tc>
          <w:tcPr>
            <w:tcW w:w="1020" w:type="dxa"/>
            <w:vAlign w:val="bottom"/>
          </w:tcPr>
          <w:p w:rsidR="001501F1" w:rsidRDefault="001501F1" w:rsidP="001501F1">
            <w:pPr>
              <w:jc w:val="right"/>
              <w:rPr>
                <w:color w:val="000000"/>
                <w:sz w:val="20"/>
                <w:szCs w:val="20"/>
              </w:rPr>
            </w:pPr>
            <w:r>
              <w:rPr>
                <w:color w:val="000000"/>
                <w:sz w:val="20"/>
                <w:szCs w:val="20"/>
              </w:rPr>
              <w:t>0.005</w:t>
            </w:r>
          </w:p>
        </w:tc>
        <w:tc>
          <w:tcPr>
            <w:tcW w:w="1020" w:type="dxa"/>
            <w:vAlign w:val="bottom"/>
          </w:tcPr>
          <w:p w:rsidR="001501F1" w:rsidRDefault="001501F1" w:rsidP="001501F1">
            <w:pPr>
              <w:jc w:val="right"/>
              <w:rPr>
                <w:color w:val="000000"/>
                <w:sz w:val="20"/>
                <w:szCs w:val="20"/>
              </w:rPr>
            </w:pPr>
            <w:r>
              <w:rPr>
                <w:color w:val="000000"/>
                <w:sz w:val="20"/>
                <w:szCs w:val="20"/>
              </w:rPr>
              <w:t>0.003</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1020" w:type="dxa"/>
            <w:vAlign w:val="bottom"/>
          </w:tcPr>
          <w:p w:rsidR="001501F1" w:rsidRDefault="001501F1" w:rsidP="001501F1">
            <w:pPr>
              <w:jc w:val="right"/>
              <w:rPr>
                <w:color w:val="000000"/>
                <w:sz w:val="20"/>
                <w:szCs w:val="20"/>
              </w:rPr>
            </w:pPr>
            <w:r>
              <w:rPr>
                <w:color w:val="000000"/>
                <w:sz w:val="20"/>
                <w:szCs w:val="20"/>
              </w:rPr>
              <w:t>0.009</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0.001</w:t>
            </w:r>
          </w:p>
        </w:tc>
        <w:tc>
          <w:tcPr>
            <w:tcW w:w="1020" w:type="dxa"/>
            <w:vAlign w:val="bottom"/>
          </w:tcPr>
          <w:p w:rsidR="001501F1" w:rsidRDefault="001501F1" w:rsidP="001501F1">
            <w:pPr>
              <w:jc w:val="right"/>
              <w:rPr>
                <w:color w:val="000000"/>
                <w:sz w:val="20"/>
                <w:szCs w:val="20"/>
              </w:rPr>
            </w:pPr>
            <w:r>
              <w:rPr>
                <w:color w:val="000000"/>
                <w:sz w:val="20"/>
                <w:szCs w:val="20"/>
              </w:rPr>
              <w:t>-0.001</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-0.003</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1020" w:type="dxa"/>
            <w:vAlign w:val="bottom"/>
          </w:tcPr>
          <w:p w:rsidR="001501F1" w:rsidRDefault="001501F1" w:rsidP="001501F1">
            <w:pPr>
              <w:jc w:val="right"/>
              <w:rPr>
                <w:color w:val="000000"/>
                <w:sz w:val="20"/>
                <w:szCs w:val="20"/>
              </w:rPr>
            </w:pPr>
            <w:r>
              <w:rPr>
                <w:color w:val="000000"/>
                <w:sz w:val="20"/>
                <w:szCs w:val="20"/>
              </w:rPr>
              <w:t>-0.008</w:t>
            </w:r>
          </w:p>
        </w:tc>
        <w:tc>
          <w:tcPr>
            <w:tcW w:w="1020" w:type="dxa"/>
            <w:vAlign w:val="bottom"/>
          </w:tcPr>
          <w:p w:rsidR="001501F1" w:rsidRDefault="001501F1" w:rsidP="001501F1">
            <w:pPr>
              <w:jc w:val="right"/>
              <w:rPr>
                <w:color w:val="000000"/>
                <w:sz w:val="20"/>
                <w:szCs w:val="20"/>
              </w:rPr>
            </w:pPr>
            <w:r>
              <w:rPr>
                <w:color w:val="000000"/>
                <w:sz w:val="20"/>
                <w:szCs w:val="20"/>
              </w:rPr>
              <w:t>-0.010</w:t>
            </w:r>
          </w:p>
        </w:tc>
        <w:tc>
          <w:tcPr>
            <w:tcW w:w="1020" w:type="dxa"/>
            <w:vAlign w:val="bottom"/>
          </w:tcPr>
          <w:p w:rsidR="001501F1" w:rsidRDefault="001501F1" w:rsidP="001501F1">
            <w:pPr>
              <w:jc w:val="right"/>
              <w:rPr>
                <w:color w:val="000000"/>
                <w:sz w:val="20"/>
                <w:szCs w:val="20"/>
              </w:rPr>
            </w:pPr>
            <w:r>
              <w:rPr>
                <w:color w:val="000000"/>
                <w:sz w:val="20"/>
                <w:szCs w:val="20"/>
              </w:rPr>
              <w:t>-0.006</w:t>
            </w:r>
          </w:p>
        </w:tc>
        <w:tc>
          <w:tcPr>
            <w:tcW w:w="1020" w:type="dxa"/>
            <w:vAlign w:val="bottom"/>
          </w:tcPr>
          <w:p w:rsidR="001501F1" w:rsidRDefault="001501F1" w:rsidP="001501F1">
            <w:pPr>
              <w:jc w:val="right"/>
              <w:rPr>
                <w:color w:val="000000"/>
                <w:sz w:val="20"/>
                <w:szCs w:val="20"/>
              </w:rPr>
            </w:pPr>
            <w:r>
              <w:rPr>
                <w:color w:val="000000"/>
                <w:sz w:val="20"/>
                <w:szCs w:val="20"/>
              </w:rPr>
              <w:t>-0.004</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-0.002</w:t>
            </w:r>
          </w:p>
        </w:tc>
      </w:tr>
      <w:tr w:rsidR="001501F1" w:rsidTr="001501F1">
        <w:tc>
          <w:tcPr>
            <w:tcW w:w="1347" w:type="dxa"/>
          </w:tcPr>
          <w:p w:rsidR="001501F1" w:rsidRPr="00241593" w:rsidRDefault="001501F1" w:rsidP="001501F1">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1020" w:type="dxa"/>
            <w:vAlign w:val="bottom"/>
          </w:tcPr>
          <w:p w:rsidR="001501F1" w:rsidRDefault="001501F1" w:rsidP="001501F1">
            <w:pPr>
              <w:jc w:val="right"/>
              <w:rPr>
                <w:color w:val="000000"/>
                <w:sz w:val="20"/>
                <w:szCs w:val="20"/>
              </w:rPr>
            </w:pPr>
            <w:r>
              <w:rPr>
                <w:color w:val="000000"/>
                <w:sz w:val="20"/>
                <w:szCs w:val="20"/>
              </w:rPr>
              <w:t>0.024</w:t>
            </w:r>
          </w:p>
        </w:tc>
        <w:tc>
          <w:tcPr>
            <w:tcW w:w="1020" w:type="dxa"/>
            <w:vAlign w:val="bottom"/>
          </w:tcPr>
          <w:p w:rsidR="001501F1" w:rsidRDefault="001501F1" w:rsidP="001501F1">
            <w:pPr>
              <w:jc w:val="right"/>
              <w:rPr>
                <w:color w:val="000000"/>
                <w:sz w:val="20"/>
                <w:szCs w:val="20"/>
              </w:rPr>
            </w:pPr>
            <w:r>
              <w:rPr>
                <w:color w:val="000000"/>
                <w:sz w:val="20"/>
                <w:szCs w:val="20"/>
              </w:rPr>
              <w:t>0.008</w:t>
            </w:r>
          </w:p>
        </w:tc>
        <w:tc>
          <w:tcPr>
            <w:tcW w:w="1020" w:type="dxa"/>
            <w:vAlign w:val="bottom"/>
          </w:tcPr>
          <w:p w:rsidR="001501F1" w:rsidRDefault="001501F1" w:rsidP="001501F1">
            <w:pPr>
              <w:jc w:val="right"/>
              <w:rPr>
                <w:color w:val="000000"/>
                <w:sz w:val="20"/>
                <w:szCs w:val="20"/>
              </w:rPr>
            </w:pPr>
            <w:r>
              <w:rPr>
                <w:color w:val="000000"/>
                <w:sz w:val="20"/>
                <w:szCs w:val="20"/>
              </w:rPr>
              <w:t>0.002</w:t>
            </w:r>
          </w:p>
        </w:tc>
        <w:tc>
          <w:tcPr>
            <w:tcW w:w="1020" w:type="dxa"/>
            <w:vAlign w:val="bottom"/>
          </w:tcPr>
          <w:p w:rsidR="001501F1" w:rsidRDefault="001501F1" w:rsidP="001501F1">
            <w:pPr>
              <w:jc w:val="right"/>
              <w:rPr>
                <w:color w:val="000000"/>
                <w:sz w:val="20"/>
                <w:szCs w:val="20"/>
              </w:rPr>
            </w:pPr>
            <w:r>
              <w:rPr>
                <w:color w:val="000000"/>
                <w:sz w:val="20"/>
                <w:szCs w:val="20"/>
              </w:rPr>
              <w:t>-0.001</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-0.003</w:t>
            </w:r>
          </w:p>
        </w:tc>
        <w:tc>
          <w:tcPr>
            <w:tcW w:w="1020" w:type="dxa"/>
            <w:vAlign w:val="bottom"/>
          </w:tcPr>
          <w:p w:rsidR="001501F1" w:rsidRDefault="001501F1" w:rsidP="001501F1">
            <w:pPr>
              <w:jc w:val="right"/>
              <w:rPr>
                <w:color w:val="000000"/>
                <w:sz w:val="20"/>
                <w:szCs w:val="20"/>
              </w:rPr>
            </w:pPr>
            <w:r>
              <w:rPr>
                <w:color w:val="000000"/>
                <w:sz w:val="20"/>
                <w:szCs w:val="20"/>
              </w:rPr>
              <w:t>-0.003</w:t>
            </w:r>
          </w:p>
        </w:tc>
      </w:tr>
      <w:tr w:rsidR="001501F1" w:rsidRPr="00BB0715" w:rsidTr="001501F1">
        <w:tc>
          <w:tcPr>
            <w:tcW w:w="1347" w:type="dxa"/>
          </w:tcPr>
          <w:p w:rsidR="001501F1" w:rsidRDefault="001501F1" w:rsidP="001501F1">
            <w:pPr>
              <w:ind w:left="30" w:hanging="30"/>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c>
          <w:tcPr>
            <w:tcW w:w="1020" w:type="dxa"/>
          </w:tcPr>
          <w:p w:rsidR="001501F1" w:rsidRPr="00BB0715" w:rsidRDefault="001501F1" w:rsidP="001501F1">
            <w:pPr>
              <w:rPr>
                <w:rFonts w:ascii="Times New Roman" w:hAnsi="Times New Roman" w:cs="Times New Roman"/>
                <w:b/>
                <w:sz w:val="20"/>
                <w:szCs w:val="20"/>
              </w:rPr>
            </w:pPr>
          </w:p>
        </w:tc>
      </w:tr>
      <w:tr w:rsidR="001501F1" w:rsidRPr="00BB0715" w:rsidTr="001501F1">
        <w:tc>
          <w:tcPr>
            <w:tcW w:w="1347" w:type="dxa"/>
          </w:tcPr>
          <w:p w:rsidR="001501F1" w:rsidRPr="00BB0715" w:rsidRDefault="001501F1" w:rsidP="001501F1">
            <w:pPr>
              <w:ind w:left="30" w:hanging="30"/>
              <w:rPr>
                <w:rFonts w:ascii="Times New Roman" w:hAnsi="Times New Roman" w:cs="Times New Roman"/>
                <w:b/>
                <w:sz w:val="20"/>
                <w:szCs w:val="20"/>
              </w:rPr>
            </w:pPr>
            <w:r>
              <w:rPr>
                <w:rFonts w:ascii="Times New Roman" w:hAnsi="Times New Roman" w:cs="Times New Roman"/>
                <w:b/>
                <w:sz w:val="20"/>
                <w:szCs w:val="20"/>
              </w:rPr>
              <w:t>Capital</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1020" w:type="dxa"/>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1 USA</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-0.087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-0.124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-0.138</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-0.143</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-0.145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-0.145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-0.145</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2 Canada</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0.076</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0.114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0.132</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0.138</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0.132</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0.128</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0.117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0.192</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0.254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0.303</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0.341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0.369</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0.390</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-0.036</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-0.036</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5 SKorea</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-0.049</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-0.054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-0.056</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-0.057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-0.056</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6 China</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0.013</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0.013</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0.003</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-0.004</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7 Germany</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0.026</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0.032</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0.033</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8 EU26</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0.029</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0.028</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0.017</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0.014</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9 UK</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0.029</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0.028</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0.025</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0.022</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0.020</w:t>
            </w:r>
          </w:p>
        </w:tc>
      </w:tr>
      <w:tr w:rsidR="001501F1" w:rsidRPr="00EE2B6F" w:rsidTr="001501F1">
        <w:tc>
          <w:tcPr>
            <w:tcW w:w="1347" w:type="dxa"/>
          </w:tcPr>
          <w:p w:rsidR="001501F1" w:rsidRPr="00BB0715" w:rsidRDefault="001501F1" w:rsidP="001501F1">
            <w:pPr>
              <w:ind w:left="30" w:hanging="30"/>
              <w:rPr>
                <w:rFonts w:ascii="Times New Roman" w:hAnsi="Times New Roman" w:cs="Times New Roman"/>
                <w:b/>
                <w:sz w:val="20"/>
                <w:szCs w:val="20"/>
              </w:rPr>
            </w:pPr>
            <w:r w:rsidRPr="00315538">
              <w:rPr>
                <w:rFonts w:ascii="Times New Roman" w:hAnsi="Times New Roman" w:cs="Times New Roman"/>
                <w:sz w:val="20"/>
                <w:szCs w:val="20"/>
              </w:rPr>
              <w:t>10 ROW</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0.000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0.041</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0.038</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0.034</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0.030</w:t>
            </w:r>
          </w:p>
        </w:tc>
        <w:tc>
          <w:tcPr>
            <w:tcW w:w="1020" w:type="dxa"/>
            <w:vAlign w:val="bottom"/>
          </w:tcPr>
          <w:p w:rsidR="001501F1" w:rsidRPr="00EE2B6F" w:rsidRDefault="001501F1" w:rsidP="001501F1">
            <w:pPr>
              <w:jc w:val="right"/>
              <w:rPr>
                <w:rFonts w:ascii="Times New Roman" w:hAnsi="Times New Roman" w:cs="Times New Roman"/>
                <w:color w:val="000000"/>
                <w:sz w:val="20"/>
                <w:szCs w:val="20"/>
              </w:rPr>
            </w:pPr>
            <w:r w:rsidRPr="00EE2B6F">
              <w:rPr>
                <w:rFonts w:ascii="Times New Roman" w:hAnsi="Times New Roman" w:cs="Times New Roman"/>
                <w:color w:val="000000"/>
                <w:sz w:val="20"/>
                <w:szCs w:val="20"/>
              </w:rPr>
              <w:t>0.026</w:t>
            </w:r>
          </w:p>
        </w:tc>
      </w:tr>
      <w:tr w:rsidR="001501F1" w:rsidRPr="00BB0715" w:rsidTr="001501F1">
        <w:tc>
          <w:tcPr>
            <w:tcW w:w="1347" w:type="dxa"/>
          </w:tcPr>
          <w:p w:rsidR="001501F1" w:rsidRPr="00BB0715" w:rsidRDefault="001501F1" w:rsidP="001501F1">
            <w:pPr>
              <w:ind w:left="30" w:hanging="30"/>
              <w:rPr>
                <w:rFonts w:ascii="Times New Roman" w:hAnsi="Times New Roman" w:cs="Times New Roman"/>
                <w:b/>
                <w:sz w:val="20"/>
                <w:szCs w:val="20"/>
              </w:rPr>
            </w:pPr>
            <w:r>
              <w:rPr>
                <w:rFonts w:ascii="Times New Roman" w:hAnsi="Times New Roman" w:cs="Times New Roman"/>
                <w:b/>
                <w:sz w:val="20"/>
                <w:szCs w:val="20"/>
              </w:rPr>
              <w:t>Real private &amp; public consumption</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2016</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2017</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2018</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2019</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2020</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2021</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2022</w:t>
            </w:r>
          </w:p>
        </w:tc>
        <w:tc>
          <w:tcPr>
            <w:tcW w:w="1020" w:type="dxa"/>
            <w:vAlign w:val="bottom"/>
          </w:tcPr>
          <w:p w:rsidR="001501F1" w:rsidRPr="00BB0715" w:rsidRDefault="001501F1" w:rsidP="001501F1">
            <w:pPr>
              <w:rPr>
                <w:rFonts w:ascii="Times New Roman" w:hAnsi="Times New Roman" w:cs="Times New Roman"/>
                <w:b/>
                <w:sz w:val="20"/>
                <w:szCs w:val="20"/>
              </w:rPr>
            </w:pPr>
            <w:r w:rsidRPr="00BB0715">
              <w:rPr>
                <w:rFonts w:ascii="Times New Roman" w:hAnsi="Times New Roman" w:cs="Times New Roman"/>
                <w:b/>
                <w:sz w:val="20"/>
                <w:szCs w:val="20"/>
              </w:rPr>
              <w:t>2023</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1 USA</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-0.045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-0.031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-0.020</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-0.020</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2 Canada</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0.171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0.133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0.108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0.087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0.068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0.052</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0.049</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0.241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0.213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0.221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0.212</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0.198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0.185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0.175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0.168</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-0.085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-0.075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-0.065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-0.052</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-0.052</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5 SKorea</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-0.159</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-0.133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-0.118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-0.111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-0.101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-0.099</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-0.098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-0.098</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6 China</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-0.020</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-0.004</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-0.009</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-0.009</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7 Germany</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-0.084</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-0.048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-0.030</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-0.022</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8 EU26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0.013</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0.022</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0.024</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0.022</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0.020</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0.015</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9 UK</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-0.006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-0.015</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r>
      <w:tr w:rsidR="001501F1" w:rsidRPr="00EE2B6F" w:rsidTr="001501F1">
        <w:tc>
          <w:tcPr>
            <w:tcW w:w="1347" w:type="dxa"/>
          </w:tcPr>
          <w:p w:rsidR="001501F1" w:rsidRPr="00315538" w:rsidRDefault="001501F1" w:rsidP="001501F1">
            <w:pPr>
              <w:ind w:left="30" w:hanging="30"/>
              <w:rPr>
                <w:rFonts w:ascii="Times New Roman" w:hAnsi="Times New Roman" w:cs="Times New Roman"/>
                <w:sz w:val="20"/>
                <w:szCs w:val="20"/>
              </w:rPr>
            </w:pPr>
            <w:r w:rsidRPr="00315538">
              <w:rPr>
                <w:rFonts w:ascii="Times New Roman" w:hAnsi="Times New Roman" w:cs="Times New Roman"/>
                <w:sz w:val="20"/>
                <w:szCs w:val="20"/>
              </w:rPr>
              <w:t>10 ROW</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0.020</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0.026</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0.024</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0.021</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0.018</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0.017</w:t>
            </w:r>
          </w:p>
        </w:tc>
        <w:tc>
          <w:tcPr>
            <w:tcW w:w="1020" w:type="dxa"/>
            <w:vAlign w:val="bottom"/>
          </w:tcPr>
          <w:p w:rsidR="001501F1" w:rsidRPr="00137361" w:rsidRDefault="001501F1" w:rsidP="001501F1">
            <w:pPr>
              <w:jc w:val="right"/>
              <w:rPr>
                <w:rFonts w:ascii="Times New Roman" w:hAnsi="Times New Roman" w:cs="Times New Roman"/>
                <w:color w:val="000000"/>
                <w:sz w:val="20"/>
                <w:szCs w:val="20"/>
              </w:rPr>
            </w:pPr>
            <w:r w:rsidRPr="00137361">
              <w:rPr>
                <w:rFonts w:ascii="Times New Roman" w:hAnsi="Times New Roman" w:cs="Times New Roman"/>
                <w:color w:val="000000"/>
                <w:sz w:val="20"/>
                <w:szCs w:val="20"/>
              </w:rPr>
              <w:t>0.016</w:t>
            </w:r>
          </w:p>
        </w:tc>
      </w:tr>
    </w:tbl>
    <w:p w:rsidR="001501F1" w:rsidRDefault="001501F1" w:rsidP="001501F1">
      <w:pPr>
        <w:spacing w:before="120" w:after="0" w:line="240" w:lineRule="auto"/>
        <w:jc w:val="center"/>
        <w:rPr>
          <w:rFonts w:ascii="Times New Roman" w:hAnsi="Times New Roman" w:cs="Times New Roman"/>
          <w:b/>
          <w:i/>
        </w:rPr>
      </w:pPr>
    </w:p>
    <w:p w:rsidR="001501F1" w:rsidRDefault="001501F1" w:rsidP="001501F1">
      <w:pPr>
        <w:spacing w:before="120" w:after="0" w:line="240" w:lineRule="auto"/>
        <w:jc w:val="center"/>
        <w:rPr>
          <w:rFonts w:ascii="Times New Roman" w:hAnsi="Times New Roman" w:cs="Times New Roman"/>
          <w:b/>
          <w:i/>
        </w:rPr>
      </w:pPr>
    </w:p>
    <w:p w:rsidR="001501F1" w:rsidRDefault="001501F1" w:rsidP="001501F1">
      <w:pPr>
        <w:spacing w:before="120" w:after="0" w:line="240" w:lineRule="auto"/>
        <w:jc w:val="center"/>
        <w:rPr>
          <w:rFonts w:ascii="Times New Roman" w:hAnsi="Times New Roman" w:cs="Times New Roman"/>
          <w:b/>
          <w:i/>
        </w:rPr>
      </w:pPr>
    </w:p>
    <w:p w:rsidR="00605989" w:rsidRDefault="00605989">
      <w:pPr>
        <w:rPr>
          <w:rFonts w:ascii="Times New Roman" w:hAnsi="Times New Roman" w:cs="Times New Roman"/>
          <w:b/>
          <w:sz w:val="24"/>
          <w:szCs w:val="24"/>
        </w:rPr>
      </w:pPr>
    </w:p>
    <w:p w:rsidR="00911CD5" w:rsidRDefault="00911CD5" w:rsidP="000E2E37">
      <w:pPr>
        <w:tabs>
          <w:tab w:val="right" w:pos="8789"/>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712A06" w:rsidRPr="000E2E37" w:rsidRDefault="000E2E37" w:rsidP="000E2E37">
      <w:pPr>
        <w:tabs>
          <w:tab w:val="right" w:pos="8789"/>
        </w:tabs>
        <w:spacing w:before="120" w:after="0" w:line="240" w:lineRule="auto"/>
        <w:rPr>
          <w:rFonts w:ascii="Times New Roman" w:hAnsi="Times New Roman" w:cs="Times New Roman"/>
          <w:b/>
          <w:sz w:val="24"/>
          <w:szCs w:val="24"/>
        </w:rPr>
      </w:pPr>
      <w:r w:rsidRPr="000E2E37">
        <w:rPr>
          <w:rFonts w:ascii="Times New Roman" w:hAnsi="Times New Roman" w:cs="Times New Roman"/>
          <w:b/>
          <w:sz w:val="24"/>
          <w:szCs w:val="24"/>
        </w:rPr>
        <w:lastRenderedPageBreak/>
        <w:t>References</w:t>
      </w:r>
    </w:p>
    <w:p w:rsidR="007900DA" w:rsidRPr="007900DA" w:rsidRDefault="007900DA" w:rsidP="007900DA">
      <w:pPr>
        <w:autoSpaceDE w:val="0"/>
        <w:autoSpaceDN w:val="0"/>
        <w:adjustRightInd w:val="0"/>
        <w:spacing w:before="120" w:after="0" w:line="240" w:lineRule="auto"/>
        <w:ind w:left="720" w:hanging="720"/>
        <w:rPr>
          <w:rFonts w:ascii="Times New Roman" w:hAnsi="Times New Roman" w:cs="Times New Roman"/>
          <w:sz w:val="24"/>
          <w:szCs w:val="24"/>
        </w:rPr>
      </w:pPr>
      <w:r w:rsidRPr="007900DA">
        <w:rPr>
          <w:rFonts w:ascii="Times New Roman" w:hAnsi="Times New Roman" w:cs="Times New Roman"/>
          <w:sz w:val="24"/>
          <w:szCs w:val="24"/>
        </w:rPr>
        <w:t>Aguiar, A (2016) Concordances – six-digit HS sectors to GTAP sectors. GTAP Resource #5111, available at https://www.gtap.agecon.purdue.edu/resources/res_display.asp?RecordID=5111.</w:t>
      </w:r>
    </w:p>
    <w:p w:rsidR="000E2E37" w:rsidRPr="00474859" w:rsidRDefault="000E2E37" w:rsidP="000E2E37">
      <w:pPr>
        <w:spacing w:before="120" w:after="0" w:line="240" w:lineRule="auto"/>
        <w:ind w:left="426" w:hanging="426"/>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Aguiar, Angel, Badri Narayanan, &amp; Robert McDougall. "An Overview of the GTAP 9 Data Base." </w:t>
      </w:r>
      <w:r w:rsidRPr="00474859">
        <w:rPr>
          <w:rFonts w:ascii="Times New Roman" w:hAnsi="Times New Roman" w:cs="Times New Roman"/>
          <w:i/>
          <w:iCs/>
          <w:color w:val="000000"/>
          <w:sz w:val="24"/>
          <w:szCs w:val="24"/>
          <w:shd w:val="clear" w:color="auto" w:fill="FFFFFF"/>
        </w:rPr>
        <w:t>Journal of Global Economic Analysis</w:t>
      </w:r>
      <w:r w:rsidRPr="00474859">
        <w:rPr>
          <w:rFonts w:ascii="Times New Roman" w:hAnsi="Times New Roman" w:cs="Times New Roman"/>
          <w:color w:val="000000"/>
          <w:sz w:val="24"/>
          <w:szCs w:val="24"/>
          <w:shd w:val="clear" w:color="auto" w:fill="FFFFFF"/>
        </w:rPr>
        <w:t> 1, no. 1 (June 3,2016): 181-208.</w:t>
      </w:r>
    </w:p>
    <w:p w:rsidR="000E2E37" w:rsidRPr="00474859" w:rsidRDefault="000E2E37" w:rsidP="000E2E37">
      <w:pPr>
        <w:keepNext/>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 xml:space="preserve">Bank of Korea Economic Statistics System (2014) 2010 Updated Input-Output Tables. Available at </w:t>
      </w:r>
      <w:hyperlink r:id="rId136" w:history="1">
        <w:r w:rsidRPr="00474859">
          <w:rPr>
            <w:rStyle w:val="Hyperlink"/>
            <w:rFonts w:ascii="Times New Roman" w:hAnsi="Times New Roman" w:cs="Times New Roman"/>
            <w:sz w:val="24"/>
            <w:szCs w:val="24"/>
            <w:shd w:val="clear" w:color="auto" w:fill="FFFFFF"/>
          </w:rPr>
          <w:t>https://ecos.bok.or.kr/flex/EasySearch_e.jsp</w:t>
        </w:r>
      </w:hyperlink>
      <w:r w:rsidRPr="00474859">
        <w:rPr>
          <w:rFonts w:ascii="Times New Roman" w:hAnsi="Times New Roman" w:cs="Times New Roman"/>
          <w:color w:val="000000"/>
          <w:sz w:val="24"/>
          <w:szCs w:val="24"/>
          <w:shd w:val="clear" w:color="auto" w:fill="FFFFFF"/>
        </w:rPr>
        <w:t xml:space="preserve">. </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(2017a), 'Automobile &amp; Motor Vehicle Mfg. Industry NAICS 33611', </w:t>
      </w:r>
      <w:r w:rsidRPr="00474859">
        <w:rPr>
          <w:rFonts w:ascii="Times New Roman" w:hAnsi="Times New Roman" w:cs="Times New Roman"/>
          <w:i/>
          <w:sz w:val="24"/>
          <w:szCs w:val="24"/>
        </w:rPr>
        <w:t>2017</w:t>
      </w:r>
      <w:r w:rsidRPr="00474859">
        <w:rPr>
          <w:rFonts w:ascii="Times New Roman" w:hAnsi="Times New Roman" w:cs="Times New Roman"/>
          <w:sz w:val="24"/>
          <w:szCs w:val="24"/>
        </w:rPr>
        <w:t xml:space="preserve">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pp 1-139.</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(2017b), 'Automobile Gas Engine &amp; Engine Parts Mfg. NAICS 33631', </w:t>
      </w:r>
      <w:r w:rsidRPr="00474859">
        <w:rPr>
          <w:rFonts w:ascii="Times New Roman" w:hAnsi="Times New Roman" w:cs="Times New Roman"/>
          <w:i/>
          <w:sz w:val="24"/>
          <w:szCs w:val="24"/>
        </w:rPr>
        <w:t>2017</w:t>
      </w:r>
      <w:r w:rsidRPr="00474859">
        <w:rPr>
          <w:rFonts w:ascii="Times New Roman" w:hAnsi="Times New Roman" w:cs="Times New Roman"/>
          <w:sz w:val="24"/>
          <w:szCs w:val="24"/>
        </w:rPr>
        <w:t xml:space="preserve">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xml:space="preserve">, pp 1-139. </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(2017c), 'Heavy Duty Truck Manufacturing Industry NAICS 33612', </w:t>
      </w:r>
      <w:r w:rsidRPr="00474859">
        <w:rPr>
          <w:rFonts w:ascii="Times New Roman" w:hAnsi="Times New Roman" w:cs="Times New Roman"/>
          <w:i/>
          <w:sz w:val="24"/>
          <w:szCs w:val="24"/>
        </w:rPr>
        <w:t>2017</w:t>
      </w:r>
      <w:r w:rsidRPr="00474859">
        <w:rPr>
          <w:rFonts w:ascii="Times New Roman" w:hAnsi="Times New Roman" w:cs="Times New Roman"/>
          <w:sz w:val="24"/>
          <w:szCs w:val="24"/>
        </w:rPr>
        <w:t xml:space="preserve">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pp 1-139.</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(2018), ‘Telephone Equipment Mfg. Industry NAICS 33421', </w:t>
      </w:r>
      <w:r w:rsidRPr="00474859">
        <w:rPr>
          <w:rFonts w:ascii="Times New Roman" w:hAnsi="Times New Roman" w:cs="Times New Roman"/>
          <w:i/>
          <w:sz w:val="24"/>
          <w:szCs w:val="24"/>
        </w:rPr>
        <w:t xml:space="preserve">2018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pp 1-140.</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 xml:space="preserve">Calderon, Cesar, Alberto Chong, and Ernesto Stein (2007), </w:t>
      </w:r>
      <w:r>
        <w:rPr>
          <w:rFonts w:ascii="Times New Roman" w:hAnsi="Times New Roman" w:cs="Times New Roman"/>
          <w:sz w:val="24"/>
          <w:szCs w:val="24"/>
        </w:rPr>
        <w:t>“</w:t>
      </w:r>
      <w:r w:rsidRPr="003A03C0">
        <w:rPr>
          <w:rFonts w:ascii="Times New Roman" w:hAnsi="Times New Roman" w:cs="Times New Roman"/>
          <w:sz w:val="24"/>
          <w:szCs w:val="24"/>
        </w:rPr>
        <w:t>Trade intensity and business cycle synchronization: Are developing countries any different?</w:t>
      </w:r>
      <w:r>
        <w:rPr>
          <w:rFonts w:ascii="Times New Roman" w:hAnsi="Times New Roman" w:cs="Times New Roman"/>
          <w:sz w:val="24"/>
          <w:szCs w:val="24"/>
        </w:rPr>
        <w:t>”</w:t>
      </w:r>
      <w:r w:rsidRPr="003A03C0">
        <w:rPr>
          <w:rFonts w:ascii="Times New Roman" w:hAnsi="Times New Roman" w:cs="Times New Roman"/>
          <w:sz w:val="24"/>
          <w:szCs w:val="24"/>
        </w:rPr>
        <w:t xml:space="preserve"> </w:t>
      </w:r>
      <w:r w:rsidRPr="003A03C0">
        <w:rPr>
          <w:rFonts w:ascii="Times New Roman" w:hAnsi="Times New Roman" w:cs="Times New Roman"/>
          <w:i/>
          <w:sz w:val="24"/>
          <w:szCs w:val="24"/>
        </w:rPr>
        <w:t>Journal of international Economics,</w:t>
      </w:r>
      <w:r w:rsidRPr="003A03C0">
        <w:rPr>
          <w:rFonts w:ascii="Times New Roman" w:hAnsi="Times New Roman" w:cs="Times New Roman"/>
          <w:sz w:val="24"/>
          <w:szCs w:val="24"/>
        </w:rPr>
        <w:t xml:space="preserve"> 71, pp. 2-21.</w:t>
      </w:r>
    </w:p>
    <w:p w:rsidR="007900DA" w:rsidRDefault="00F551AD" w:rsidP="007900DA">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Corong, E.</w:t>
      </w:r>
      <w:r w:rsidR="00E4137C" w:rsidRPr="00474859">
        <w:rPr>
          <w:rFonts w:ascii="Times New Roman" w:hAnsi="Times New Roman" w:cs="Times New Roman"/>
          <w:sz w:val="24"/>
          <w:szCs w:val="24"/>
        </w:rPr>
        <w:t xml:space="preserve">, T. Hertel, R. McDougall, M. Tsigas and D. van der Mensbrugghe (2017), “The standard GTAP model, version 7”, </w:t>
      </w:r>
      <w:r w:rsidR="00E4137C" w:rsidRPr="00474859">
        <w:rPr>
          <w:rFonts w:ascii="Times New Roman" w:hAnsi="Times New Roman" w:cs="Times New Roman"/>
          <w:i/>
          <w:sz w:val="24"/>
          <w:szCs w:val="24"/>
        </w:rPr>
        <w:t>Journal of Global Economic Analysis</w:t>
      </w:r>
      <w:r w:rsidR="00E4137C" w:rsidRPr="00474859">
        <w:rPr>
          <w:rFonts w:ascii="Times New Roman" w:hAnsi="Times New Roman" w:cs="Times New Roman"/>
          <w:sz w:val="24"/>
          <w:szCs w:val="24"/>
        </w:rPr>
        <w:t>, vol. 4, No. 1, pp.1-119.</w:t>
      </w:r>
      <w:r w:rsidRPr="00474859">
        <w:rPr>
          <w:rFonts w:ascii="Times New Roman" w:hAnsi="Times New Roman" w:cs="Times New Roman"/>
          <w:sz w:val="24"/>
          <w:szCs w:val="24"/>
        </w:rPr>
        <w:t xml:space="preserve">  </w:t>
      </w:r>
    </w:p>
    <w:p w:rsidR="007900DA" w:rsidRPr="007900DA" w:rsidRDefault="007900DA" w:rsidP="007900DA">
      <w:pPr>
        <w:autoSpaceDE w:val="0"/>
        <w:autoSpaceDN w:val="0"/>
        <w:adjustRightInd w:val="0"/>
        <w:spacing w:before="120" w:after="0" w:line="240" w:lineRule="auto"/>
        <w:ind w:left="720" w:hanging="720"/>
        <w:rPr>
          <w:rFonts w:ascii="Times New Roman" w:hAnsi="Times New Roman" w:cs="Times New Roman"/>
          <w:sz w:val="24"/>
          <w:szCs w:val="24"/>
        </w:rPr>
      </w:pPr>
      <w:r w:rsidRPr="007900DA">
        <w:rPr>
          <w:rFonts w:ascii="Times New Roman" w:hAnsi="Times New Roman"/>
          <w:sz w:val="24"/>
          <w:szCs w:val="24"/>
        </w:rPr>
        <w:t xml:space="preserve">Dixon, P.B., B.R. Parmenter, John Sutton and D.P. Vincent (1982), </w:t>
      </w:r>
      <w:r w:rsidRPr="007900DA">
        <w:rPr>
          <w:rFonts w:ascii="Times New Roman" w:hAnsi="Times New Roman"/>
          <w:i/>
          <w:sz w:val="24"/>
          <w:szCs w:val="24"/>
        </w:rPr>
        <w:t>ORANI: A Multisectoral Model of the Australian Economy</w:t>
      </w:r>
      <w:r w:rsidRPr="007900DA">
        <w:rPr>
          <w:rFonts w:ascii="Times New Roman" w:hAnsi="Times New Roman"/>
          <w:sz w:val="24"/>
          <w:szCs w:val="24"/>
        </w:rPr>
        <w:t>, Contributions to Economic Analysis 142, North-Holland Publishing Company, pp. xviii + 372.</w:t>
      </w:r>
    </w:p>
    <w:p w:rsidR="009D3FF2" w:rsidRPr="00474859" w:rsidRDefault="009D3FF2" w:rsidP="009D3FF2">
      <w:pPr>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Dixon P.B</w:t>
      </w:r>
      <w:r>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and M.T. </w:t>
      </w:r>
      <w:r w:rsidRPr="00474859">
        <w:rPr>
          <w:rFonts w:ascii="Times New Roman" w:hAnsi="Times New Roman" w:cs="Times New Roman"/>
          <w:color w:val="000000"/>
          <w:sz w:val="24"/>
          <w:szCs w:val="24"/>
          <w:shd w:val="clear" w:color="auto" w:fill="FFFFFF"/>
        </w:rPr>
        <w:t>Rimmer (20</w:t>
      </w:r>
      <w:r>
        <w:rPr>
          <w:rFonts w:ascii="Times New Roman" w:hAnsi="Times New Roman" w:cs="Times New Roman"/>
          <w:color w:val="000000"/>
          <w:sz w:val="24"/>
          <w:szCs w:val="24"/>
          <w:shd w:val="clear" w:color="auto" w:fill="FFFFFF"/>
        </w:rPr>
        <w:t>02</w:t>
      </w:r>
      <w:r w:rsidRPr="00474859">
        <w:rPr>
          <w:rFonts w:ascii="Times New Roman" w:hAnsi="Times New Roman" w:cs="Times New Roman"/>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Dynamic General Equilibrium Modelling for forecasting and policy</w:t>
      </w:r>
      <w:r>
        <w:rPr>
          <w:rFonts w:ascii="Times New Roman" w:hAnsi="Times New Roman" w:cs="Times New Roman"/>
          <w:color w:val="000000"/>
          <w:sz w:val="24"/>
          <w:szCs w:val="24"/>
          <w:shd w:val="clear" w:color="auto" w:fill="FFFFFF"/>
        </w:rPr>
        <w:t>, Contributions to Economic Analysis, no. 256, North-Holland Publishing Company, Amsterdam, pp. xi + 338</w:t>
      </w:r>
      <w:r w:rsidRPr="00474859">
        <w:rPr>
          <w:rFonts w:ascii="Times New Roman" w:hAnsi="Times New Roman" w:cs="Times New Roman"/>
          <w:color w:val="000000"/>
          <w:sz w:val="24"/>
          <w:szCs w:val="24"/>
          <w:shd w:val="clear" w:color="auto" w:fill="FFFFFF"/>
        </w:rPr>
        <w:t xml:space="preserve">. </w:t>
      </w:r>
    </w:p>
    <w:p w:rsidR="000E2E37" w:rsidRPr="00474859" w:rsidRDefault="000E2E37" w:rsidP="000E2E37">
      <w:pPr>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 xml:space="preserve">Dixon P.B, Rimmer, M.T., Waschik., R.G. (2017) </w:t>
      </w:r>
      <w:r w:rsidRPr="00474859">
        <w:rPr>
          <w:rFonts w:ascii="Times New Roman" w:hAnsi="Times New Roman" w:cs="Times New Roman"/>
          <w:i/>
          <w:color w:val="000000"/>
          <w:sz w:val="24"/>
          <w:szCs w:val="24"/>
          <w:shd w:val="clear" w:color="auto" w:fill="FFFFFF"/>
        </w:rPr>
        <w:t>Updating USAGE: Baseline and illustrative application</w:t>
      </w:r>
      <w:r w:rsidRPr="00474859">
        <w:rPr>
          <w:rFonts w:ascii="Times New Roman" w:hAnsi="Times New Roman" w:cs="Times New Roman"/>
          <w:color w:val="000000"/>
          <w:sz w:val="24"/>
          <w:szCs w:val="24"/>
          <w:shd w:val="clear" w:color="auto" w:fill="FFFFFF"/>
        </w:rPr>
        <w:t xml:space="preserve">. Working Paper No. G-269, Centre of Policy Studies, Victoria University.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Ferrantino, Michael J, Xuepeng Liu, and Zhi Wang</w:t>
      </w:r>
      <w:r>
        <w:rPr>
          <w:rFonts w:ascii="Times New Roman" w:hAnsi="Times New Roman" w:cs="Times New Roman"/>
          <w:sz w:val="24"/>
          <w:szCs w:val="24"/>
        </w:rPr>
        <w:t xml:space="preserve"> (</w:t>
      </w:r>
      <w:r w:rsidRPr="003A03C0">
        <w:rPr>
          <w:rFonts w:ascii="Times New Roman" w:hAnsi="Times New Roman" w:cs="Times New Roman"/>
          <w:sz w:val="24"/>
          <w:szCs w:val="24"/>
        </w:rPr>
        <w:t>2012</w:t>
      </w:r>
      <w:r>
        <w:rPr>
          <w:rFonts w:ascii="Times New Roman" w:hAnsi="Times New Roman" w:cs="Times New Roman"/>
          <w:sz w:val="24"/>
          <w:szCs w:val="24"/>
        </w:rPr>
        <w:t>),</w:t>
      </w:r>
      <w:r w:rsidRPr="003A03C0">
        <w:rPr>
          <w:rFonts w:ascii="Times New Roman" w:hAnsi="Times New Roman" w:cs="Times New Roman"/>
          <w:sz w:val="24"/>
          <w:szCs w:val="24"/>
        </w:rPr>
        <w:t xml:space="preserve"> </w:t>
      </w:r>
      <w:r>
        <w:rPr>
          <w:rFonts w:ascii="Times New Roman" w:hAnsi="Times New Roman" w:cs="Times New Roman"/>
          <w:sz w:val="24"/>
          <w:szCs w:val="24"/>
        </w:rPr>
        <w:t>“</w:t>
      </w:r>
      <w:r w:rsidRPr="003A03C0">
        <w:rPr>
          <w:rFonts w:ascii="Times New Roman" w:hAnsi="Times New Roman" w:cs="Times New Roman"/>
          <w:sz w:val="24"/>
          <w:szCs w:val="24"/>
        </w:rPr>
        <w:t>Evasion behaviors of exporters and importers: Evidence from the US–China trade data discrepancy</w:t>
      </w:r>
      <w:r>
        <w:rPr>
          <w:rFonts w:ascii="Times New Roman" w:hAnsi="Times New Roman" w:cs="Times New Roman"/>
          <w:sz w:val="24"/>
          <w:szCs w:val="24"/>
        </w:rPr>
        <w:t>”</w:t>
      </w:r>
      <w:r w:rsidRPr="003A03C0">
        <w:rPr>
          <w:rFonts w:ascii="Times New Roman" w:hAnsi="Times New Roman" w:cs="Times New Roman"/>
          <w:sz w:val="24"/>
          <w:szCs w:val="24"/>
        </w:rPr>
        <w:t xml:space="preserve">, </w:t>
      </w:r>
      <w:r w:rsidRPr="003A03C0">
        <w:rPr>
          <w:rFonts w:ascii="Times New Roman" w:hAnsi="Times New Roman" w:cs="Times New Roman"/>
          <w:i/>
          <w:sz w:val="24"/>
          <w:szCs w:val="24"/>
        </w:rPr>
        <w:t xml:space="preserve">Journal of </w:t>
      </w:r>
      <w:r>
        <w:rPr>
          <w:rFonts w:ascii="Times New Roman" w:hAnsi="Times New Roman" w:cs="Times New Roman"/>
          <w:i/>
          <w:sz w:val="24"/>
          <w:szCs w:val="24"/>
        </w:rPr>
        <w:t>I</w:t>
      </w:r>
      <w:r w:rsidRPr="003A03C0">
        <w:rPr>
          <w:rFonts w:ascii="Times New Roman" w:hAnsi="Times New Roman" w:cs="Times New Roman"/>
          <w:i/>
          <w:sz w:val="24"/>
          <w:szCs w:val="24"/>
        </w:rPr>
        <w:t>nternational Economics,</w:t>
      </w:r>
      <w:r w:rsidRPr="003A03C0">
        <w:rPr>
          <w:rFonts w:ascii="Times New Roman" w:hAnsi="Times New Roman" w:cs="Times New Roman"/>
          <w:sz w:val="24"/>
          <w:szCs w:val="24"/>
        </w:rPr>
        <w:t xml:space="preserve"> 86, pp. 141-157.</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Gehlhar, M.J. (1996)</w:t>
      </w:r>
      <w:r>
        <w:rPr>
          <w:rFonts w:ascii="Times New Roman" w:hAnsi="Times New Roman" w:cs="Times New Roman"/>
          <w:sz w:val="24"/>
          <w:szCs w:val="24"/>
        </w:rPr>
        <w:t>, “</w:t>
      </w:r>
      <w:r w:rsidRPr="003A03C0">
        <w:rPr>
          <w:rFonts w:ascii="Times New Roman" w:hAnsi="Times New Roman" w:cs="Times New Roman"/>
          <w:sz w:val="24"/>
          <w:szCs w:val="24"/>
        </w:rPr>
        <w:t>Reconciling bilateral trade data for use in GTAP</w:t>
      </w:r>
      <w:r>
        <w:rPr>
          <w:rFonts w:ascii="Times New Roman" w:hAnsi="Times New Roman" w:cs="Times New Roman"/>
          <w:sz w:val="24"/>
          <w:szCs w:val="24"/>
        </w:rPr>
        <w:t>”</w:t>
      </w:r>
      <w:r w:rsidRPr="003A03C0">
        <w:rPr>
          <w:rFonts w:ascii="Times New Roman" w:hAnsi="Times New Roman" w:cs="Times New Roman"/>
          <w:sz w:val="24"/>
          <w:szCs w:val="24"/>
        </w:rPr>
        <w:t xml:space="preserve">, GTAP Technical paper No. 10. Available at https://www.jgea.org/resources/download/38.pdf. </w:t>
      </w:r>
    </w:p>
    <w:p w:rsidR="001F7F4A" w:rsidRPr="00474859" w:rsidRDefault="001F7F4A" w:rsidP="009D3FF2">
      <w:pPr>
        <w:tabs>
          <w:tab w:val="left" w:pos="567"/>
        </w:tabs>
        <w:autoSpaceDE w:val="0"/>
        <w:autoSpaceDN w:val="0"/>
        <w:adjustRightInd w:val="0"/>
        <w:spacing w:before="60" w:after="0" w:line="240" w:lineRule="auto"/>
        <w:ind w:left="720" w:hanging="720"/>
        <w:rPr>
          <w:rFonts w:ascii="Times New Roman" w:hAnsi="Times New Roman" w:cs="Times New Roman"/>
          <w:sz w:val="24"/>
          <w:szCs w:val="24"/>
          <w:lang w:val="en-US"/>
        </w:rPr>
      </w:pPr>
      <w:r w:rsidRPr="00474859">
        <w:rPr>
          <w:rFonts w:ascii="Times New Roman" w:hAnsi="Times New Roman" w:cs="Times New Roman"/>
          <w:sz w:val="24"/>
          <w:szCs w:val="24"/>
          <w:lang w:val="en-US"/>
        </w:rPr>
        <w:t xml:space="preserve">Hertel, T. W., editor, (1997), </w:t>
      </w:r>
      <w:r w:rsidRPr="00474859">
        <w:rPr>
          <w:rFonts w:ascii="Times New Roman" w:hAnsi="Times New Roman" w:cs="Times New Roman"/>
          <w:i/>
          <w:sz w:val="24"/>
          <w:szCs w:val="24"/>
          <w:lang w:val="en-US"/>
        </w:rPr>
        <w:t xml:space="preserve">Global trade analysis: modeling and applications, </w:t>
      </w:r>
      <w:r w:rsidRPr="00474859">
        <w:rPr>
          <w:rFonts w:ascii="Times New Roman" w:hAnsi="Times New Roman" w:cs="Times New Roman"/>
          <w:sz w:val="24"/>
          <w:szCs w:val="24"/>
          <w:lang w:val="en-US"/>
        </w:rPr>
        <w:t xml:space="preserve">Cambridge University Press, Cambridge, UK. </w:t>
      </w:r>
    </w:p>
    <w:p w:rsidR="00DD6EC4" w:rsidRPr="00474859" w:rsidRDefault="000E2E37" w:rsidP="009D3FF2">
      <w:pPr>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 xml:space="preserve">Horridge, J.M. (2008) MSplitCom. A program for splitting sectors in the GTAP database. Available at </w:t>
      </w:r>
      <w:hyperlink r:id="rId137" w:history="1">
        <w:r w:rsidRPr="00474859">
          <w:rPr>
            <w:rStyle w:val="Hyperlink"/>
            <w:rFonts w:ascii="Times New Roman" w:hAnsi="Times New Roman" w:cs="Times New Roman"/>
            <w:sz w:val="24"/>
            <w:szCs w:val="24"/>
            <w:shd w:val="clear" w:color="auto" w:fill="FFFFFF"/>
          </w:rPr>
          <w:t>https://www.copsmodels.com/msplitcom.htm</w:t>
        </w:r>
      </w:hyperlink>
      <w:r w:rsidRPr="00474859">
        <w:rPr>
          <w:rFonts w:ascii="Times New Roman" w:hAnsi="Times New Roman" w:cs="Times New Roman"/>
          <w:color w:val="000000"/>
          <w:sz w:val="24"/>
          <w:szCs w:val="24"/>
          <w:shd w:val="clear" w:color="auto" w:fill="FFFFFF"/>
        </w:rPr>
        <w:t xml:space="preserve">. </w:t>
      </w:r>
    </w:p>
    <w:p w:rsidR="009D3FF2" w:rsidRDefault="00DD6EC4" w:rsidP="009D3FF2">
      <w:pPr>
        <w:spacing w:before="120" w:after="0" w:line="240" w:lineRule="auto"/>
        <w:ind w:left="720" w:hanging="720"/>
        <w:rPr>
          <w:rFonts w:ascii="Times New Roman" w:eastAsia="Times New Roman" w:hAnsi="Times New Roman" w:cs="Times New Roman"/>
          <w:color w:val="000000"/>
          <w:sz w:val="24"/>
          <w:szCs w:val="24"/>
          <w:lang w:eastAsia="en-AU"/>
        </w:rPr>
      </w:pPr>
      <w:r w:rsidRPr="00474859">
        <w:rPr>
          <w:rFonts w:ascii="Times New Roman" w:eastAsia="Times New Roman" w:hAnsi="Times New Roman" w:cs="Times New Roman"/>
          <w:color w:val="000000"/>
          <w:sz w:val="24"/>
          <w:szCs w:val="24"/>
          <w:lang w:eastAsia="en-AU"/>
        </w:rPr>
        <w:t xml:space="preserve">Ianchovichina E. and R.A. McDougall (2012), “Theoretical structure of Dynamic GTAP”, chapter 2, pp. 13-70 in E. Ianchovichina and T. Walmsley  (eds) </w:t>
      </w:r>
      <w:hyperlink r:id="rId138" w:history="1">
        <w:r w:rsidRPr="00474859">
          <w:rPr>
            <w:rFonts w:ascii="Times New Roman" w:eastAsia="Times New Roman" w:hAnsi="Times New Roman" w:cs="Times New Roman"/>
            <w:i/>
            <w:color w:val="000000"/>
            <w:sz w:val="24"/>
            <w:szCs w:val="24"/>
            <w:lang w:eastAsia="en-AU"/>
          </w:rPr>
          <w:t>Dynamic Modeling and Applications in Global Economic Analysis</w:t>
        </w:r>
      </w:hyperlink>
      <w:r w:rsidRPr="00474859">
        <w:rPr>
          <w:rFonts w:ascii="Times New Roman" w:eastAsia="Times New Roman" w:hAnsi="Times New Roman" w:cs="Times New Roman"/>
          <w:color w:val="000000"/>
          <w:sz w:val="24"/>
          <w:szCs w:val="24"/>
          <w:lang w:eastAsia="en-AU"/>
        </w:rPr>
        <w:t xml:space="preserve">,  </w:t>
      </w:r>
      <w:hyperlink r:id="rId139" w:tgtFrame="_blank" w:history="1">
        <w:r w:rsidRPr="00474859">
          <w:rPr>
            <w:rFonts w:ascii="Times New Roman" w:eastAsia="Times New Roman" w:hAnsi="Times New Roman" w:cs="Times New Roman"/>
            <w:color w:val="000000"/>
            <w:sz w:val="24"/>
            <w:szCs w:val="24"/>
            <w:lang w:eastAsia="en-AU"/>
          </w:rPr>
          <w:t>Cambridge University Press</w:t>
        </w:r>
      </w:hyperlink>
      <w:r w:rsidRPr="00474859">
        <w:rPr>
          <w:rFonts w:ascii="Times New Roman" w:eastAsia="Times New Roman" w:hAnsi="Times New Roman" w:cs="Times New Roman"/>
          <w:color w:val="000000"/>
          <w:sz w:val="24"/>
          <w:szCs w:val="24"/>
          <w:lang w:eastAsia="en-AU"/>
        </w:rPr>
        <w:t xml:space="preserve">.  </w:t>
      </w:r>
    </w:p>
    <w:p w:rsidR="009D3FF2" w:rsidRPr="00396EE6" w:rsidRDefault="009D3FF2" w:rsidP="009D3FF2">
      <w:pPr>
        <w:spacing w:before="120" w:after="0" w:line="240" w:lineRule="auto"/>
        <w:ind w:left="720" w:hanging="720"/>
        <w:rPr>
          <w:rFonts w:ascii="Times New Roman" w:hAnsi="Times New Roman" w:cs="Times New Roman"/>
          <w:sz w:val="18"/>
          <w:szCs w:val="18"/>
        </w:rPr>
      </w:pPr>
      <w:r>
        <w:rPr>
          <w:rFonts w:ascii="Times New Roman" w:eastAsia="Times New Roman" w:hAnsi="Times New Roman" w:cs="Times New Roman"/>
          <w:color w:val="000000"/>
          <w:sz w:val="24"/>
          <w:szCs w:val="24"/>
          <w:lang w:eastAsia="en-AU"/>
        </w:rPr>
        <w:lastRenderedPageBreak/>
        <w:t>Industry Commission (1997)</w:t>
      </w:r>
      <w:r>
        <w:rPr>
          <w:rFonts w:ascii="Times New Roman" w:eastAsia="Times New Roman" w:hAnsi="Times New Roman"/>
          <w:color w:val="000000"/>
          <w:sz w:val="24"/>
          <w:szCs w:val="24"/>
          <w:lang w:eastAsia="en-AU"/>
        </w:rPr>
        <w:t>,</w:t>
      </w:r>
      <w:r>
        <w:rPr>
          <w:rFonts w:ascii="Times New Roman" w:eastAsia="Times New Roman" w:hAnsi="Times New Roman" w:cs="Times New Roman"/>
          <w:color w:val="000000"/>
          <w:sz w:val="24"/>
          <w:szCs w:val="24"/>
          <w:lang w:eastAsia="en-AU"/>
        </w:rPr>
        <w:t xml:space="preserve"> </w:t>
      </w:r>
      <w:r>
        <w:rPr>
          <w:rFonts w:ascii="Times New Roman" w:eastAsia="Times New Roman" w:hAnsi="Times New Roman"/>
          <w:i/>
          <w:color w:val="000000"/>
          <w:sz w:val="24"/>
          <w:szCs w:val="24"/>
          <w:lang w:eastAsia="en-AU"/>
        </w:rPr>
        <w:t>The automotive Industry</w:t>
      </w:r>
      <w:r>
        <w:rPr>
          <w:rFonts w:ascii="Times New Roman" w:eastAsia="Times New Roman" w:hAnsi="Times New Roman"/>
          <w:color w:val="000000"/>
          <w:sz w:val="24"/>
          <w:szCs w:val="24"/>
          <w:lang w:eastAsia="en-AU"/>
        </w:rPr>
        <w:t xml:space="preserve">, vol 2, chapter 0,Industry Commission, Canberra,  available at </w:t>
      </w:r>
      <w:hyperlink r:id="rId140" w:history="1">
        <w:r w:rsidRPr="009D3FF2">
          <w:rPr>
            <w:rStyle w:val="Hyperlink"/>
            <w:rFonts w:ascii="Times New Roman" w:hAnsi="Times New Roman"/>
            <w:sz w:val="24"/>
            <w:szCs w:val="24"/>
          </w:rPr>
          <w:t>https://www.pc.gov.au/inquiries/completed/automotive-1997/58automot2.pdf</w:t>
        </w:r>
      </w:hyperlink>
      <w:r>
        <w:rPr>
          <w:rFonts w:ascii="Times New Roman" w:hAnsi="Times New Roman"/>
          <w:sz w:val="18"/>
          <w:szCs w:val="18"/>
        </w:rPr>
        <w:t xml:space="preserve"> .</w:t>
      </w:r>
    </w:p>
    <w:p w:rsidR="000E2E37" w:rsidRPr="00474859" w:rsidRDefault="000E2E37" w:rsidP="000E2E37">
      <w:pPr>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International Monetary Fund (2018a) </w:t>
      </w:r>
      <w:r w:rsidRPr="00474859">
        <w:rPr>
          <w:rFonts w:ascii="Times New Roman" w:hAnsi="Times New Roman" w:cs="Times New Roman"/>
          <w:i/>
          <w:sz w:val="24"/>
          <w:szCs w:val="24"/>
        </w:rPr>
        <w:t>World Economic Outlook Database</w:t>
      </w:r>
      <w:r w:rsidRPr="00474859">
        <w:rPr>
          <w:rFonts w:ascii="Times New Roman" w:hAnsi="Times New Roman" w:cs="Times New Roman"/>
          <w:sz w:val="24"/>
          <w:szCs w:val="24"/>
        </w:rPr>
        <w:t>. Washington, DC. Accessed 15 May 2018 at https://www.imf.org/external/pubs/ft/weo/2018/01/weodata/index.aspx.</w:t>
      </w:r>
    </w:p>
    <w:p w:rsidR="000E2E37" w:rsidRPr="00474859" w:rsidRDefault="000E2E37" w:rsidP="000E2E37">
      <w:pPr>
        <w:spacing w:before="120" w:after="0" w:line="240" w:lineRule="auto"/>
        <w:ind w:left="720" w:hanging="720"/>
        <w:rPr>
          <w:rFonts w:ascii="Times New Roman" w:eastAsiaTheme="minorEastAsia" w:hAnsi="Times New Roman" w:cs="Times New Roman"/>
          <w:sz w:val="24"/>
          <w:szCs w:val="24"/>
        </w:rPr>
      </w:pPr>
      <w:r w:rsidRPr="00474859">
        <w:rPr>
          <w:rFonts w:ascii="Times New Roman" w:hAnsi="Times New Roman" w:cs="Times New Roman"/>
          <w:sz w:val="24"/>
          <w:szCs w:val="24"/>
        </w:rPr>
        <w:t xml:space="preserve">International Monetary Fund (2018b) </w:t>
      </w:r>
      <w:r w:rsidRPr="00474859">
        <w:rPr>
          <w:rFonts w:ascii="Times New Roman" w:hAnsi="Times New Roman" w:cs="Times New Roman"/>
          <w:i/>
          <w:sz w:val="24"/>
          <w:szCs w:val="24"/>
        </w:rPr>
        <w:t>World Economic Outlook April 2018: Cyclical upswing, structural change</w:t>
      </w:r>
      <w:r w:rsidRPr="00474859">
        <w:rPr>
          <w:rFonts w:ascii="Times New Roman" w:hAnsi="Times New Roman" w:cs="Times New Roman"/>
          <w:sz w:val="24"/>
          <w:szCs w:val="24"/>
        </w:rPr>
        <w:t xml:space="preserve">. World Economic Outlook report. Washington, DC. Accessed 15 May 2018 at </w:t>
      </w:r>
      <w:hyperlink r:id="rId141" w:history="1">
        <w:r w:rsidR="008F1E89" w:rsidRPr="00474859">
          <w:rPr>
            <w:rStyle w:val="Hyperlink"/>
            <w:rFonts w:ascii="Times New Roman" w:eastAsiaTheme="minorEastAsia" w:hAnsi="Times New Roman" w:cs="Times New Roman"/>
            <w:sz w:val="24"/>
            <w:szCs w:val="24"/>
          </w:rPr>
          <w:t>https://www.imf.org/~/media/Files/Publications/WEO/2018/April/Info.ashx</w:t>
        </w:r>
      </w:hyperlink>
      <w:r w:rsidR="008F1E89" w:rsidRPr="00474859">
        <w:rPr>
          <w:rFonts w:ascii="Times New Roman" w:eastAsiaTheme="minorEastAsia" w:hAnsi="Times New Roman" w:cs="Times New Roman"/>
          <w:sz w:val="24"/>
          <w:szCs w:val="24"/>
        </w:rPr>
        <w:t xml:space="preserve"> </w:t>
      </w:r>
    </w:p>
    <w:p w:rsidR="000E2E37" w:rsidRPr="00474859" w:rsidRDefault="000E2E37" w:rsidP="000E2E37">
      <w:pPr>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 xml:space="preserve">Ministry of Internal Affairs and Communications (MIC) (2016) 2011 Input-Output Tables for Japan. Available at </w:t>
      </w:r>
      <w:hyperlink r:id="rId142" w:history="1">
        <w:r w:rsidRPr="00474859">
          <w:rPr>
            <w:rStyle w:val="Hyperlink"/>
            <w:rFonts w:ascii="Times New Roman" w:hAnsi="Times New Roman" w:cs="Times New Roman"/>
            <w:sz w:val="24"/>
            <w:szCs w:val="24"/>
            <w:shd w:val="clear" w:color="auto" w:fill="FFFFFF"/>
          </w:rPr>
          <w:t>http://www.soumu.go.jp/english/dgpp_ss/data/io/io11.htm</w:t>
        </w:r>
      </w:hyperlink>
      <w:r w:rsidRPr="00474859">
        <w:rPr>
          <w:rFonts w:ascii="Times New Roman" w:hAnsi="Times New Roman" w:cs="Times New Roman"/>
          <w:color w:val="000000"/>
          <w:sz w:val="24"/>
          <w:szCs w:val="24"/>
          <w:shd w:val="clear" w:color="auto" w:fill="FFFFFF"/>
        </w:rPr>
        <w:t xml:space="preserve">.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Shaar, K. (2017)</w:t>
      </w:r>
      <w:r>
        <w:rPr>
          <w:rFonts w:ascii="Times New Roman" w:hAnsi="Times New Roman" w:cs="Times New Roman"/>
          <w:sz w:val="24"/>
          <w:szCs w:val="24"/>
        </w:rPr>
        <w:t>, “</w:t>
      </w:r>
      <w:r w:rsidRPr="003A03C0">
        <w:rPr>
          <w:rFonts w:ascii="Times New Roman" w:hAnsi="Times New Roman" w:cs="Times New Roman"/>
          <w:sz w:val="24"/>
          <w:szCs w:val="24"/>
        </w:rPr>
        <w:t>Reconciling international trade data</w:t>
      </w:r>
      <w:r>
        <w:rPr>
          <w:rFonts w:ascii="Times New Roman" w:hAnsi="Times New Roman" w:cs="Times New Roman"/>
          <w:sz w:val="24"/>
          <w:szCs w:val="24"/>
        </w:rPr>
        <w:t>”</w:t>
      </w:r>
      <w:r w:rsidRPr="003A03C0">
        <w:rPr>
          <w:rFonts w:ascii="Times New Roman" w:hAnsi="Times New Roman" w:cs="Times New Roman"/>
          <w:sz w:val="24"/>
          <w:szCs w:val="24"/>
        </w:rPr>
        <w:t>, MPRA Pa</w:t>
      </w:r>
      <w:r>
        <w:rPr>
          <w:rFonts w:ascii="Times New Roman" w:hAnsi="Times New Roman" w:cs="Times New Roman"/>
          <w:sz w:val="24"/>
          <w:szCs w:val="24"/>
        </w:rPr>
        <w:t>p</w:t>
      </w:r>
      <w:r w:rsidRPr="003A03C0">
        <w:rPr>
          <w:rFonts w:ascii="Times New Roman" w:hAnsi="Times New Roman" w:cs="Times New Roman"/>
          <w:sz w:val="24"/>
          <w:szCs w:val="24"/>
        </w:rPr>
        <w:t xml:space="preserve">er No. 81572. Available at https://mpra.ub.uni-muenchen.de/81572/.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Statistics Canada (2017)</w:t>
      </w:r>
      <w:r>
        <w:rPr>
          <w:rFonts w:ascii="Times New Roman" w:hAnsi="Times New Roman" w:cs="Times New Roman"/>
          <w:sz w:val="24"/>
          <w:szCs w:val="24"/>
        </w:rPr>
        <w:t xml:space="preserve">, </w:t>
      </w:r>
      <w:r w:rsidRPr="003A03C0">
        <w:rPr>
          <w:rFonts w:ascii="Times New Roman" w:hAnsi="Times New Roman" w:cs="Times New Roman"/>
          <w:sz w:val="24"/>
          <w:szCs w:val="24"/>
        </w:rPr>
        <w:t xml:space="preserve"> </w:t>
      </w:r>
      <w:r>
        <w:rPr>
          <w:rFonts w:ascii="Times New Roman" w:hAnsi="Times New Roman" w:cs="Times New Roman"/>
          <w:sz w:val="24"/>
          <w:szCs w:val="24"/>
        </w:rPr>
        <w:t>“</w:t>
      </w:r>
      <w:r w:rsidRPr="003A03C0">
        <w:rPr>
          <w:rFonts w:ascii="Times New Roman" w:hAnsi="Times New Roman" w:cs="Times New Roman"/>
          <w:sz w:val="24"/>
          <w:szCs w:val="24"/>
        </w:rPr>
        <w:t>Supply and Use Tables for 2014</w:t>
      </w:r>
      <w:r>
        <w:rPr>
          <w:rFonts w:ascii="Times New Roman" w:hAnsi="Times New Roman" w:cs="Times New Roman"/>
          <w:sz w:val="24"/>
          <w:szCs w:val="24"/>
        </w:rPr>
        <w:t>”</w:t>
      </w:r>
      <w:r w:rsidRPr="003A03C0">
        <w:rPr>
          <w:rFonts w:ascii="Times New Roman" w:hAnsi="Times New Roman" w:cs="Times New Roman"/>
          <w:sz w:val="24"/>
          <w:szCs w:val="24"/>
        </w:rPr>
        <w:t>. Available at https://www150.statcan.gc.ca/n1/daily-quotidien/171108/dq171108f-eng.htm</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 xml:space="preserve">UN Comtrade (2018) United Nations Commodity Trade Statistics Database, United Nations Statistics Division. Retrieved 4 Sept 2018 from https://comtrade.un.org/db/. </w:t>
      </w:r>
    </w:p>
    <w:p w:rsidR="000E2E37" w:rsidRPr="00474859" w:rsidRDefault="000E2E37" w:rsidP="000E2E37">
      <w:pPr>
        <w:spacing w:before="120" w:after="0" w:line="240" w:lineRule="auto"/>
        <w:ind w:left="720" w:hanging="720"/>
        <w:rPr>
          <w:rStyle w:val="Hyperlink"/>
          <w:rFonts w:ascii="Times New Roman" w:hAnsi="Times New Roman" w:cs="Times New Roman"/>
          <w:sz w:val="24"/>
          <w:szCs w:val="24"/>
        </w:rPr>
      </w:pPr>
      <w:r w:rsidRPr="00474859">
        <w:rPr>
          <w:rFonts w:ascii="Times New Roman" w:hAnsi="Times New Roman" w:cs="Times New Roman"/>
          <w:sz w:val="24"/>
          <w:szCs w:val="24"/>
        </w:rPr>
        <w:t xml:space="preserve">UNIDO (2018) IDSB - Industrial Demand-Supply Balance Database. UNIDO (United Nations Industrial Development Organization). . Available at </w:t>
      </w:r>
      <w:hyperlink r:id="rId143" w:history="1">
        <w:r w:rsidRPr="00474859">
          <w:rPr>
            <w:rStyle w:val="Hyperlink"/>
            <w:rFonts w:ascii="Times New Roman" w:hAnsi="Times New Roman" w:cs="Times New Roman"/>
            <w:sz w:val="24"/>
            <w:szCs w:val="24"/>
          </w:rPr>
          <w:t>https://www.unido.org/researchers/statistical-databases</w:t>
        </w:r>
      </w:hyperlink>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United Nations (2008) International merchandise trade statistics: National compilation and reporting practices. Survey results 2006 and 1996. Available at https://unstats.un.org/unsd/tradereport/introduction_MM.asp.</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United Nations (2013) International Merchandise Trade Statistics: Compilers Manual, Revision 1 (IMTS 2010-CM). Available at https://unstats.un.org/unsd/trade/EG-IMTS/IMTS2010-CM%20-%20white%20cover%20version.pdf.</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 xml:space="preserve">United States Census Bureau (2017) North American Industry Classification System. Available at https://www.census.gov/eos/www/naics/.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 xml:space="preserve">Wittwer, G. (2018) CHINAGEM database for 2012. Centre of Policy Studies, Victoria University.  </w:t>
      </w:r>
    </w:p>
    <w:p w:rsidR="000E2E37" w:rsidRDefault="000E2E37" w:rsidP="000E2E37">
      <w:pPr>
        <w:spacing w:before="120" w:after="0" w:line="240" w:lineRule="auto"/>
        <w:ind w:left="720" w:hanging="720"/>
        <w:rPr>
          <w:rStyle w:val="Hyperlink"/>
          <w:rFonts w:ascii="Times New Roman" w:hAnsi="Times New Roman" w:cs="Times New Roman"/>
          <w:sz w:val="24"/>
          <w:szCs w:val="24"/>
        </w:rPr>
      </w:pPr>
      <w:r w:rsidRPr="00474859">
        <w:rPr>
          <w:rStyle w:val="HTMLCite"/>
          <w:rFonts w:ascii="Times New Roman" w:hAnsi="Times New Roman" w:cs="Times New Roman"/>
          <w:i w:val="0"/>
          <w:sz w:val="24"/>
          <w:szCs w:val="24"/>
        </w:rPr>
        <w:t>World Bank (2018),</w:t>
      </w:r>
      <w:r w:rsidRPr="00474859">
        <w:rPr>
          <w:rStyle w:val="HTMLCite"/>
          <w:rFonts w:ascii="Times New Roman" w:hAnsi="Times New Roman" w:cs="Times New Roman"/>
          <w:sz w:val="24"/>
          <w:szCs w:val="24"/>
        </w:rPr>
        <w:t xml:space="preserve"> Population estimates and projections. Accessed 16 May 2018 at: </w:t>
      </w:r>
      <w:hyperlink r:id="rId144" w:history="1">
        <w:r w:rsidRPr="00474859">
          <w:rPr>
            <w:rStyle w:val="Hyperlink"/>
            <w:rFonts w:ascii="Times New Roman" w:hAnsi="Times New Roman" w:cs="Times New Roman"/>
            <w:sz w:val="24"/>
            <w:szCs w:val="24"/>
          </w:rPr>
          <w:t>http://databank.worldbank.org/data/reports.aspx?source=health-nutrition-and-population-statistics:-population-estimates-and-projections</w:t>
        </w:r>
      </w:hyperlink>
    </w:p>
    <w:sectPr w:rsidR="000E2E37" w:rsidSect="00D372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239" w:rsidRDefault="00B83239" w:rsidP="007573B1">
      <w:pPr>
        <w:spacing w:after="0" w:line="240" w:lineRule="auto"/>
      </w:pPr>
      <w:r>
        <w:separator/>
      </w:r>
    </w:p>
  </w:endnote>
  <w:endnote w:type="continuationSeparator" w:id="0">
    <w:p w:rsidR="00B83239" w:rsidRDefault="00B83239" w:rsidP="0075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inion-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576043"/>
      <w:docPartObj>
        <w:docPartGallery w:val="Page Numbers (Bottom of Page)"/>
        <w:docPartUnique/>
      </w:docPartObj>
    </w:sdtPr>
    <w:sdtEndPr>
      <w:rPr>
        <w:noProof/>
      </w:rPr>
    </w:sdtEndPr>
    <w:sdtContent>
      <w:p w:rsidR="008D67C4" w:rsidRDefault="008D67C4">
        <w:pPr>
          <w:pStyle w:val="Footer"/>
          <w:jc w:val="center"/>
        </w:pPr>
        <w:r>
          <w:fldChar w:fldCharType="begin"/>
        </w:r>
        <w:r>
          <w:instrText xml:space="preserve"> PAGE   \* MERGEFORMAT </w:instrText>
        </w:r>
        <w:r>
          <w:fldChar w:fldCharType="separate"/>
        </w:r>
        <w:r w:rsidR="006143AB">
          <w:rPr>
            <w:noProof/>
          </w:rPr>
          <w:t>5</w:t>
        </w:r>
        <w:r>
          <w:rPr>
            <w:noProof/>
          </w:rPr>
          <w:fldChar w:fldCharType="end"/>
        </w:r>
      </w:p>
    </w:sdtContent>
  </w:sdt>
  <w:p w:rsidR="008D67C4" w:rsidRDefault="008D6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122108"/>
      <w:docPartObj>
        <w:docPartGallery w:val="Page Numbers (Bottom of Page)"/>
        <w:docPartUnique/>
      </w:docPartObj>
    </w:sdtPr>
    <w:sdtEndPr>
      <w:rPr>
        <w:noProof/>
      </w:rPr>
    </w:sdtEndPr>
    <w:sdtContent>
      <w:p w:rsidR="008D67C4" w:rsidRDefault="008D67C4">
        <w:pPr>
          <w:pStyle w:val="Footer"/>
          <w:jc w:val="center"/>
        </w:pPr>
        <w:r>
          <w:fldChar w:fldCharType="begin"/>
        </w:r>
        <w:r>
          <w:instrText xml:space="preserve"> PAGE   \* MERGEFORMAT </w:instrText>
        </w:r>
        <w:r>
          <w:fldChar w:fldCharType="separate"/>
        </w:r>
        <w:r w:rsidR="006143AB">
          <w:rPr>
            <w:noProof/>
          </w:rPr>
          <w:t>21</w:t>
        </w:r>
        <w:r>
          <w:rPr>
            <w:noProof/>
          </w:rPr>
          <w:fldChar w:fldCharType="end"/>
        </w:r>
      </w:p>
    </w:sdtContent>
  </w:sdt>
  <w:p w:rsidR="008D67C4" w:rsidRDefault="008D6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239" w:rsidRDefault="00B83239" w:rsidP="007573B1">
      <w:pPr>
        <w:spacing w:after="0" w:line="240" w:lineRule="auto"/>
      </w:pPr>
      <w:r>
        <w:separator/>
      </w:r>
    </w:p>
  </w:footnote>
  <w:footnote w:type="continuationSeparator" w:id="0">
    <w:p w:rsidR="00B83239" w:rsidRDefault="00B83239" w:rsidP="007573B1">
      <w:pPr>
        <w:spacing w:after="0" w:line="240" w:lineRule="auto"/>
      </w:pPr>
      <w:r>
        <w:continuationSeparator/>
      </w:r>
    </w:p>
  </w:footnote>
  <w:footnote w:id="1">
    <w:p w:rsidR="008D67C4" w:rsidRPr="00814692" w:rsidRDefault="008D67C4">
      <w:pPr>
        <w:pStyle w:val="FootnoteText"/>
        <w:rPr>
          <w:rFonts w:ascii="Times New Roman" w:hAnsi="Times New Roman"/>
          <w:sz w:val="18"/>
          <w:szCs w:val="18"/>
          <w:lang w:val="en-AU"/>
        </w:rPr>
      </w:pPr>
      <w:r w:rsidRPr="00814692">
        <w:rPr>
          <w:rStyle w:val="FootnoteReference"/>
          <w:rFonts w:ascii="Times New Roman" w:hAnsi="Times New Roman"/>
          <w:sz w:val="18"/>
          <w:szCs w:val="18"/>
        </w:rPr>
        <w:footnoteRef/>
      </w:r>
      <w:r w:rsidRPr="00814692">
        <w:rPr>
          <w:rFonts w:ascii="Times New Roman" w:hAnsi="Times New Roman"/>
          <w:sz w:val="18"/>
          <w:szCs w:val="18"/>
        </w:rPr>
        <w:t xml:space="preserve"> </w:t>
      </w:r>
      <w:r>
        <w:rPr>
          <w:rFonts w:ascii="Times New Roman" w:hAnsi="Times New Roman"/>
          <w:sz w:val="18"/>
          <w:szCs w:val="18"/>
        </w:rPr>
        <w:t xml:space="preserve"> The 57 sectors of the standard GTAP database are listed in the last column of Table 2.2.  The table also shows the commodity classification adopted in the new model, GTAP-MVH, described in this paper, including the commodities in the disaggregated motor vehicle sector. </w:t>
      </w:r>
    </w:p>
  </w:footnote>
  <w:footnote w:id="2">
    <w:p w:rsidR="008D67C4" w:rsidRPr="00B2485B" w:rsidRDefault="008D67C4" w:rsidP="00D731CA">
      <w:pPr>
        <w:pStyle w:val="FootnoteText"/>
        <w:rPr>
          <w:rFonts w:ascii="Times New Roman" w:hAnsi="Times New Roman"/>
          <w:sz w:val="18"/>
          <w:szCs w:val="18"/>
          <w:lang w:val="en-AU"/>
        </w:rPr>
      </w:pPr>
      <w:r>
        <w:rPr>
          <w:rStyle w:val="FootnoteReference"/>
        </w:rPr>
        <w:footnoteRef/>
      </w:r>
      <w:r>
        <w:t xml:space="preserve"> </w:t>
      </w:r>
      <w:r>
        <w:rPr>
          <w:rFonts w:ascii="Times New Roman" w:hAnsi="Times New Roman"/>
          <w:sz w:val="18"/>
          <w:szCs w:val="18"/>
          <w:lang w:val="en-AU"/>
        </w:rPr>
        <w:t xml:space="preserve"> Ianchovichina and McDougall (2012) </w:t>
      </w:r>
      <w:r w:rsidRPr="00B2485B">
        <w:rPr>
          <w:rFonts w:ascii="Times New Roman" w:hAnsi="Times New Roman"/>
          <w:sz w:val="18"/>
          <w:szCs w:val="18"/>
          <w:lang w:val="en-AU"/>
        </w:rPr>
        <w:t>adopt</w:t>
      </w:r>
      <w:r>
        <w:rPr>
          <w:rFonts w:ascii="Times New Roman" w:hAnsi="Times New Roman"/>
          <w:sz w:val="18"/>
          <w:szCs w:val="18"/>
          <w:lang w:val="en-AU"/>
        </w:rPr>
        <w:t xml:space="preserve"> a similar specification, but written directly in changes and percentage changes of variables.  However, their specification is slightly illegitimate: it has no valid levels form and is subject to the criticism that it produces results that vary with the path adopted in the multi-step solution methods used in GEMPACK.  </w:t>
      </w:r>
    </w:p>
  </w:footnote>
  <w:footnote w:id="3">
    <w:p w:rsidR="008D67C4" w:rsidRPr="005029B2" w:rsidRDefault="008D67C4">
      <w:pPr>
        <w:pStyle w:val="FootnoteText"/>
        <w:rPr>
          <w:rFonts w:ascii="Times New Roman" w:hAnsi="Times New Roman"/>
          <w:sz w:val="18"/>
          <w:szCs w:val="18"/>
          <w:lang w:val="en-AU"/>
        </w:rPr>
      </w:pPr>
      <w:r w:rsidRPr="005029B2">
        <w:rPr>
          <w:rStyle w:val="FootnoteReference"/>
          <w:rFonts w:ascii="Times New Roman" w:hAnsi="Times New Roman"/>
          <w:sz w:val="18"/>
          <w:szCs w:val="18"/>
        </w:rPr>
        <w:footnoteRef/>
      </w:r>
      <w:r w:rsidRPr="005029B2">
        <w:rPr>
          <w:rFonts w:ascii="Times New Roman" w:hAnsi="Times New Roman"/>
          <w:sz w:val="18"/>
          <w:szCs w:val="18"/>
        </w:rPr>
        <w:t xml:space="preserve"> </w:t>
      </w:r>
      <w:r>
        <w:rPr>
          <w:rFonts w:ascii="Times New Roman" w:hAnsi="Times New Roman"/>
          <w:sz w:val="18"/>
          <w:szCs w:val="18"/>
        </w:rPr>
        <w:t xml:space="preserve"> GTAP includes an income tax that comes between the market price PM(“capital”,r) and the supply price PS(“capital”,r).  The supply price is</w:t>
      </w:r>
      <w:r w:rsidRPr="00671011">
        <w:rPr>
          <w:rFonts w:ascii="Times New Roman" w:hAnsi="Times New Roman"/>
          <w:bCs/>
          <w:color w:val="000000"/>
          <w:sz w:val="18"/>
          <w:szCs w:val="18"/>
        </w:rPr>
        <w:t xml:space="preserve"> the per-unit rental </w:t>
      </w:r>
      <w:r>
        <w:rPr>
          <w:rFonts w:ascii="Times New Roman" w:hAnsi="Times New Roman"/>
          <w:bCs/>
          <w:color w:val="000000"/>
          <w:sz w:val="18"/>
          <w:szCs w:val="18"/>
        </w:rPr>
        <w:t>post</w:t>
      </w:r>
      <w:r w:rsidRPr="00671011">
        <w:rPr>
          <w:rFonts w:ascii="Times New Roman" w:hAnsi="Times New Roman"/>
          <w:bCs/>
          <w:color w:val="000000"/>
          <w:sz w:val="18"/>
          <w:szCs w:val="18"/>
        </w:rPr>
        <w:t xml:space="preserve"> income tax received by the owners of region r’s homogeneous capital stock.</w:t>
      </w:r>
      <w:r>
        <w:rPr>
          <w:rFonts w:ascii="Times New Roman" w:hAnsi="Times New Roman"/>
          <w:bCs/>
          <w:color w:val="000000"/>
          <w:sz w:val="24"/>
          <w:szCs w:val="24"/>
        </w:rPr>
        <w:t xml:space="preserve"> </w:t>
      </w:r>
      <w:r>
        <w:rPr>
          <w:rFonts w:ascii="Times New Roman" w:hAnsi="Times New Roman"/>
          <w:sz w:val="18"/>
          <w:szCs w:val="18"/>
        </w:rPr>
        <w:t xml:space="preserve">As we will see shortly, the supply price is used in the calculation of rates of return.   </w:t>
      </w:r>
    </w:p>
  </w:footnote>
  <w:footnote w:id="4">
    <w:p w:rsidR="008D67C4" w:rsidRPr="00D1507A" w:rsidRDefault="008D67C4">
      <w:pPr>
        <w:pStyle w:val="FootnoteText"/>
        <w:rPr>
          <w:rFonts w:ascii="Times New Roman" w:hAnsi="Times New Roman"/>
          <w:sz w:val="18"/>
          <w:szCs w:val="18"/>
          <w:lang w:val="en-AU"/>
        </w:rPr>
      </w:pPr>
      <w:r w:rsidRPr="00D1507A">
        <w:rPr>
          <w:rStyle w:val="FootnoteReference"/>
          <w:rFonts w:ascii="Times New Roman" w:hAnsi="Times New Roman"/>
          <w:sz w:val="18"/>
          <w:szCs w:val="18"/>
        </w:rPr>
        <w:footnoteRef/>
      </w:r>
      <w:r w:rsidRPr="00D1507A">
        <w:rPr>
          <w:rFonts w:ascii="Times New Roman" w:hAnsi="Times New Roman"/>
          <w:sz w:val="18"/>
          <w:szCs w:val="18"/>
        </w:rPr>
        <w:t xml:space="preserve"> </w:t>
      </w:r>
      <w:r>
        <w:rPr>
          <w:rFonts w:ascii="Times New Roman" w:hAnsi="Times New Roman"/>
          <w:sz w:val="18"/>
          <w:szCs w:val="18"/>
        </w:rPr>
        <w:t xml:space="preserve"> In fact we assume for the data year </w:t>
      </w:r>
      <w:r w:rsidRPr="00D1507A">
        <w:rPr>
          <w:rFonts w:ascii="Times New Roman" w:hAnsi="Times New Roman"/>
          <w:bCs/>
          <w:sz w:val="18"/>
          <w:szCs w:val="18"/>
        </w:rPr>
        <w:t>t</w:t>
      </w:r>
      <w:r w:rsidRPr="00D1507A">
        <w:rPr>
          <w:rFonts w:ascii="Times New Roman" w:hAnsi="Times New Roman"/>
          <w:bCs/>
          <w:color w:val="000000"/>
          <w:sz w:val="18"/>
          <w:szCs w:val="18"/>
        </w:rPr>
        <w:t>hat phantom taxes are zero for every industry in region r [the database value for TFPH(j,r) is one for all j and r]</w:t>
      </w:r>
      <w:r>
        <w:rPr>
          <w:rFonts w:ascii="Times New Roman" w:hAnsi="Times New Roman"/>
          <w:bCs/>
          <w:color w:val="000000"/>
          <w:sz w:val="18"/>
          <w:szCs w:val="18"/>
        </w:rPr>
        <w:t>.</w:t>
      </w:r>
    </w:p>
  </w:footnote>
  <w:footnote w:id="5">
    <w:p w:rsidR="008D67C4" w:rsidRPr="00011CD6" w:rsidRDefault="008D67C4">
      <w:pPr>
        <w:pStyle w:val="FootnoteText"/>
        <w:rPr>
          <w:rFonts w:ascii="Times New Roman" w:hAnsi="Times New Roman"/>
          <w:sz w:val="18"/>
          <w:szCs w:val="18"/>
          <w:lang w:val="en-AU"/>
        </w:rPr>
      </w:pPr>
      <w:r w:rsidRPr="00011CD6">
        <w:rPr>
          <w:rStyle w:val="FootnoteReference"/>
          <w:rFonts w:ascii="Times New Roman" w:hAnsi="Times New Roman"/>
          <w:sz w:val="18"/>
          <w:szCs w:val="18"/>
        </w:rPr>
        <w:footnoteRef/>
      </w:r>
      <w:r w:rsidRPr="00011CD6">
        <w:rPr>
          <w:rFonts w:ascii="Times New Roman" w:hAnsi="Times New Roman"/>
          <w:sz w:val="18"/>
          <w:szCs w:val="18"/>
        </w:rPr>
        <w:t xml:space="preserve"> </w:t>
      </w:r>
      <w:r>
        <w:rPr>
          <w:rFonts w:ascii="Times New Roman" w:hAnsi="Times New Roman"/>
          <w:sz w:val="18"/>
          <w:szCs w:val="18"/>
        </w:rPr>
        <w:t xml:space="preserve"> See Dixon </w:t>
      </w:r>
      <w:r>
        <w:rPr>
          <w:rFonts w:ascii="Times New Roman" w:hAnsi="Times New Roman"/>
          <w:i/>
          <w:sz w:val="18"/>
          <w:szCs w:val="18"/>
        </w:rPr>
        <w:t>et al</w:t>
      </w:r>
      <w:r>
        <w:rPr>
          <w:rFonts w:ascii="Times New Roman" w:hAnsi="Times New Roman"/>
          <w:sz w:val="18"/>
          <w:szCs w:val="18"/>
        </w:rPr>
        <w:t xml:space="preserve"> (1982) pages 118-22.  </w:t>
      </w:r>
    </w:p>
  </w:footnote>
  <w:footnote w:id="6">
    <w:p w:rsidR="008D67C4" w:rsidRPr="007127B4" w:rsidRDefault="008D67C4">
      <w:pPr>
        <w:pStyle w:val="FootnoteText"/>
        <w:rPr>
          <w:lang w:val="en-AU"/>
        </w:rPr>
      </w:pPr>
      <w:r>
        <w:rPr>
          <w:rStyle w:val="FootnoteReference"/>
        </w:rPr>
        <w:footnoteRef/>
      </w:r>
      <w:r>
        <w:t xml:space="preserve">  </w:t>
      </w:r>
      <w:r>
        <w:rPr>
          <w:rFonts w:ascii="Times New Roman" w:hAnsi="Times New Roman"/>
          <w:bCs/>
          <w:color w:val="000000"/>
          <w:sz w:val="18"/>
          <w:szCs w:val="18"/>
        </w:rPr>
        <w:t>E</w:t>
      </w:r>
      <w:r w:rsidRPr="007127B4">
        <w:rPr>
          <w:rFonts w:ascii="Times New Roman" w:hAnsi="Times New Roman"/>
          <w:bCs/>
          <w:color w:val="000000"/>
          <w:sz w:val="18"/>
          <w:szCs w:val="18"/>
        </w:rPr>
        <w:t xml:space="preserve">quations </w:t>
      </w:r>
      <w:r>
        <w:rPr>
          <w:rFonts w:ascii="Times New Roman" w:hAnsi="Times New Roman"/>
          <w:bCs/>
          <w:color w:val="000000"/>
          <w:sz w:val="18"/>
          <w:szCs w:val="18"/>
        </w:rPr>
        <w:t xml:space="preserve">(2.4.8) – (2.4.12) </w:t>
      </w:r>
      <w:r w:rsidRPr="007127B4">
        <w:rPr>
          <w:rFonts w:ascii="Times New Roman" w:hAnsi="Times New Roman"/>
          <w:bCs/>
          <w:color w:val="000000"/>
          <w:sz w:val="18"/>
          <w:szCs w:val="18"/>
        </w:rPr>
        <w:t>are slightly simplified forms of GTAP-MVH’s GEMPACK equations, E_ke_i, E_rorc_i, E_ke, E_qcgdsA and E_f_rore_i &amp; RORGLOBAL.</w:t>
      </w:r>
    </w:p>
  </w:footnote>
  <w:footnote w:id="7">
    <w:p w:rsidR="008D67C4" w:rsidRPr="00DD5252" w:rsidRDefault="008D67C4" w:rsidP="00E9343F">
      <w:pPr>
        <w:pStyle w:val="FootnoteText"/>
        <w:rPr>
          <w:rFonts w:ascii="Times New Roman" w:hAnsi="Times New Roman"/>
          <w:sz w:val="18"/>
          <w:szCs w:val="18"/>
          <w:lang w:val="en-AU"/>
        </w:rPr>
      </w:pPr>
      <w:r w:rsidRPr="00DD5252">
        <w:rPr>
          <w:rStyle w:val="FootnoteReference"/>
          <w:rFonts w:ascii="Times New Roman" w:hAnsi="Times New Roman"/>
          <w:sz w:val="18"/>
          <w:szCs w:val="18"/>
        </w:rPr>
        <w:footnoteRef/>
      </w:r>
      <w:r w:rsidRPr="00DD5252">
        <w:rPr>
          <w:rFonts w:ascii="Times New Roman" w:hAnsi="Times New Roman"/>
          <w:sz w:val="18"/>
          <w:szCs w:val="18"/>
        </w:rPr>
        <w:t xml:space="preserve">  See equations KAPSVCES, KBEGINNING, MKTCLENDWM and </w:t>
      </w:r>
      <w:r>
        <w:rPr>
          <w:rFonts w:ascii="Times New Roman" w:hAnsi="Times New Roman"/>
          <w:sz w:val="18"/>
          <w:szCs w:val="18"/>
        </w:rPr>
        <w:t>E</w:t>
      </w:r>
      <w:r w:rsidRPr="00DD5252">
        <w:rPr>
          <w:rFonts w:ascii="Times New Roman" w:hAnsi="Times New Roman"/>
          <w:sz w:val="18"/>
          <w:szCs w:val="18"/>
        </w:rPr>
        <w:t>_qfe_capital</w:t>
      </w:r>
      <w:r>
        <w:rPr>
          <w:rFonts w:ascii="Times New Roman" w:hAnsi="Times New Roman"/>
          <w:sz w:val="18"/>
          <w:szCs w:val="18"/>
        </w:rPr>
        <w:t xml:space="preserve"> in the GEMPACK code for</w:t>
      </w:r>
      <w:r>
        <w:rPr>
          <w:rFonts w:ascii="Times New Roman" w:hAnsi="Times New Roman"/>
          <w:sz w:val="18"/>
          <w:szCs w:val="18"/>
        </w:rPr>
        <w:br/>
        <w:t xml:space="preserve"> GTAP-MVH.  </w:t>
      </w:r>
    </w:p>
  </w:footnote>
  <w:footnote w:id="8">
    <w:p w:rsidR="008D67C4" w:rsidRPr="00396EE6" w:rsidRDefault="008D67C4">
      <w:pPr>
        <w:pStyle w:val="FootnoteText"/>
        <w:rPr>
          <w:rFonts w:ascii="Times New Roman" w:hAnsi="Times New Roman"/>
          <w:sz w:val="18"/>
          <w:szCs w:val="18"/>
          <w:lang w:val="en-AU"/>
        </w:rPr>
      </w:pPr>
      <w:r w:rsidRPr="00396EE6">
        <w:rPr>
          <w:rStyle w:val="FootnoteReference"/>
          <w:rFonts w:ascii="Times New Roman" w:hAnsi="Times New Roman"/>
          <w:sz w:val="18"/>
          <w:szCs w:val="18"/>
        </w:rPr>
        <w:footnoteRef/>
      </w:r>
      <w:r w:rsidRPr="00396EE6">
        <w:rPr>
          <w:rFonts w:ascii="Times New Roman" w:hAnsi="Times New Roman"/>
          <w:sz w:val="18"/>
          <w:szCs w:val="18"/>
        </w:rPr>
        <w:t xml:space="preserve"> </w:t>
      </w:r>
      <w:r>
        <w:rPr>
          <w:rFonts w:ascii="Times New Roman" w:hAnsi="Times New Roman"/>
          <w:sz w:val="18"/>
          <w:szCs w:val="18"/>
        </w:rPr>
        <w:t xml:space="preserve"> See for example Industry Commission (1997, chapter O) and Dixon and Rimmer (2002, section 24). </w:t>
      </w:r>
    </w:p>
  </w:footnote>
  <w:footnote w:id="9">
    <w:p w:rsidR="008D67C4" w:rsidRPr="00534DF8" w:rsidRDefault="008D67C4" w:rsidP="00387E39">
      <w:pPr>
        <w:pStyle w:val="FootnoteText"/>
        <w:jc w:val="left"/>
        <w:rPr>
          <w:rFonts w:ascii="Times New Roman" w:hAnsi="Times New Roman"/>
          <w:sz w:val="18"/>
          <w:szCs w:val="18"/>
          <w:lang w:val="en-AU"/>
        </w:rPr>
      </w:pPr>
      <w:r w:rsidRPr="00534DF8">
        <w:rPr>
          <w:rStyle w:val="FootnoteReference"/>
          <w:rFonts w:ascii="Times New Roman" w:hAnsi="Times New Roman"/>
          <w:sz w:val="18"/>
          <w:szCs w:val="18"/>
        </w:rPr>
        <w:footnoteRef/>
      </w:r>
      <w:r w:rsidRPr="00534DF8">
        <w:rPr>
          <w:rFonts w:ascii="Times New Roman" w:hAnsi="Times New Roman"/>
          <w:sz w:val="18"/>
          <w:szCs w:val="18"/>
        </w:rPr>
        <w:t xml:space="preserve"> </w:t>
      </w:r>
      <w:r>
        <w:rPr>
          <w:rFonts w:ascii="Times New Roman" w:hAnsi="Times New Roman"/>
          <w:sz w:val="18"/>
          <w:szCs w:val="18"/>
        </w:rPr>
        <w:t xml:space="preserve"> The Canadian data has all 9 disaggregated mvh com/ind categories.  The U.S. data has 8 disaggregated categories, 7 coinciding with 7 of the required nine.  The 8</w:t>
      </w:r>
      <w:r w:rsidRPr="002C2E40">
        <w:rPr>
          <w:rFonts w:ascii="Times New Roman" w:hAnsi="Times New Roman"/>
          <w:sz w:val="18"/>
          <w:szCs w:val="18"/>
          <w:vertAlign w:val="superscript"/>
        </w:rPr>
        <w:t>th</w:t>
      </w:r>
      <w:r>
        <w:rPr>
          <w:rFonts w:ascii="Times New Roman" w:hAnsi="Times New Roman"/>
          <w:sz w:val="18"/>
          <w:szCs w:val="18"/>
        </w:rPr>
        <w:t xml:space="preserve"> U.S. category is an aggregate of 2 or our required categories:</w:t>
      </w:r>
      <w:r w:rsidRPr="002C2E40">
        <w:rPr>
          <w:rFonts w:ascii="Times New Roman" w:hAnsi="Times New Roman"/>
          <w:sz w:val="18"/>
          <w:szCs w:val="18"/>
        </w:rPr>
        <w:t xml:space="preserve"> Motor vehicle steering, suspension component manufacturing and Motor vehicle brakes and brake systems</w:t>
      </w:r>
      <w:r>
        <w:rPr>
          <w:rFonts w:ascii="Times New Roman" w:hAnsi="Times New Roman"/>
          <w:sz w:val="18"/>
          <w:szCs w:val="18"/>
        </w:rPr>
        <w:t>.  As a preliminary maneuver we split the U.S. input-output</w:t>
      </w:r>
      <w:r w:rsidRPr="002C2E40">
        <w:rPr>
          <w:rFonts w:ascii="Times New Roman" w:hAnsi="Times New Roman"/>
          <w:sz w:val="18"/>
          <w:szCs w:val="18"/>
        </w:rPr>
        <w:t xml:space="preserve"> </w:t>
      </w:r>
      <w:r>
        <w:rPr>
          <w:rFonts w:ascii="Times New Roman" w:hAnsi="Times New Roman"/>
          <w:sz w:val="18"/>
          <w:szCs w:val="18"/>
        </w:rPr>
        <w:t>data for his 8</w:t>
      </w:r>
      <w:r w:rsidRPr="002C2E40">
        <w:rPr>
          <w:rFonts w:ascii="Times New Roman" w:hAnsi="Times New Roman"/>
          <w:sz w:val="18"/>
          <w:szCs w:val="18"/>
          <w:vertAlign w:val="superscript"/>
        </w:rPr>
        <w:t>th</w:t>
      </w:r>
      <w:r>
        <w:rPr>
          <w:rFonts w:ascii="Times New Roman" w:hAnsi="Times New Roman"/>
          <w:sz w:val="18"/>
          <w:szCs w:val="18"/>
        </w:rPr>
        <w:t xml:space="preserve"> category into the 2 required categories using Canadian shares.  </w:t>
      </w:r>
    </w:p>
  </w:footnote>
  <w:footnote w:id="10">
    <w:p w:rsidR="008D67C4" w:rsidRPr="00500BB7" w:rsidRDefault="008D67C4" w:rsidP="0077254E">
      <w:pPr>
        <w:pStyle w:val="FootnoteText"/>
        <w:rPr>
          <w:rFonts w:ascii="Times New Roman" w:hAnsi="Times New Roman"/>
          <w:sz w:val="18"/>
          <w:szCs w:val="18"/>
        </w:rPr>
      </w:pPr>
      <w:r w:rsidRPr="00500BB7">
        <w:rPr>
          <w:rStyle w:val="FootnoteReference"/>
          <w:rFonts w:ascii="Times New Roman" w:hAnsi="Times New Roman"/>
          <w:sz w:val="18"/>
          <w:szCs w:val="18"/>
        </w:rPr>
        <w:footnoteRef/>
      </w:r>
      <w:r w:rsidRPr="00500BB7">
        <w:rPr>
          <w:rFonts w:ascii="Times New Roman" w:hAnsi="Times New Roman"/>
          <w:sz w:val="18"/>
          <w:szCs w:val="18"/>
        </w:rPr>
        <w:t xml:space="preserve"> This concordance is set by The Office in email communication, 13 August 2018. </w:t>
      </w:r>
    </w:p>
  </w:footnote>
  <w:footnote w:id="11">
    <w:p w:rsidR="008D67C4" w:rsidRPr="002F00E4" w:rsidRDefault="008D67C4" w:rsidP="00FA4245">
      <w:pPr>
        <w:pStyle w:val="FootnoteText"/>
        <w:rPr>
          <w:rFonts w:ascii="Times New Roman" w:hAnsi="Times New Roman"/>
          <w:sz w:val="18"/>
          <w:szCs w:val="18"/>
          <w:lang w:val="en-AU"/>
        </w:rPr>
      </w:pPr>
      <w:r w:rsidRPr="002F00E4">
        <w:rPr>
          <w:rStyle w:val="FootnoteReference"/>
          <w:rFonts w:ascii="Times New Roman" w:hAnsi="Times New Roman"/>
          <w:sz w:val="18"/>
          <w:szCs w:val="18"/>
        </w:rPr>
        <w:footnoteRef/>
      </w:r>
      <w:r w:rsidRPr="002F00E4">
        <w:rPr>
          <w:rFonts w:ascii="Times New Roman" w:hAnsi="Times New Roman"/>
          <w:sz w:val="18"/>
          <w:szCs w:val="18"/>
        </w:rPr>
        <w:t xml:space="preserve"> </w:t>
      </w:r>
      <w:r w:rsidRPr="002F00E4">
        <w:rPr>
          <w:rFonts w:ascii="Times New Roman" w:hAnsi="Times New Roman"/>
          <w:sz w:val="18"/>
          <w:szCs w:val="18"/>
          <w:lang w:val="en-AU"/>
        </w:rPr>
        <w:t xml:space="preserve">2011 is the year of the starting database of GTAP-MVH. </w:t>
      </w:r>
    </w:p>
  </w:footnote>
  <w:footnote w:id="12">
    <w:p w:rsidR="008D67C4" w:rsidRPr="002F00E4" w:rsidRDefault="008D67C4" w:rsidP="00FA4245">
      <w:pPr>
        <w:pStyle w:val="FootnoteText"/>
        <w:rPr>
          <w:rFonts w:ascii="Times New Roman" w:hAnsi="Times New Roman"/>
          <w:sz w:val="18"/>
          <w:szCs w:val="18"/>
          <w:lang w:val="en-AU"/>
        </w:rPr>
      </w:pPr>
      <w:r w:rsidRPr="002F00E4">
        <w:rPr>
          <w:rStyle w:val="FootnoteReference"/>
          <w:rFonts w:ascii="Times New Roman" w:hAnsi="Times New Roman"/>
          <w:sz w:val="18"/>
          <w:szCs w:val="18"/>
        </w:rPr>
        <w:footnoteRef/>
      </w:r>
      <w:r w:rsidRPr="002F00E4">
        <w:rPr>
          <w:rFonts w:ascii="Times New Roman" w:hAnsi="Times New Roman"/>
          <w:sz w:val="18"/>
          <w:szCs w:val="18"/>
        </w:rPr>
        <w:t xml:space="preserve"> </w:t>
      </w:r>
      <w:r w:rsidRPr="002F00E4">
        <w:rPr>
          <w:rFonts w:ascii="Times New Roman" w:hAnsi="Times New Roman"/>
          <w:sz w:val="18"/>
          <w:szCs w:val="18"/>
          <w:lang w:val="en-AU"/>
        </w:rPr>
        <w:t xml:space="preserve">IMF (2018a) also contains data and projections for population, employment and unemployment </w:t>
      </w:r>
      <w:r>
        <w:rPr>
          <w:rFonts w:ascii="Times New Roman" w:hAnsi="Times New Roman"/>
          <w:sz w:val="18"/>
          <w:szCs w:val="18"/>
          <w:lang w:val="en-AU"/>
        </w:rPr>
        <w:t>to</w:t>
      </w:r>
      <w:r w:rsidRPr="002F00E4">
        <w:rPr>
          <w:rFonts w:ascii="Times New Roman" w:hAnsi="Times New Roman"/>
          <w:sz w:val="18"/>
          <w:szCs w:val="18"/>
          <w:lang w:val="en-AU"/>
        </w:rPr>
        <w:t xml:space="preserve"> 2023. However, the data for employment and unemployment are missing for many countries. Hence we used the World Bank (2018) data.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D34"/>
    <w:multiLevelType w:val="hybridMultilevel"/>
    <w:tmpl w:val="73BA2128"/>
    <w:lvl w:ilvl="0" w:tplc="39142868">
      <w:start w:val="4"/>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2EE1FE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1A18D4"/>
    <w:multiLevelType w:val="hybridMultilevel"/>
    <w:tmpl w:val="82D6AD08"/>
    <w:lvl w:ilvl="0" w:tplc="C2D2AA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9A1C33"/>
    <w:multiLevelType w:val="hybridMultilevel"/>
    <w:tmpl w:val="F8961C7C"/>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6A5A91"/>
    <w:multiLevelType w:val="hybridMultilevel"/>
    <w:tmpl w:val="51582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D6A87"/>
    <w:multiLevelType w:val="hybridMultilevel"/>
    <w:tmpl w:val="434872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08073C"/>
    <w:multiLevelType w:val="multilevel"/>
    <w:tmpl w:val="8DEE51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283918"/>
    <w:multiLevelType w:val="hybridMultilevel"/>
    <w:tmpl w:val="A380EDC4"/>
    <w:lvl w:ilvl="0" w:tplc="474A2F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884BF4"/>
    <w:multiLevelType w:val="hybridMultilevel"/>
    <w:tmpl w:val="073A7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1449D"/>
    <w:multiLevelType w:val="hybridMultilevel"/>
    <w:tmpl w:val="F8961C7C"/>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D072845"/>
    <w:multiLevelType w:val="hybridMultilevel"/>
    <w:tmpl w:val="3E964A38"/>
    <w:lvl w:ilvl="0" w:tplc="5E1AA68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5965C5"/>
    <w:multiLevelType w:val="hybridMultilevel"/>
    <w:tmpl w:val="8AE8558C"/>
    <w:lvl w:ilvl="0" w:tplc="A1B8B920">
      <w:start w:val="1"/>
      <w:numFmt w:val="decimal"/>
      <w:lvlText w:val="%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D23812"/>
    <w:multiLevelType w:val="hybridMultilevel"/>
    <w:tmpl w:val="DE8C19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6E04B4"/>
    <w:multiLevelType w:val="hybridMultilevel"/>
    <w:tmpl w:val="40FC82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601BEF"/>
    <w:multiLevelType w:val="multilevel"/>
    <w:tmpl w:val="C1267510"/>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03126BD"/>
    <w:multiLevelType w:val="multilevel"/>
    <w:tmpl w:val="A03225B2"/>
    <w:lvl w:ilvl="0">
      <w:start w:val="1"/>
      <w:numFmt w:val="decimal"/>
      <w:lvlText w:val="%1"/>
      <w:lvlJc w:val="left"/>
      <w:pPr>
        <w:ind w:left="432" w:hanging="432"/>
      </w:pPr>
    </w:lvl>
    <w:lvl w:ilvl="1">
      <w:start w:val="1"/>
      <w:numFmt w:val="decimal"/>
      <w:lvlText w:val="%1.%2"/>
      <w:lvlJc w:val="left"/>
      <w:pPr>
        <w:ind w:left="426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5DF1B0E"/>
    <w:multiLevelType w:val="hybridMultilevel"/>
    <w:tmpl w:val="4E8E2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431E33"/>
    <w:multiLevelType w:val="hybridMultilevel"/>
    <w:tmpl w:val="8E8E42A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5AEB4082"/>
    <w:multiLevelType w:val="hybridMultilevel"/>
    <w:tmpl w:val="DFDCA9C0"/>
    <w:lvl w:ilvl="0" w:tplc="1098DA60">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7A66D8"/>
    <w:multiLevelType w:val="hybridMultilevel"/>
    <w:tmpl w:val="219CA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D46D3A"/>
    <w:multiLevelType w:val="hybridMultilevel"/>
    <w:tmpl w:val="2F9CD7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11D6338"/>
    <w:multiLevelType w:val="hybridMultilevel"/>
    <w:tmpl w:val="61F0C0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5941AFC"/>
    <w:multiLevelType w:val="hybridMultilevel"/>
    <w:tmpl w:val="FBF690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7573EC5"/>
    <w:multiLevelType w:val="hybridMultilevel"/>
    <w:tmpl w:val="082018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9830F40"/>
    <w:multiLevelType w:val="multilevel"/>
    <w:tmpl w:val="9620DE7A"/>
    <w:lvl w:ilvl="0">
      <w:start w:val="1"/>
      <w:numFmt w:val="decimal"/>
      <w:pStyle w:val="Heading1"/>
      <w:lvlText w:val="%1"/>
      <w:lvlJc w:val="left"/>
      <w:pPr>
        <w:ind w:left="432" w:hanging="432"/>
      </w:pPr>
    </w:lvl>
    <w:lvl w:ilvl="1">
      <w:start w:val="1"/>
      <w:numFmt w:val="decimal"/>
      <w:pStyle w:val="Heading2"/>
      <w:lvlText w:val="%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0FB1C3D"/>
    <w:multiLevelType w:val="hybridMultilevel"/>
    <w:tmpl w:val="21065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43334D"/>
    <w:multiLevelType w:val="hybridMultilevel"/>
    <w:tmpl w:val="8BD046B8"/>
    <w:lvl w:ilvl="0" w:tplc="FDD0C068">
      <w:start w:val="1"/>
      <w:numFmt w:val="decimal"/>
      <w:lvlText w:val="Step %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7FF5194"/>
    <w:multiLevelType w:val="multilevel"/>
    <w:tmpl w:val="05D4162A"/>
    <w:lvl w:ilvl="0">
      <w:start w:val="1"/>
      <w:numFmt w:val="decimal"/>
      <w:lvlText w:val="%1."/>
      <w:lvlJc w:val="left"/>
      <w:pPr>
        <w:ind w:left="930" w:hanging="360"/>
      </w:pPr>
      <w:rPr>
        <w:rFonts w:hint="default"/>
      </w:rPr>
    </w:lvl>
    <w:lvl w:ilvl="1">
      <w:start w:val="1"/>
      <w:numFmt w:val="decimal"/>
      <w:isLgl/>
      <w:lvlText w:val="%1.%2"/>
      <w:lvlJc w:val="left"/>
      <w:pPr>
        <w:ind w:left="2115" w:hanging="420"/>
      </w:pPr>
      <w:rPr>
        <w:rFonts w:hint="default"/>
      </w:rPr>
    </w:lvl>
    <w:lvl w:ilvl="2">
      <w:start w:val="1"/>
      <w:numFmt w:val="decimal"/>
      <w:isLgl/>
      <w:lvlText w:val="%1.%2.%3"/>
      <w:lvlJc w:val="left"/>
      <w:pPr>
        <w:ind w:left="3540" w:hanging="720"/>
      </w:pPr>
      <w:rPr>
        <w:rFonts w:hint="default"/>
      </w:rPr>
    </w:lvl>
    <w:lvl w:ilvl="3">
      <w:start w:val="1"/>
      <w:numFmt w:val="decimal"/>
      <w:isLgl/>
      <w:lvlText w:val="%1.%2.%3.%4"/>
      <w:lvlJc w:val="left"/>
      <w:pPr>
        <w:ind w:left="4665" w:hanging="720"/>
      </w:pPr>
      <w:rPr>
        <w:rFonts w:hint="default"/>
      </w:rPr>
    </w:lvl>
    <w:lvl w:ilvl="4">
      <w:start w:val="1"/>
      <w:numFmt w:val="decimal"/>
      <w:isLgl/>
      <w:lvlText w:val="%1.%2.%3.%4.%5"/>
      <w:lvlJc w:val="left"/>
      <w:pPr>
        <w:ind w:left="6150" w:hanging="1080"/>
      </w:pPr>
      <w:rPr>
        <w:rFonts w:hint="default"/>
      </w:rPr>
    </w:lvl>
    <w:lvl w:ilvl="5">
      <w:start w:val="1"/>
      <w:numFmt w:val="decimal"/>
      <w:isLgl/>
      <w:lvlText w:val="%1.%2.%3.%4.%5.%6"/>
      <w:lvlJc w:val="left"/>
      <w:pPr>
        <w:ind w:left="7275" w:hanging="108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9885" w:hanging="1440"/>
      </w:pPr>
      <w:rPr>
        <w:rFonts w:hint="default"/>
      </w:rPr>
    </w:lvl>
    <w:lvl w:ilvl="8">
      <w:start w:val="1"/>
      <w:numFmt w:val="decimal"/>
      <w:isLgl/>
      <w:lvlText w:val="%1.%2.%3.%4.%5.%6.%7.%8.%9"/>
      <w:lvlJc w:val="left"/>
      <w:pPr>
        <w:ind w:left="11370" w:hanging="1800"/>
      </w:pPr>
      <w:rPr>
        <w:rFonts w:hint="default"/>
      </w:rPr>
    </w:lvl>
  </w:abstractNum>
  <w:abstractNum w:abstractNumId="28" w15:restartNumberingAfterBreak="0">
    <w:nsid w:val="7B595E69"/>
    <w:multiLevelType w:val="hybridMultilevel"/>
    <w:tmpl w:val="B40255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D0E67ED"/>
    <w:multiLevelType w:val="hybridMultilevel"/>
    <w:tmpl w:val="EC1C8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12"/>
  </w:num>
  <w:num w:numId="4">
    <w:abstractNumId w:val="19"/>
  </w:num>
  <w:num w:numId="5">
    <w:abstractNumId w:val="5"/>
  </w:num>
  <w:num w:numId="6">
    <w:abstractNumId w:val="28"/>
  </w:num>
  <w:num w:numId="7">
    <w:abstractNumId w:val="22"/>
  </w:num>
  <w:num w:numId="8">
    <w:abstractNumId w:val="27"/>
  </w:num>
  <w:num w:numId="9">
    <w:abstractNumId w:val="7"/>
  </w:num>
  <w:num w:numId="10">
    <w:abstractNumId w:val="15"/>
  </w:num>
  <w:num w:numId="11">
    <w:abstractNumId w:val="3"/>
  </w:num>
  <w:num w:numId="12">
    <w:abstractNumId w:val="4"/>
  </w:num>
  <w:num w:numId="13">
    <w:abstractNumId w:val="16"/>
  </w:num>
  <w:num w:numId="14">
    <w:abstractNumId w:val="13"/>
  </w:num>
  <w:num w:numId="15">
    <w:abstractNumId w:val="29"/>
  </w:num>
  <w:num w:numId="16">
    <w:abstractNumId w:val="17"/>
  </w:num>
  <w:num w:numId="17">
    <w:abstractNumId w:val="18"/>
  </w:num>
  <w:num w:numId="18">
    <w:abstractNumId w:val="26"/>
  </w:num>
  <w:num w:numId="19">
    <w:abstractNumId w:val="21"/>
  </w:num>
  <w:num w:numId="20">
    <w:abstractNumId w:val="23"/>
  </w:num>
  <w:num w:numId="21">
    <w:abstractNumId w:val="20"/>
  </w:num>
  <w:num w:numId="22">
    <w:abstractNumId w:val="8"/>
  </w:num>
  <w:num w:numId="23">
    <w:abstractNumId w:val="0"/>
  </w:num>
  <w:num w:numId="24">
    <w:abstractNumId w:val="1"/>
  </w:num>
  <w:num w:numId="25">
    <w:abstractNumId w:val="6"/>
  </w:num>
  <w:num w:numId="26">
    <w:abstractNumId w:val="14"/>
  </w:num>
  <w:num w:numId="27">
    <w:abstractNumId w:val="9"/>
  </w:num>
  <w:num w:numId="28">
    <w:abstractNumId w:val="2"/>
  </w:num>
  <w:num w:numId="29">
    <w:abstractNumId w:val="10"/>
  </w:num>
  <w:num w:numId="3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645"/>
    <w:rsid w:val="000033A7"/>
    <w:rsid w:val="00003610"/>
    <w:rsid w:val="00003669"/>
    <w:rsid w:val="00007170"/>
    <w:rsid w:val="0000783D"/>
    <w:rsid w:val="00011264"/>
    <w:rsid w:val="00011CD6"/>
    <w:rsid w:val="00020984"/>
    <w:rsid w:val="000244A3"/>
    <w:rsid w:val="0002598B"/>
    <w:rsid w:val="00026D76"/>
    <w:rsid w:val="00031D9F"/>
    <w:rsid w:val="00031FDA"/>
    <w:rsid w:val="00033973"/>
    <w:rsid w:val="0003450D"/>
    <w:rsid w:val="0004104F"/>
    <w:rsid w:val="00041BF4"/>
    <w:rsid w:val="00043830"/>
    <w:rsid w:val="00046E1C"/>
    <w:rsid w:val="00050DE8"/>
    <w:rsid w:val="0006120F"/>
    <w:rsid w:val="00064946"/>
    <w:rsid w:val="00071F8E"/>
    <w:rsid w:val="00072DEE"/>
    <w:rsid w:val="00073430"/>
    <w:rsid w:val="00082443"/>
    <w:rsid w:val="00087475"/>
    <w:rsid w:val="00092192"/>
    <w:rsid w:val="00094F59"/>
    <w:rsid w:val="000A030C"/>
    <w:rsid w:val="000A3649"/>
    <w:rsid w:val="000B563B"/>
    <w:rsid w:val="000B7873"/>
    <w:rsid w:val="000C09BA"/>
    <w:rsid w:val="000C205A"/>
    <w:rsid w:val="000C26CE"/>
    <w:rsid w:val="000C46E1"/>
    <w:rsid w:val="000C77A2"/>
    <w:rsid w:val="000D0641"/>
    <w:rsid w:val="000D0997"/>
    <w:rsid w:val="000D795D"/>
    <w:rsid w:val="000E2E37"/>
    <w:rsid w:val="000E3CA0"/>
    <w:rsid w:val="000E441C"/>
    <w:rsid w:val="000E59BC"/>
    <w:rsid w:val="000E7A00"/>
    <w:rsid w:val="000F09E1"/>
    <w:rsid w:val="000F57E0"/>
    <w:rsid w:val="00107A7B"/>
    <w:rsid w:val="00122077"/>
    <w:rsid w:val="001224C4"/>
    <w:rsid w:val="00130579"/>
    <w:rsid w:val="00132764"/>
    <w:rsid w:val="001366DF"/>
    <w:rsid w:val="00140432"/>
    <w:rsid w:val="001430E7"/>
    <w:rsid w:val="0014609C"/>
    <w:rsid w:val="001501F1"/>
    <w:rsid w:val="00155F6D"/>
    <w:rsid w:val="00157483"/>
    <w:rsid w:val="00160736"/>
    <w:rsid w:val="00160FA7"/>
    <w:rsid w:val="00170380"/>
    <w:rsid w:val="00172148"/>
    <w:rsid w:val="00172AC2"/>
    <w:rsid w:val="0017392E"/>
    <w:rsid w:val="001774FC"/>
    <w:rsid w:val="001861C8"/>
    <w:rsid w:val="0019067E"/>
    <w:rsid w:val="001972C0"/>
    <w:rsid w:val="001A7730"/>
    <w:rsid w:val="001B19F0"/>
    <w:rsid w:val="001B27B6"/>
    <w:rsid w:val="001B4F92"/>
    <w:rsid w:val="001C43C0"/>
    <w:rsid w:val="001C7B66"/>
    <w:rsid w:val="001D2715"/>
    <w:rsid w:val="001D2FBC"/>
    <w:rsid w:val="001D591D"/>
    <w:rsid w:val="001D71E8"/>
    <w:rsid w:val="001E0DFA"/>
    <w:rsid w:val="001E1295"/>
    <w:rsid w:val="001E299B"/>
    <w:rsid w:val="001E2F30"/>
    <w:rsid w:val="001E6808"/>
    <w:rsid w:val="001E698E"/>
    <w:rsid w:val="001E7560"/>
    <w:rsid w:val="001F1FFF"/>
    <w:rsid w:val="001F4FFE"/>
    <w:rsid w:val="001F5271"/>
    <w:rsid w:val="001F7F4A"/>
    <w:rsid w:val="00204D0C"/>
    <w:rsid w:val="00207384"/>
    <w:rsid w:val="00221466"/>
    <w:rsid w:val="00221EFC"/>
    <w:rsid w:val="002232FC"/>
    <w:rsid w:val="00225D00"/>
    <w:rsid w:val="00226134"/>
    <w:rsid w:val="00231F3B"/>
    <w:rsid w:val="00236B71"/>
    <w:rsid w:val="0024300D"/>
    <w:rsid w:val="00245701"/>
    <w:rsid w:val="002472D4"/>
    <w:rsid w:val="002515B8"/>
    <w:rsid w:val="00252E10"/>
    <w:rsid w:val="00263A50"/>
    <w:rsid w:val="002643D8"/>
    <w:rsid w:val="00264E35"/>
    <w:rsid w:val="002650A1"/>
    <w:rsid w:val="002728A9"/>
    <w:rsid w:val="00277E49"/>
    <w:rsid w:val="00280A5F"/>
    <w:rsid w:val="00282FCE"/>
    <w:rsid w:val="00287B62"/>
    <w:rsid w:val="00292A3D"/>
    <w:rsid w:val="00296008"/>
    <w:rsid w:val="00296C86"/>
    <w:rsid w:val="00297636"/>
    <w:rsid w:val="002A0A55"/>
    <w:rsid w:val="002A15AE"/>
    <w:rsid w:val="002A1F65"/>
    <w:rsid w:val="002A6405"/>
    <w:rsid w:val="002B1D37"/>
    <w:rsid w:val="002B4EF8"/>
    <w:rsid w:val="002B67C0"/>
    <w:rsid w:val="002C1C03"/>
    <w:rsid w:val="002C2E40"/>
    <w:rsid w:val="002C32E5"/>
    <w:rsid w:val="002C4A9C"/>
    <w:rsid w:val="002C4DC4"/>
    <w:rsid w:val="002C6B52"/>
    <w:rsid w:val="002D660C"/>
    <w:rsid w:val="002E0C24"/>
    <w:rsid w:val="002E267D"/>
    <w:rsid w:val="002E3597"/>
    <w:rsid w:val="002E4C30"/>
    <w:rsid w:val="002E7ABD"/>
    <w:rsid w:val="002E7E4D"/>
    <w:rsid w:val="002E7EDE"/>
    <w:rsid w:val="002F00E4"/>
    <w:rsid w:val="002F0BBC"/>
    <w:rsid w:val="002F0BC6"/>
    <w:rsid w:val="002F137F"/>
    <w:rsid w:val="002F211A"/>
    <w:rsid w:val="002F2337"/>
    <w:rsid w:val="003037FB"/>
    <w:rsid w:val="00306CE2"/>
    <w:rsid w:val="00313ABE"/>
    <w:rsid w:val="003167BE"/>
    <w:rsid w:val="00316AED"/>
    <w:rsid w:val="00323360"/>
    <w:rsid w:val="003249EE"/>
    <w:rsid w:val="00332AB8"/>
    <w:rsid w:val="00333301"/>
    <w:rsid w:val="00342D2E"/>
    <w:rsid w:val="0034492B"/>
    <w:rsid w:val="0034602C"/>
    <w:rsid w:val="00346BFC"/>
    <w:rsid w:val="003472A2"/>
    <w:rsid w:val="00347A7B"/>
    <w:rsid w:val="00350020"/>
    <w:rsid w:val="00351B27"/>
    <w:rsid w:val="00355082"/>
    <w:rsid w:val="00355CE9"/>
    <w:rsid w:val="00355F68"/>
    <w:rsid w:val="00357B40"/>
    <w:rsid w:val="00361B23"/>
    <w:rsid w:val="00371021"/>
    <w:rsid w:val="003717A7"/>
    <w:rsid w:val="00375476"/>
    <w:rsid w:val="00380A96"/>
    <w:rsid w:val="00385003"/>
    <w:rsid w:val="00387293"/>
    <w:rsid w:val="00387CFF"/>
    <w:rsid w:val="00387E39"/>
    <w:rsid w:val="00390776"/>
    <w:rsid w:val="003914AA"/>
    <w:rsid w:val="00396EE6"/>
    <w:rsid w:val="003A03C0"/>
    <w:rsid w:val="003A3309"/>
    <w:rsid w:val="003B0DE6"/>
    <w:rsid w:val="003B7386"/>
    <w:rsid w:val="003C10BD"/>
    <w:rsid w:val="003C433F"/>
    <w:rsid w:val="003C56C1"/>
    <w:rsid w:val="003C5EF3"/>
    <w:rsid w:val="003C7AC9"/>
    <w:rsid w:val="003C7DC8"/>
    <w:rsid w:val="003D3D7E"/>
    <w:rsid w:val="003D46D6"/>
    <w:rsid w:val="003D4A5F"/>
    <w:rsid w:val="003D5A40"/>
    <w:rsid w:val="003D734E"/>
    <w:rsid w:val="003E45E1"/>
    <w:rsid w:val="003E4969"/>
    <w:rsid w:val="003F1A05"/>
    <w:rsid w:val="003F3A69"/>
    <w:rsid w:val="003F69CC"/>
    <w:rsid w:val="003F6CB7"/>
    <w:rsid w:val="003F7ADB"/>
    <w:rsid w:val="004016C4"/>
    <w:rsid w:val="00402E9A"/>
    <w:rsid w:val="00404340"/>
    <w:rsid w:val="00404EB4"/>
    <w:rsid w:val="00406809"/>
    <w:rsid w:val="004069EB"/>
    <w:rsid w:val="00415976"/>
    <w:rsid w:val="00420879"/>
    <w:rsid w:val="00426D06"/>
    <w:rsid w:val="00431A8E"/>
    <w:rsid w:val="00442870"/>
    <w:rsid w:val="004434EB"/>
    <w:rsid w:val="00443F6E"/>
    <w:rsid w:val="00444D87"/>
    <w:rsid w:val="00452659"/>
    <w:rsid w:val="00453746"/>
    <w:rsid w:val="00457EFF"/>
    <w:rsid w:val="00462E41"/>
    <w:rsid w:val="004633E8"/>
    <w:rsid w:val="0046595B"/>
    <w:rsid w:val="004668F5"/>
    <w:rsid w:val="00471D60"/>
    <w:rsid w:val="00473551"/>
    <w:rsid w:val="00474859"/>
    <w:rsid w:val="00475162"/>
    <w:rsid w:val="00475925"/>
    <w:rsid w:val="004768A2"/>
    <w:rsid w:val="0048275E"/>
    <w:rsid w:val="00482C3B"/>
    <w:rsid w:val="004850D4"/>
    <w:rsid w:val="00495CE8"/>
    <w:rsid w:val="004A07EF"/>
    <w:rsid w:val="004A6964"/>
    <w:rsid w:val="004B0503"/>
    <w:rsid w:val="004B1F42"/>
    <w:rsid w:val="004B28C4"/>
    <w:rsid w:val="004B346F"/>
    <w:rsid w:val="004B43B8"/>
    <w:rsid w:val="004B7978"/>
    <w:rsid w:val="004C12BC"/>
    <w:rsid w:val="004C20CC"/>
    <w:rsid w:val="004C2114"/>
    <w:rsid w:val="004C4A02"/>
    <w:rsid w:val="004C64AB"/>
    <w:rsid w:val="004C6A3E"/>
    <w:rsid w:val="004C7E33"/>
    <w:rsid w:val="004D023D"/>
    <w:rsid w:val="004D0B0A"/>
    <w:rsid w:val="004D1C3F"/>
    <w:rsid w:val="004D3239"/>
    <w:rsid w:val="004D7837"/>
    <w:rsid w:val="004E28CC"/>
    <w:rsid w:val="004E5A27"/>
    <w:rsid w:val="004E69E1"/>
    <w:rsid w:val="004F1A29"/>
    <w:rsid w:val="00500760"/>
    <w:rsid w:val="00500BB7"/>
    <w:rsid w:val="005029B2"/>
    <w:rsid w:val="005148E6"/>
    <w:rsid w:val="00515399"/>
    <w:rsid w:val="00522275"/>
    <w:rsid w:val="00524FED"/>
    <w:rsid w:val="00534232"/>
    <w:rsid w:val="00534DF8"/>
    <w:rsid w:val="0053577F"/>
    <w:rsid w:val="00540CA5"/>
    <w:rsid w:val="005418BB"/>
    <w:rsid w:val="0054456C"/>
    <w:rsid w:val="0054718C"/>
    <w:rsid w:val="00550121"/>
    <w:rsid w:val="00550E87"/>
    <w:rsid w:val="00551EA9"/>
    <w:rsid w:val="0055392F"/>
    <w:rsid w:val="00555F73"/>
    <w:rsid w:val="00565CCD"/>
    <w:rsid w:val="005862CD"/>
    <w:rsid w:val="00592919"/>
    <w:rsid w:val="005931FF"/>
    <w:rsid w:val="00596B58"/>
    <w:rsid w:val="005970B3"/>
    <w:rsid w:val="005A02CE"/>
    <w:rsid w:val="005A098D"/>
    <w:rsid w:val="005A2431"/>
    <w:rsid w:val="005A2831"/>
    <w:rsid w:val="005A355E"/>
    <w:rsid w:val="005A5E2F"/>
    <w:rsid w:val="005B004E"/>
    <w:rsid w:val="005B09BD"/>
    <w:rsid w:val="005B2F80"/>
    <w:rsid w:val="005B39E9"/>
    <w:rsid w:val="005B68D8"/>
    <w:rsid w:val="005C0DE5"/>
    <w:rsid w:val="005C16C0"/>
    <w:rsid w:val="005C543F"/>
    <w:rsid w:val="005C5C7A"/>
    <w:rsid w:val="005C66B7"/>
    <w:rsid w:val="005D5752"/>
    <w:rsid w:val="005D7DBF"/>
    <w:rsid w:val="005E293F"/>
    <w:rsid w:val="005E2A32"/>
    <w:rsid w:val="005E4A32"/>
    <w:rsid w:val="005E4F0B"/>
    <w:rsid w:val="005F293F"/>
    <w:rsid w:val="005F43AC"/>
    <w:rsid w:val="005F5E09"/>
    <w:rsid w:val="0060007A"/>
    <w:rsid w:val="00600BCF"/>
    <w:rsid w:val="006034BD"/>
    <w:rsid w:val="00605989"/>
    <w:rsid w:val="00613C45"/>
    <w:rsid w:val="006143AB"/>
    <w:rsid w:val="00614829"/>
    <w:rsid w:val="0061498E"/>
    <w:rsid w:val="0061661D"/>
    <w:rsid w:val="00616834"/>
    <w:rsid w:val="006203C4"/>
    <w:rsid w:val="006270A7"/>
    <w:rsid w:val="0062735E"/>
    <w:rsid w:val="0063170B"/>
    <w:rsid w:val="00636F72"/>
    <w:rsid w:val="00640EE0"/>
    <w:rsid w:val="006411C3"/>
    <w:rsid w:val="00642AF1"/>
    <w:rsid w:val="00657F2C"/>
    <w:rsid w:val="00660DAC"/>
    <w:rsid w:val="006618E5"/>
    <w:rsid w:val="00663A0F"/>
    <w:rsid w:val="0066642A"/>
    <w:rsid w:val="00671011"/>
    <w:rsid w:val="00674F1C"/>
    <w:rsid w:val="00677D2A"/>
    <w:rsid w:val="006805F5"/>
    <w:rsid w:val="00683109"/>
    <w:rsid w:val="0068394A"/>
    <w:rsid w:val="006844C2"/>
    <w:rsid w:val="006854C6"/>
    <w:rsid w:val="00691A0E"/>
    <w:rsid w:val="006A0838"/>
    <w:rsid w:val="006A5F49"/>
    <w:rsid w:val="006A79C3"/>
    <w:rsid w:val="006B17CC"/>
    <w:rsid w:val="006B3E94"/>
    <w:rsid w:val="006B62CE"/>
    <w:rsid w:val="006C14AD"/>
    <w:rsid w:val="006C4E1E"/>
    <w:rsid w:val="006C6792"/>
    <w:rsid w:val="006C701A"/>
    <w:rsid w:val="006D34BE"/>
    <w:rsid w:val="006D7222"/>
    <w:rsid w:val="006E245C"/>
    <w:rsid w:val="006E26B4"/>
    <w:rsid w:val="006E3A87"/>
    <w:rsid w:val="006E783E"/>
    <w:rsid w:val="0070021D"/>
    <w:rsid w:val="00700EE7"/>
    <w:rsid w:val="007042C4"/>
    <w:rsid w:val="007127B4"/>
    <w:rsid w:val="00712A06"/>
    <w:rsid w:val="00712C02"/>
    <w:rsid w:val="00714456"/>
    <w:rsid w:val="00720988"/>
    <w:rsid w:val="00721C49"/>
    <w:rsid w:val="00722DAE"/>
    <w:rsid w:val="00722E6A"/>
    <w:rsid w:val="00724429"/>
    <w:rsid w:val="007264CE"/>
    <w:rsid w:val="00726CDA"/>
    <w:rsid w:val="007324AC"/>
    <w:rsid w:val="0074301B"/>
    <w:rsid w:val="00743863"/>
    <w:rsid w:val="00750462"/>
    <w:rsid w:val="007533B2"/>
    <w:rsid w:val="007543C4"/>
    <w:rsid w:val="0075458C"/>
    <w:rsid w:val="007573B1"/>
    <w:rsid w:val="0077254E"/>
    <w:rsid w:val="00777919"/>
    <w:rsid w:val="007806BB"/>
    <w:rsid w:val="00781291"/>
    <w:rsid w:val="007812C0"/>
    <w:rsid w:val="007846DC"/>
    <w:rsid w:val="007860DA"/>
    <w:rsid w:val="007900DA"/>
    <w:rsid w:val="00793515"/>
    <w:rsid w:val="007A5B4B"/>
    <w:rsid w:val="007A6832"/>
    <w:rsid w:val="007A78CE"/>
    <w:rsid w:val="007B18CE"/>
    <w:rsid w:val="007B3005"/>
    <w:rsid w:val="007B4F82"/>
    <w:rsid w:val="007B6645"/>
    <w:rsid w:val="007B6A6A"/>
    <w:rsid w:val="007C424B"/>
    <w:rsid w:val="007C48D0"/>
    <w:rsid w:val="007D61A4"/>
    <w:rsid w:val="007D6386"/>
    <w:rsid w:val="007E3B8C"/>
    <w:rsid w:val="007E526D"/>
    <w:rsid w:val="007E62C0"/>
    <w:rsid w:val="007F03CB"/>
    <w:rsid w:val="007F13B1"/>
    <w:rsid w:val="007F1B7F"/>
    <w:rsid w:val="00803B51"/>
    <w:rsid w:val="00814692"/>
    <w:rsid w:val="00817455"/>
    <w:rsid w:val="008208BC"/>
    <w:rsid w:val="00822234"/>
    <w:rsid w:val="00823204"/>
    <w:rsid w:val="00827AF2"/>
    <w:rsid w:val="00837D67"/>
    <w:rsid w:val="008405D2"/>
    <w:rsid w:val="00841347"/>
    <w:rsid w:val="008436D1"/>
    <w:rsid w:val="008513DC"/>
    <w:rsid w:val="00854B69"/>
    <w:rsid w:val="00854B72"/>
    <w:rsid w:val="0085600A"/>
    <w:rsid w:val="00856933"/>
    <w:rsid w:val="00861F80"/>
    <w:rsid w:val="00862EFB"/>
    <w:rsid w:val="00865F67"/>
    <w:rsid w:val="00867D30"/>
    <w:rsid w:val="00870218"/>
    <w:rsid w:val="00870A50"/>
    <w:rsid w:val="00880C8C"/>
    <w:rsid w:val="00881ACC"/>
    <w:rsid w:val="00883BE4"/>
    <w:rsid w:val="008916B8"/>
    <w:rsid w:val="00892341"/>
    <w:rsid w:val="00895AAF"/>
    <w:rsid w:val="0089730F"/>
    <w:rsid w:val="008A01F2"/>
    <w:rsid w:val="008A2721"/>
    <w:rsid w:val="008A37D0"/>
    <w:rsid w:val="008B531F"/>
    <w:rsid w:val="008B54F8"/>
    <w:rsid w:val="008B5A41"/>
    <w:rsid w:val="008C103B"/>
    <w:rsid w:val="008C3DCA"/>
    <w:rsid w:val="008C6B64"/>
    <w:rsid w:val="008D67C4"/>
    <w:rsid w:val="008E0232"/>
    <w:rsid w:val="008E1367"/>
    <w:rsid w:val="008E6126"/>
    <w:rsid w:val="008E701F"/>
    <w:rsid w:val="008F082D"/>
    <w:rsid w:val="008F1E89"/>
    <w:rsid w:val="00900FE1"/>
    <w:rsid w:val="0090101C"/>
    <w:rsid w:val="00911CD5"/>
    <w:rsid w:val="009129D9"/>
    <w:rsid w:val="00913096"/>
    <w:rsid w:val="009130FA"/>
    <w:rsid w:val="00915A3E"/>
    <w:rsid w:val="00920778"/>
    <w:rsid w:val="0092334C"/>
    <w:rsid w:val="00925098"/>
    <w:rsid w:val="00933A1D"/>
    <w:rsid w:val="00935681"/>
    <w:rsid w:val="00940530"/>
    <w:rsid w:val="00941EF9"/>
    <w:rsid w:val="00945EBA"/>
    <w:rsid w:val="00947BE2"/>
    <w:rsid w:val="00956573"/>
    <w:rsid w:val="00961569"/>
    <w:rsid w:val="00962307"/>
    <w:rsid w:val="0096617C"/>
    <w:rsid w:val="00967631"/>
    <w:rsid w:val="009676D1"/>
    <w:rsid w:val="00971620"/>
    <w:rsid w:val="00974751"/>
    <w:rsid w:val="00980624"/>
    <w:rsid w:val="00981AD0"/>
    <w:rsid w:val="00982117"/>
    <w:rsid w:val="00983939"/>
    <w:rsid w:val="00987720"/>
    <w:rsid w:val="00991402"/>
    <w:rsid w:val="009B0F74"/>
    <w:rsid w:val="009B160E"/>
    <w:rsid w:val="009B1DE9"/>
    <w:rsid w:val="009B2C57"/>
    <w:rsid w:val="009B3320"/>
    <w:rsid w:val="009B384B"/>
    <w:rsid w:val="009B5ED0"/>
    <w:rsid w:val="009B73AA"/>
    <w:rsid w:val="009C406F"/>
    <w:rsid w:val="009C6662"/>
    <w:rsid w:val="009C7074"/>
    <w:rsid w:val="009D01C6"/>
    <w:rsid w:val="009D155C"/>
    <w:rsid w:val="009D32BB"/>
    <w:rsid w:val="009D3FF2"/>
    <w:rsid w:val="009E2F12"/>
    <w:rsid w:val="009E6B7B"/>
    <w:rsid w:val="009F1531"/>
    <w:rsid w:val="009F1625"/>
    <w:rsid w:val="009F43B7"/>
    <w:rsid w:val="00A00AB1"/>
    <w:rsid w:val="00A00EA5"/>
    <w:rsid w:val="00A0156E"/>
    <w:rsid w:val="00A03D44"/>
    <w:rsid w:val="00A03F99"/>
    <w:rsid w:val="00A05950"/>
    <w:rsid w:val="00A06EB4"/>
    <w:rsid w:val="00A142BB"/>
    <w:rsid w:val="00A1573A"/>
    <w:rsid w:val="00A207BC"/>
    <w:rsid w:val="00A20D8D"/>
    <w:rsid w:val="00A22FCE"/>
    <w:rsid w:val="00A25CB0"/>
    <w:rsid w:val="00A26555"/>
    <w:rsid w:val="00A26A1C"/>
    <w:rsid w:val="00A30749"/>
    <w:rsid w:val="00A3620D"/>
    <w:rsid w:val="00A37C03"/>
    <w:rsid w:val="00A428B9"/>
    <w:rsid w:val="00A46049"/>
    <w:rsid w:val="00A46A1D"/>
    <w:rsid w:val="00A46F0A"/>
    <w:rsid w:val="00A4781E"/>
    <w:rsid w:val="00A500DC"/>
    <w:rsid w:val="00A50E31"/>
    <w:rsid w:val="00A54184"/>
    <w:rsid w:val="00A6780E"/>
    <w:rsid w:val="00A67B44"/>
    <w:rsid w:val="00A710AF"/>
    <w:rsid w:val="00A71919"/>
    <w:rsid w:val="00A724B7"/>
    <w:rsid w:val="00A75DB7"/>
    <w:rsid w:val="00A90C89"/>
    <w:rsid w:val="00A90F55"/>
    <w:rsid w:val="00A91ACE"/>
    <w:rsid w:val="00AA082A"/>
    <w:rsid w:val="00AA28F2"/>
    <w:rsid w:val="00AA4EB3"/>
    <w:rsid w:val="00AA6B6F"/>
    <w:rsid w:val="00AB29D1"/>
    <w:rsid w:val="00AB3052"/>
    <w:rsid w:val="00AB4ED1"/>
    <w:rsid w:val="00AB5E67"/>
    <w:rsid w:val="00AB602E"/>
    <w:rsid w:val="00AB6B16"/>
    <w:rsid w:val="00AB6FB4"/>
    <w:rsid w:val="00AB7B80"/>
    <w:rsid w:val="00AC0636"/>
    <w:rsid w:val="00AC34EA"/>
    <w:rsid w:val="00AC7E29"/>
    <w:rsid w:val="00AD1185"/>
    <w:rsid w:val="00AD66A4"/>
    <w:rsid w:val="00AE0A23"/>
    <w:rsid w:val="00AE1C31"/>
    <w:rsid w:val="00AE2883"/>
    <w:rsid w:val="00AF0562"/>
    <w:rsid w:val="00AF21A1"/>
    <w:rsid w:val="00AF2C8D"/>
    <w:rsid w:val="00AF73F2"/>
    <w:rsid w:val="00B04DA4"/>
    <w:rsid w:val="00B050A8"/>
    <w:rsid w:val="00B067F5"/>
    <w:rsid w:val="00B07444"/>
    <w:rsid w:val="00B107DE"/>
    <w:rsid w:val="00B138D2"/>
    <w:rsid w:val="00B144CA"/>
    <w:rsid w:val="00B21729"/>
    <w:rsid w:val="00B245C2"/>
    <w:rsid w:val="00B2485B"/>
    <w:rsid w:val="00B25664"/>
    <w:rsid w:val="00B257BE"/>
    <w:rsid w:val="00B2718C"/>
    <w:rsid w:val="00B33522"/>
    <w:rsid w:val="00B410BE"/>
    <w:rsid w:val="00B41CC3"/>
    <w:rsid w:val="00B46C2C"/>
    <w:rsid w:val="00B515F0"/>
    <w:rsid w:val="00B534F6"/>
    <w:rsid w:val="00B5788F"/>
    <w:rsid w:val="00B61941"/>
    <w:rsid w:val="00B71BFF"/>
    <w:rsid w:val="00B72300"/>
    <w:rsid w:val="00B74FB9"/>
    <w:rsid w:val="00B76C8E"/>
    <w:rsid w:val="00B76FD7"/>
    <w:rsid w:val="00B77AE2"/>
    <w:rsid w:val="00B83239"/>
    <w:rsid w:val="00B843CF"/>
    <w:rsid w:val="00B901DB"/>
    <w:rsid w:val="00B91817"/>
    <w:rsid w:val="00B93338"/>
    <w:rsid w:val="00B9424C"/>
    <w:rsid w:val="00B95395"/>
    <w:rsid w:val="00B971E2"/>
    <w:rsid w:val="00BA2185"/>
    <w:rsid w:val="00BA2A03"/>
    <w:rsid w:val="00BA454E"/>
    <w:rsid w:val="00BA73CA"/>
    <w:rsid w:val="00BA7F20"/>
    <w:rsid w:val="00BB0DE2"/>
    <w:rsid w:val="00BB6D3E"/>
    <w:rsid w:val="00BB720D"/>
    <w:rsid w:val="00BC011C"/>
    <w:rsid w:val="00BC05A2"/>
    <w:rsid w:val="00BC1337"/>
    <w:rsid w:val="00BC17F5"/>
    <w:rsid w:val="00BC3DB1"/>
    <w:rsid w:val="00BC4F14"/>
    <w:rsid w:val="00BD239B"/>
    <w:rsid w:val="00BD60C8"/>
    <w:rsid w:val="00BE4573"/>
    <w:rsid w:val="00BE55BB"/>
    <w:rsid w:val="00BE753A"/>
    <w:rsid w:val="00BF31CF"/>
    <w:rsid w:val="00BF5571"/>
    <w:rsid w:val="00BF7611"/>
    <w:rsid w:val="00C00267"/>
    <w:rsid w:val="00C03388"/>
    <w:rsid w:val="00C04674"/>
    <w:rsid w:val="00C12015"/>
    <w:rsid w:val="00C15C88"/>
    <w:rsid w:val="00C1610A"/>
    <w:rsid w:val="00C17D1E"/>
    <w:rsid w:val="00C20024"/>
    <w:rsid w:val="00C20C6D"/>
    <w:rsid w:val="00C20CE3"/>
    <w:rsid w:val="00C24A66"/>
    <w:rsid w:val="00C24D10"/>
    <w:rsid w:val="00C318AF"/>
    <w:rsid w:val="00C335E8"/>
    <w:rsid w:val="00C33F07"/>
    <w:rsid w:val="00C41887"/>
    <w:rsid w:val="00C45942"/>
    <w:rsid w:val="00C46A92"/>
    <w:rsid w:val="00C56D4D"/>
    <w:rsid w:val="00C61F2D"/>
    <w:rsid w:val="00C64706"/>
    <w:rsid w:val="00C651AA"/>
    <w:rsid w:val="00C66C4E"/>
    <w:rsid w:val="00C72E18"/>
    <w:rsid w:val="00C73F74"/>
    <w:rsid w:val="00C75417"/>
    <w:rsid w:val="00C75576"/>
    <w:rsid w:val="00C84BB5"/>
    <w:rsid w:val="00C9047D"/>
    <w:rsid w:val="00C913FB"/>
    <w:rsid w:val="00C95B54"/>
    <w:rsid w:val="00C96FE4"/>
    <w:rsid w:val="00CA249A"/>
    <w:rsid w:val="00CA3148"/>
    <w:rsid w:val="00CC158C"/>
    <w:rsid w:val="00CC4BBB"/>
    <w:rsid w:val="00CD04E6"/>
    <w:rsid w:val="00CD177C"/>
    <w:rsid w:val="00CD4C0D"/>
    <w:rsid w:val="00CD5EE5"/>
    <w:rsid w:val="00CD6058"/>
    <w:rsid w:val="00CD6B45"/>
    <w:rsid w:val="00CE0499"/>
    <w:rsid w:val="00CE0925"/>
    <w:rsid w:val="00CE1DDB"/>
    <w:rsid w:val="00CE61C2"/>
    <w:rsid w:val="00CE63EE"/>
    <w:rsid w:val="00CF16F9"/>
    <w:rsid w:val="00D0242B"/>
    <w:rsid w:val="00D02C89"/>
    <w:rsid w:val="00D041EC"/>
    <w:rsid w:val="00D06CB5"/>
    <w:rsid w:val="00D0756E"/>
    <w:rsid w:val="00D10DC9"/>
    <w:rsid w:val="00D10DDE"/>
    <w:rsid w:val="00D1507A"/>
    <w:rsid w:val="00D20C7A"/>
    <w:rsid w:val="00D20E9D"/>
    <w:rsid w:val="00D2361C"/>
    <w:rsid w:val="00D2431C"/>
    <w:rsid w:val="00D30A01"/>
    <w:rsid w:val="00D35A7B"/>
    <w:rsid w:val="00D37224"/>
    <w:rsid w:val="00D50BF9"/>
    <w:rsid w:val="00D567D5"/>
    <w:rsid w:val="00D65EFF"/>
    <w:rsid w:val="00D66B4F"/>
    <w:rsid w:val="00D67EB3"/>
    <w:rsid w:val="00D7270A"/>
    <w:rsid w:val="00D731CA"/>
    <w:rsid w:val="00D757BC"/>
    <w:rsid w:val="00D759A6"/>
    <w:rsid w:val="00D77D78"/>
    <w:rsid w:val="00D90E0A"/>
    <w:rsid w:val="00D9383D"/>
    <w:rsid w:val="00D95795"/>
    <w:rsid w:val="00D9640C"/>
    <w:rsid w:val="00DA7332"/>
    <w:rsid w:val="00DA79C3"/>
    <w:rsid w:val="00DA7DA7"/>
    <w:rsid w:val="00DB088F"/>
    <w:rsid w:val="00DB6148"/>
    <w:rsid w:val="00DB739C"/>
    <w:rsid w:val="00DB7BDF"/>
    <w:rsid w:val="00DC06E8"/>
    <w:rsid w:val="00DC117C"/>
    <w:rsid w:val="00DC18D8"/>
    <w:rsid w:val="00DC4F75"/>
    <w:rsid w:val="00DD3087"/>
    <w:rsid w:val="00DD5252"/>
    <w:rsid w:val="00DD6EC4"/>
    <w:rsid w:val="00DD738F"/>
    <w:rsid w:val="00DE01E9"/>
    <w:rsid w:val="00DE024A"/>
    <w:rsid w:val="00DE6050"/>
    <w:rsid w:val="00DF15E6"/>
    <w:rsid w:val="00DF1F60"/>
    <w:rsid w:val="00DF47C3"/>
    <w:rsid w:val="00DF5247"/>
    <w:rsid w:val="00DF5F57"/>
    <w:rsid w:val="00E00309"/>
    <w:rsid w:val="00E00911"/>
    <w:rsid w:val="00E0207E"/>
    <w:rsid w:val="00E132A9"/>
    <w:rsid w:val="00E13B61"/>
    <w:rsid w:val="00E267A5"/>
    <w:rsid w:val="00E30CDE"/>
    <w:rsid w:val="00E37F9A"/>
    <w:rsid w:val="00E40078"/>
    <w:rsid w:val="00E4137C"/>
    <w:rsid w:val="00E41654"/>
    <w:rsid w:val="00E426CD"/>
    <w:rsid w:val="00E42F0E"/>
    <w:rsid w:val="00E44C96"/>
    <w:rsid w:val="00E4672A"/>
    <w:rsid w:val="00E51ADD"/>
    <w:rsid w:val="00E56B25"/>
    <w:rsid w:val="00E62269"/>
    <w:rsid w:val="00E67A7F"/>
    <w:rsid w:val="00E72CA4"/>
    <w:rsid w:val="00E778FF"/>
    <w:rsid w:val="00E77DBE"/>
    <w:rsid w:val="00E8189A"/>
    <w:rsid w:val="00E828BB"/>
    <w:rsid w:val="00E83576"/>
    <w:rsid w:val="00E83D63"/>
    <w:rsid w:val="00E909FC"/>
    <w:rsid w:val="00E921DC"/>
    <w:rsid w:val="00E9343F"/>
    <w:rsid w:val="00E9350C"/>
    <w:rsid w:val="00E93A38"/>
    <w:rsid w:val="00E94D6B"/>
    <w:rsid w:val="00E94D88"/>
    <w:rsid w:val="00E95B98"/>
    <w:rsid w:val="00E95DF8"/>
    <w:rsid w:val="00EA037B"/>
    <w:rsid w:val="00EA0EF4"/>
    <w:rsid w:val="00EA4719"/>
    <w:rsid w:val="00EA7AF8"/>
    <w:rsid w:val="00EB725E"/>
    <w:rsid w:val="00EC04C7"/>
    <w:rsid w:val="00EC1D07"/>
    <w:rsid w:val="00EC254B"/>
    <w:rsid w:val="00EC4B3E"/>
    <w:rsid w:val="00EC711D"/>
    <w:rsid w:val="00ED04C9"/>
    <w:rsid w:val="00ED2048"/>
    <w:rsid w:val="00ED56B8"/>
    <w:rsid w:val="00ED56D1"/>
    <w:rsid w:val="00EE6BC1"/>
    <w:rsid w:val="00EF1279"/>
    <w:rsid w:val="00EF2661"/>
    <w:rsid w:val="00EF6F1B"/>
    <w:rsid w:val="00F00D74"/>
    <w:rsid w:val="00F01E68"/>
    <w:rsid w:val="00F029EA"/>
    <w:rsid w:val="00F02F43"/>
    <w:rsid w:val="00F04D21"/>
    <w:rsid w:val="00F04F77"/>
    <w:rsid w:val="00F139E6"/>
    <w:rsid w:val="00F143A4"/>
    <w:rsid w:val="00F156EA"/>
    <w:rsid w:val="00F177C6"/>
    <w:rsid w:val="00F25306"/>
    <w:rsid w:val="00F25B10"/>
    <w:rsid w:val="00F26FAB"/>
    <w:rsid w:val="00F30D23"/>
    <w:rsid w:val="00F352F3"/>
    <w:rsid w:val="00F410F6"/>
    <w:rsid w:val="00F50D3F"/>
    <w:rsid w:val="00F50DEF"/>
    <w:rsid w:val="00F50FAC"/>
    <w:rsid w:val="00F534BA"/>
    <w:rsid w:val="00F551AD"/>
    <w:rsid w:val="00F57254"/>
    <w:rsid w:val="00F57DEC"/>
    <w:rsid w:val="00F65A26"/>
    <w:rsid w:val="00F70396"/>
    <w:rsid w:val="00F71D6B"/>
    <w:rsid w:val="00F725D3"/>
    <w:rsid w:val="00F74EA2"/>
    <w:rsid w:val="00F76AAD"/>
    <w:rsid w:val="00F76BB4"/>
    <w:rsid w:val="00F779DB"/>
    <w:rsid w:val="00F818DE"/>
    <w:rsid w:val="00F81F7F"/>
    <w:rsid w:val="00F8367E"/>
    <w:rsid w:val="00F8444C"/>
    <w:rsid w:val="00F858F0"/>
    <w:rsid w:val="00F9145C"/>
    <w:rsid w:val="00FA05B8"/>
    <w:rsid w:val="00FA3C0B"/>
    <w:rsid w:val="00FA4245"/>
    <w:rsid w:val="00FA426A"/>
    <w:rsid w:val="00FB0F62"/>
    <w:rsid w:val="00FB1206"/>
    <w:rsid w:val="00FB16E2"/>
    <w:rsid w:val="00FB3B9F"/>
    <w:rsid w:val="00FB6FD3"/>
    <w:rsid w:val="00FC18A5"/>
    <w:rsid w:val="00FC57D8"/>
    <w:rsid w:val="00FC628D"/>
    <w:rsid w:val="00FD4A31"/>
    <w:rsid w:val="00FD4AC7"/>
    <w:rsid w:val="00FD7ADD"/>
    <w:rsid w:val="00FE2CDB"/>
    <w:rsid w:val="00FE42E8"/>
    <w:rsid w:val="00FE47F5"/>
    <w:rsid w:val="00FE5487"/>
    <w:rsid w:val="00FF277F"/>
    <w:rsid w:val="00FF4295"/>
    <w:rsid w:val="00FF52CA"/>
    <w:rsid w:val="00FF619E"/>
    <w:rsid w:val="00FF6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91C4E"/>
  <w15:chartTrackingRefBased/>
  <w15:docId w15:val="{E8A0800F-665A-45E9-9FE4-80C5A790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73B1"/>
    <w:pPr>
      <w:keepNext/>
      <w:numPr>
        <w:numId w:val="2"/>
      </w:numPr>
      <w:spacing w:before="360" w:line="360" w:lineRule="auto"/>
      <w:jc w:val="both"/>
      <w:outlineLvl w:val="0"/>
    </w:pPr>
    <w:rPr>
      <w:rFonts w:ascii="Cambria" w:eastAsia="Times New Roman" w:hAnsi="Cambria" w:cs="Times New Roman"/>
      <w:b/>
      <w:kern w:val="28"/>
      <w:sz w:val="24"/>
      <w:szCs w:val="20"/>
      <w:lang w:val="en-US"/>
    </w:rPr>
  </w:style>
  <w:style w:type="paragraph" w:styleId="Heading2">
    <w:name w:val="heading 2"/>
    <w:basedOn w:val="Normal"/>
    <w:next w:val="Normal"/>
    <w:link w:val="Heading2Char"/>
    <w:uiPriority w:val="9"/>
    <w:qFormat/>
    <w:rsid w:val="007573B1"/>
    <w:pPr>
      <w:keepNext/>
      <w:widowControl w:val="0"/>
      <w:numPr>
        <w:ilvl w:val="1"/>
        <w:numId w:val="2"/>
      </w:numPr>
      <w:tabs>
        <w:tab w:val="left" w:pos="8730"/>
      </w:tabs>
      <w:spacing w:before="240" w:after="120" w:line="360" w:lineRule="auto"/>
      <w:outlineLvl w:val="1"/>
    </w:pPr>
    <w:rPr>
      <w:rFonts w:cs="Times New Roman"/>
      <w:b/>
      <w:i/>
      <w:sz w:val="24"/>
      <w:szCs w:val="24"/>
      <w:lang w:val="en-US"/>
    </w:rPr>
  </w:style>
  <w:style w:type="paragraph" w:styleId="Heading3">
    <w:name w:val="heading 3"/>
    <w:basedOn w:val="Normal"/>
    <w:next w:val="Normal"/>
    <w:link w:val="Heading3Char"/>
    <w:uiPriority w:val="9"/>
    <w:unhideWhenUsed/>
    <w:qFormat/>
    <w:rsid w:val="007573B1"/>
    <w:pPr>
      <w:keepNext/>
      <w:keepLines/>
      <w:numPr>
        <w:ilvl w:val="2"/>
        <w:numId w:val="2"/>
      </w:numPr>
      <w:spacing w:before="120" w:after="120" w:line="360" w:lineRule="auto"/>
      <w:jc w:val="both"/>
      <w:outlineLvl w:val="2"/>
    </w:pPr>
    <w:rPr>
      <w:rFonts w:asciiTheme="majorHAnsi" w:eastAsiaTheme="majorEastAsia" w:hAnsiTheme="majorHAnsi" w:cstheme="majorBidi"/>
      <w:color w:val="1F4D78" w:themeColor="accent1" w:themeShade="7F"/>
      <w:kern w:val="28"/>
      <w:sz w:val="24"/>
      <w:szCs w:val="24"/>
      <w:lang w:val="en-US"/>
    </w:rPr>
  </w:style>
  <w:style w:type="paragraph" w:styleId="Heading4">
    <w:name w:val="heading 4"/>
    <w:basedOn w:val="Normal"/>
    <w:next w:val="Normal"/>
    <w:link w:val="Heading4Char"/>
    <w:uiPriority w:val="9"/>
    <w:unhideWhenUsed/>
    <w:qFormat/>
    <w:rsid w:val="007573B1"/>
    <w:pPr>
      <w:keepNext/>
      <w:keepLines/>
      <w:numPr>
        <w:ilvl w:val="3"/>
        <w:numId w:val="2"/>
      </w:numPr>
      <w:spacing w:before="40" w:after="0" w:line="360" w:lineRule="auto"/>
      <w:jc w:val="both"/>
      <w:outlineLvl w:val="3"/>
    </w:pPr>
    <w:rPr>
      <w:rFonts w:asciiTheme="majorHAnsi" w:eastAsiaTheme="majorEastAsia" w:hAnsiTheme="majorHAnsi" w:cstheme="majorBidi"/>
      <w:i/>
      <w:iCs/>
      <w:color w:val="2E74B5" w:themeColor="accent1" w:themeShade="BF"/>
      <w:sz w:val="24"/>
      <w:szCs w:val="24"/>
      <w:lang w:val="en-US"/>
    </w:rPr>
  </w:style>
  <w:style w:type="paragraph" w:styleId="Heading5">
    <w:name w:val="heading 5"/>
    <w:basedOn w:val="Normal"/>
    <w:next w:val="Normal"/>
    <w:link w:val="Heading5Char"/>
    <w:uiPriority w:val="9"/>
    <w:semiHidden/>
    <w:unhideWhenUsed/>
    <w:qFormat/>
    <w:rsid w:val="007573B1"/>
    <w:pPr>
      <w:keepNext/>
      <w:keepLines/>
      <w:numPr>
        <w:ilvl w:val="4"/>
        <w:numId w:val="2"/>
      </w:numPr>
      <w:spacing w:before="40" w:after="0" w:line="360" w:lineRule="auto"/>
      <w:jc w:val="both"/>
      <w:outlineLvl w:val="4"/>
    </w:pPr>
    <w:rPr>
      <w:rFonts w:asciiTheme="majorHAnsi" w:eastAsiaTheme="majorEastAsia" w:hAnsiTheme="majorHAnsi" w:cstheme="majorBidi"/>
      <w:color w:val="2E74B5" w:themeColor="accent1" w:themeShade="BF"/>
      <w:sz w:val="24"/>
      <w:szCs w:val="24"/>
      <w:lang w:val="en-US"/>
    </w:rPr>
  </w:style>
  <w:style w:type="paragraph" w:styleId="Heading6">
    <w:name w:val="heading 6"/>
    <w:basedOn w:val="Normal"/>
    <w:next w:val="Normal"/>
    <w:link w:val="Heading6Char"/>
    <w:uiPriority w:val="9"/>
    <w:semiHidden/>
    <w:unhideWhenUsed/>
    <w:qFormat/>
    <w:rsid w:val="007573B1"/>
    <w:pPr>
      <w:keepNext/>
      <w:keepLines/>
      <w:numPr>
        <w:ilvl w:val="5"/>
        <w:numId w:val="2"/>
      </w:numPr>
      <w:spacing w:before="40" w:after="0" w:line="360" w:lineRule="auto"/>
      <w:jc w:val="both"/>
      <w:outlineLvl w:val="5"/>
    </w:pPr>
    <w:rPr>
      <w:rFonts w:asciiTheme="majorHAnsi" w:eastAsiaTheme="majorEastAsia" w:hAnsiTheme="majorHAnsi" w:cstheme="majorBidi"/>
      <w:color w:val="1F4D78" w:themeColor="accent1" w:themeShade="7F"/>
      <w:sz w:val="24"/>
      <w:szCs w:val="24"/>
      <w:lang w:val="en-US"/>
    </w:rPr>
  </w:style>
  <w:style w:type="paragraph" w:styleId="Heading7">
    <w:name w:val="heading 7"/>
    <w:basedOn w:val="Normal"/>
    <w:next w:val="Normal"/>
    <w:link w:val="Heading7Char"/>
    <w:uiPriority w:val="9"/>
    <w:semiHidden/>
    <w:unhideWhenUsed/>
    <w:qFormat/>
    <w:rsid w:val="007573B1"/>
    <w:pPr>
      <w:keepNext/>
      <w:keepLines/>
      <w:numPr>
        <w:ilvl w:val="6"/>
        <w:numId w:val="2"/>
      </w:numPr>
      <w:spacing w:before="40" w:after="0" w:line="360" w:lineRule="auto"/>
      <w:jc w:val="both"/>
      <w:outlineLvl w:val="6"/>
    </w:pPr>
    <w:rPr>
      <w:rFonts w:asciiTheme="majorHAnsi" w:eastAsiaTheme="majorEastAsia" w:hAnsiTheme="majorHAnsi" w:cstheme="majorBidi"/>
      <w:i/>
      <w:iCs/>
      <w:color w:val="1F4D78" w:themeColor="accent1" w:themeShade="7F"/>
      <w:sz w:val="24"/>
      <w:szCs w:val="24"/>
      <w:lang w:val="en-US"/>
    </w:rPr>
  </w:style>
  <w:style w:type="paragraph" w:styleId="Heading8">
    <w:name w:val="heading 8"/>
    <w:basedOn w:val="Normal"/>
    <w:next w:val="Normal"/>
    <w:link w:val="Heading8Char"/>
    <w:uiPriority w:val="9"/>
    <w:semiHidden/>
    <w:unhideWhenUsed/>
    <w:qFormat/>
    <w:rsid w:val="007573B1"/>
    <w:pPr>
      <w:keepNext/>
      <w:keepLines/>
      <w:numPr>
        <w:ilvl w:val="7"/>
        <w:numId w:val="2"/>
      </w:numPr>
      <w:spacing w:before="40" w:after="0" w:line="36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7573B1"/>
    <w:pPr>
      <w:keepNext/>
      <w:keepLines/>
      <w:numPr>
        <w:ilvl w:val="8"/>
        <w:numId w:val="2"/>
      </w:numPr>
      <w:spacing w:before="40" w:after="0" w:line="36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3B1"/>
    <w:rPr>
      <w:rFonts w:ascii="Cambria" w:eastAsia="Times New Roman" w:hAnsi="Cambria" w:cs="Times New Roman"/>
      <w:b/>
      <w:kern w:val="28"/>
      <w:sz w:val="24"/>
      <w:szCs w:val="20"/>
      <w:lang w:val="en-US"/>
    </w:rPr>
  </w:style>
  <w:style w:type="character" w:customStyle="1" w:styleId="Heading2Char">
    <w:name w:val="Heading 2 Char"/>
    <w:basedOn w:val="DefaultParagraphFont"/>
    <w:link w:val="Heading2"/>
    <w:uiPriority w:val="9"/>
    <w:rsid w:val="007573B1"/>
    <w:rPr>
      <w:rFonts w:cs="Times New Roman"/>
      <w:b/>
      <w:i/>
      <w:sz w:val="24"/>
      <w:szCs w:val="24"/>
      <w:lang w:val="en-US"/>
    </w:rPr>
  </w:style>
  <w:style w:type="character" w:customStyle="1" w:styleId="Heading3Char">
    <w:name w:val="Heading 3 Char"/>
    <w:basedOn w:val="DefaultParagraphFont"/>
    <w:link w:val="Heading3"/>
    <w:uiPriority w:val="9"/>
    <w:rsid w:val="007573B1"/>
    <w:rPr>
      <w:rFonts w:asciiTheme="majorHAnsi" w:eastAsiaTheme="majorEastAsia" w:hAnsiTheme="majorHAnsi" w:cstheme="majorBidi"/>
      <w:color w:val="1F4D78" w:themeColor="accent1" w:themeShade="7F"/>
      <w:kern w:val="28"/>
      <w:sz w:val="24"/>
      <w:szCs w:val="24"/>
      <w:lang w:val="en-US"/>
    </w:rPr>
  </w:style>
  <w:style w:type="character" w:customStyle="1" w:styleId="Heading4Char">
    <w:name w:val="Heading 4 Char"/>
    <w:basedOn w:val="DefaultParagraphFont"/>
    <w:link w:val="Heading4"/>
    <w:uiPriority w:val="9"/>
    <w:rsid w:val="007573B1"/>
    <w:rPr>
      <w:rFonts w:asciiTheme="majorHAnsi" w:eastAsiaTheme="majorEastAsia" w:hAnsiTheme="majorHAnsi" w:cstheme="majorBidi"/>
      <w:i/>
      <w:iCs/>
      <w:color w:val="2E74B5" w:themeColor="accent1" w:themeShade="BF"/>
      <w:sz w:val="24"/>
      <w:szCs w:val="24"/>
      <w:lang w:val="en-US"/>
    </w:rPr>
  </w:style>
  <w:style w:type="character" w:customStyle="1" w:styleId="Heading5Char">
    <w:name w:val="Heading 5 Char"/>
    <w:basedOn w:val="DefaultParagraphFont"/>
    <w:link w:val="Heading5"/>
    <w:uiPriority w:val="9"/>
    <w:semiHidden/>
    <w:rsid w:val="007573B1"/>
    <w:rPr>
      <w:rFonts w:asciiTheme="majorHAnsi" w:eastAsiaTheme="majorEastAsia" w:hAnsiTheme="majorHAnsi" w:cstheme="majorBidi"/>
      <w:color w:val="2E74B5" w:themeColor="accent1" w:themeShade="BF"/>
      <w:sz w:val="24"/>
      <w:szCs w:val="24"/>
      <w:lang w:val="en-US"/>
    </w:rPr>
  </w:style>
  <w:style w:type="character" w:customStyle="1" w:styleId="Heading6Char">
    <w:name w:val="Heading 6 Char"/>
    <w:basedOn w:val="DefaultParagraphFont"/>
    <w:link w:val="Heading6"/>
    <w:uiPriority w:val="9"/>
    <w:semiHidden/>
    <w:rsid w:val="007573B1"/>
    <w:rPr>
      <w:rFonts w:asciiTheme="majorHAnsi" w:eastAsiaTheme="majorEastAsia" w:hAnsiTheme="majorHAnsi" w:cstheme="majorBidi"/>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7573B1"/>
    <w:rPr>
      <w:rFonts w:asciiTheme="majorHAnsi" w:eastAsiaTheme="majorEastAsia" w:hAnsiTheme="majorHAnsi" w:cstheme="majorBidi"/>
      <w:i/>
      <w:iCs/>
      <w:color w:val="1F4D78" w:themeColor="accent1" w:themeShade="7F"/>
      <w:sz w:val="24"/>
      <w:szCs w:val="24"/>
      <w:lang w:val="en-US"/>
    </w:rPr>
  </w:style>
  <w:style w:type="character" w:customStyle="1" w:styleId="Heading8Char">
    <w:name w:val="Heading 8 Char"/>
    <w:basedOn w:val="DefaultParagraphFont"/>
    <w:link w:val="Heading8"/>
    <w:uiPriority w:val="9"/>
    <w:semiHidden/>
    <w:rsid w:val="007573B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573B1"/>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E4C30"/>
    <w:pPr>
      <w:ind w:left="720"/>
      <w:contextualSpacing/>
    </w:pPr>
  </w:style>
  <w:style w:type="character" w:styleId="Hyperlink">
    <w:name w:val="Hyperlink"/>
    <w:basedOn w:val="DefaultParagraphFont"/>
    <w:uiPriority w:val="99"/>
    <w:unhideWhenUsed/>
    <w:rsid w:val="00CD4C0D"/>
    <w:rPr>
      <w:color w:val="0000FF"/>
      <w:u w:val="single"/>
    </w:rPr>
  </w:style>
  <w:style w:type="table" w:styleId="TableGrid">
    <w:name w:val="Table Grid"/>
    <w:basedOn w:val="TableNormal"/>
    <w:uiPriority w:val="39"/>
    <w:rsid w:val="0046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1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569"/>
    <w:rPr>
      <w:rFonts w:ascii="Segoe UI" w:hAnsi="Segoe UI" w:cs="Segoe UI"/>
      <w:sz w:val="18"/>
      <w:szCs w:val="18"/>
    </w:rPr>
  </w:style>
  <w:style w:type="paragraph" w:styleId="NormalWeb">
    <w:name w:val="Normal (Web)"/>
    <w:basedOn w:val="Normal"/>
    <w:uiPriority w:val="99"/>
    <w:semiHidden/>
    <w:unhideWhenUsed/>
    <w:rsid w:val="003D4A5F"/>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Caption">
    <w:name w:val="caption"/>
    <w:basedOn w:val="Normal"/>
    <w:next w:val="Normal"/>
    <w:uiPriority w:val="35"/>
    <w:unhideWhenUsed/>
    <w:qFormat/>
    <w:rsid w:val="007573B1"/>
    <w:pPr>
      <w:spacing w:after="200" w:line="360" w:lineRule="auto"/>
      <w:jc w:val="both"/>
    </w:pPr>
    <w:rPr>
      <w:rFonts w:ascii="Cambria" w:eastAsia="MS Mincho" w:hAnsi="Cambria" w:cs="Times New Roman"/>
      <w:b/>
      <w:iCs/>
      <w:szCs w:val="18"/>
      <w:lang w:val="en-US"/>
    </w:rPr>
  </w:style>
  <w:style w:type="character" w:styleId="FootnoteReference">
    <w:name w:val="footnote reference"/>
    <w:basedOn w:val="DefaultParagraphFont"/>
    <w:uiPriority w:val="99"/>
    <w:rsid w:val="007573B1"/>
    <w:rPr>
      <w:position w:val="6"/>
      <w:sz w:val="16"/>
    </w:rPr>
  </w:style>
  <w:style w:type="paragraph" w:styleId="FootnoteText">
    <w:name w:val="footnote text"/>
    <w:basedOn w:val="Normal"/>
    <w:link w:val="FootnoteTextChar"/>
    <w:uiPriority w:val="99"/>
    <w:semiHidden/>
    <w:unhideWhenUsed/>
    <w:rsid w:val="007573B1"/>
    <w:pPr>
      <w:spacing w:after="0" w:line="240" w:lineRule="auto"/>
      <w:jc w:val="both"/>
    </w:pPr>
    <w:rPr>
      <w:rFonts w:ascii="Cambria" w:eastAsia="MS Mincho" w:hAnsi="Cambria" w:cs="Times New Roman"/>
      <w:sz w:val="20"/>
      <w:szCs w:val="20"/>
      <w:lang w:val="en-US"/>
    </w:rPr>
  </w:style>
  <w:style w:type="character" w:customStyle="1" w:styleId="FootnoteTextChar">
    <w:name w:val="Footnote Text Char"/>
    <w:basedOn w:val="DefaultParagraphFont"/>
    <w:link w:val="FootnoteText"/>
    <w:uiPriority w:val="99"/>
    <w:semiHidden/>
    <w:rsid w:val="007573B1"/>
    <w:rPr>
      <w:rFonts w:ascii="Cambria" w:eastAsia="MS Mincho" w:hAnsi="Cambria" w:cs="Times New Roman"/>
      <w:sz w:val="20"/>
      <w:szCs w:val="20"/>
      <w:lang w:val="en-US"/>
    </w:rPr>
  </w:style>
  <w:style w:type="character" w:styleId="HTMLCite">
    <w:name w:val="HTML Cite"/>
    <w:basedOn w:val="DefaultParagraphFont"/>
    <w:uiPriority w:val="99"/>
    <w:unhideWhenUsed/>
    <w:rsid w:val="007573B1"/>
    <w:rPr>
      <w:i/>
      <w:iCs/>
    </w:rPr>
  </w:style>
  <w:style w:type="paragraph" w:styleId="Header">
    <w:name w:val="header"/>
    <w:basedOn w:val="Normal"/>
    <w:link w:val="HeaderChar"/>
    <w:uiPriority w:val="99"/>
    <w:unhideWhenUsed/>
    <w:rsid w:val="00B24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85B"/>
  </w:style>
  <w:style w:type="paragraph" w:styleId="Footer">
    <w:name w:val="footer"/>
    <w:basedOn w:val="Normal"/>
    <w:link w:val="FooterChar"/>
    <w:uiPriority w:val="99"/>
    <w:unhideWhenUsed/>
    <w:rsid w:val="00B24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85B"/>
  </w:style>
  <w:style w:type="character" w:styleId="Strong">
    <w:name w:val="Strong"/>
    <w:uiPriority w:val="22"/>
    <w:qFormat/>
    <w:rsid w:val="008F1E89"/>
    <w:rPr>
      <w:b/>
      <w:bCs/>
    </w:rPr>
  </w:style>
  <w:style w:type="character" w:styleId="CommentReference">
    <w:name w:val="annotation reference"/>
    <w:basedOn w:val="DefaultParagraphFont"/>
    <w:uiPriority w:val="99"/>
    <w:semiHidden/>
    <w:unhideWhenUsed/>
    <w:rsid w:val="00FD4AC7"/>
    <w:rPr>
      <w:sz w:val="16"/>
      <w:szCs w:val="16"/>
    </w:rPr>
  </w:style>
  <w:style w:type="paragraph" w:styleId="CommentText">
    <w:name w:val="annotation text"/>
    <w:basedOn w:val="Normal"/>
    <w:link w:val="CommentTextChar"/>
    <w:uiPriority w:val="99"/>
    <w:semiHidden/>
    <w:unhideWhenUsed/>
    <w:rsid w:val="00FD4AC7"/>
    <w:pPr>
      <w:spacing w:line="240" w:lineRule="auto"/>
    </w:pPr>
    <w:rPr>
      <w:sz w:val="20"/>
      <w:szCs w:val="20"/>
    </w:rPr>
  </w:style>
  <w:style w:type="character" w:customStyle="1" w:styleId="CommentTextChar">
    <w:name w:val="Comment Text Char"/>
    <w:basedOn w:val="DefaultParagraphFont"/>
    <w:link w:val="CommentText"/>
    <w:uiPriority w:val="99"/>
    <w:semiHidden/>
    <w:rsid w:val="00FD4AC7"/>
    <w:rPr>
      <w:sz w:val="20"/>
      <w:szCs w:val="20"/>
    </w:rPr>
  </w:style>
  <w:style w:type="paragraph" w:styleId="CommentSubject">
    <w:name w:val="annotation subject"/>
    <w:basedOn w:val="CommentText"/>
    <w:next w:val="CommentText"/>
    <w:link w:val="CommentSubjectChar"/>
    <w:uiPriority w:val="99"/>
    <w:semiHidden/>
    <w:unhideWhenUsed/>
    <w:rsid w:val="00FD4AC7"/>
    <w:rPr>
      <w:b/>
      <w:bCs/>
    </w:rPr>
  </w:style>
  <w:style w:type="character" w:customStyle="1" w:styleId="CommentSubjectChar">
    <w:name w:val="Comment Subject Char"/>
    <w:basedOn w:val="CommentTextChar"/>
    <w:link w:val="CommentSubject"/>
    <w:uiPriority w:val="99"/>
    <w:semiHidden/>
    <w:rsid w:val="00FD4AC7"/>
    <w:rPr>
      <w:b/>
      <w:bCs/>
      <w:sz w:val="20"/>
      <w:szCs w:val="20"/>
    </w:rPr>
  </w:style>
  <w:style w:type="paragraph" w:styleId="Title">
    <w:name w:val="Title"/>
    <w:basedOn w:val="Normal"/>
    <w:next w:val="Normal"/>
    <w:link w:val="TitleChar"/>
    <w:uiPriority w:val="10"/>
    <w:qFormat/>
    <w:rsid w:val="009D01C6"/>
    <w:pPr>
      <w:spacing w:before="120" w:after="0" w:line="240" w:lineRule="auto"/>
      <w:contextualSpacing/>
      <w:jc w:val="center"/>
    </w:pPr>
    <w:rPr>
      <w:rFonts w:ascii="Times New Roman" w:eastAsiaTheme="majorEastAsia" w:hAnsi="Times New Roman" w:cstheme="majorBidi"/>
      <w:b/>
      <w:caps/>
      <w:spacing w:val="-10"/>
      <w:kern w:val="28"/>
      <w:sz w:val="24"/>
      <w:szCs w:val="56"/>
      <w:lang w:eastAsia="en-AU"/>
    </w:rPr>
  </w:style>
  <w:style w:type="character" w:customStyle="1" w:styleId="TitleChar">
    <w:name w:val="Title Char"/>
    <w:basedOn w:val="DefaultParagraphFont"/>
    <w:link w:val="Title"/>
    <w:uiPriority w:val="10"/>
    <w:rsid w:val="009D01C6"/>
    <w:rPr>
      <w:rFonts w:ascii="Times New Roman" w:eastAsiaTheme="majorEastAsia" w:hAnsi="Times New Roman" w:cstheme="majorBidi"/>
      <w:b/>
      <w:caps/>
      <w:spacing w:val="-10"/>
      <w:kern w:val="28"/>
      <w:sz w:val="24"/>
      <w:szCs w:val="56"/>
      <w:lang w:eastAsia="en-AU"/>
    </w:rPr>
  </w:style>
  <w:style w:type="paragraph" w:customStyle="1" w:styleId="figtit">
    <w:name w:val="figtit"/>
    <w:basedOn w:val="Normal"/>
    <w:rsid w:val="009D01C6"/>
    <w:pPr>
      <w:spacing w:before="40" w:after="40" w:line="240" w:lineRule="auto"/>
      <w:jc w:val="center"/>
    </w:pPr>
    <w:rPr>
      <w:rFonts w:ascii="Arial" w:eastAsia="Times New Roman" w:hAnsi="Arial" w:cs="Times New Roman"/>
      <w:b/>
      <w:sz w:val="24"/>
      <w:szCs w:val="20"/>
      <w:lang w:eastAsia="en-AU"/>
    </w:rPr>
  </w:style>
  <w:style w:type="paragraph" w:customStyle="1" w:styleId="TableN">
    <w:name w:val="TableN"/>
    <w:basedOn w:val="Normal"/>
    <w:link w:val="TableNChar"/>
    <w:qFormat/>
    <w:rsid w:val="00D37224"/>
    <w:pPr>
      <w:spacing w:after="0" w:line="240" w:lineRule="auto"/>
      <w:ind w:firstLineChars="200" w:firstLine="400"/>
    </w:pPr>
    <w:rPr>
      <w:rFonts w:ascii="Times New Roman" w:eastAsia="Times New Roman" w:hAnsi="Times New Roman" w:cs="Times New Roman"/>
      <w:sz w:val="20"/>
      <w:szCs w:val="20"/>
      <w:lang w:eastAsia="en-AU"/>
    </w:rPr>
  </w:style>
  <w:style w:type="character" w:customStyle="1" w:styleId="TableNChar">
    <w:name w:val="TableN Char"/>
    <w:basedOn w:val="DefaultParagraphFont"/>
    <w:link w:val="TableN"/>
    <w:rsid w:val="00D37224"/>
    <w:rPr>
      <w:rFonts w:ascii="Times New Roman" w:eastAsia="Times New Roman" w:hAnsi="Times New Roman"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828464">
      <w:bodyDiv w:val="1"/>
      <w:marLeft w:val="0"/>
      <w:marRight w:val="0"/>
      <w:marTop w:val="0"/>
      <w:marBottom w:val="0"/>
      <w:divBdr>
        <w:top w:val="none" w:sz="0" w:space="0" w:color="auto"/>
        <w:left w:val="none" w:sz="0" w:space="0" w:color="auto"/>
        <w:bottom w:val="none" w:sz="0" w:space="0" w:color="auto"/>
        <w:right w:val="none" w:sz="0" w:space="0" w:color="auto"/>
      </w:divBdr>
    </w:div>
    <w:div w:id="1189946994">
      <w:bodyDiv w:val="1"/>
      <w:marLeft w:val="0"/>
      <w:marRight w:val="0"/>
      <w:marTop w:val="0"/>
      <w:marBottom w:val="0"/>
      <w:divBdr>
        <w:top w:val="none" w:sz="0" w:space="0" w:color="auto"/>
        <w:left w:val="none" w:sz="0" w:space="0" w:color="auto"/>
        <w:bottom w:val="none" w:sz="0" w:space="0" w:color="auto"/>
        <w:right w:val="none" w:sz="0" w:space="0" w:color="auto"/>
      </w:divBdr>
    </w:div>
    <w:div w:id="153276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oleObject" Target="embeddings/oleObject31.bin"/><Relationship Id="rId84" Type="http://schemas.openxmlformats.org/officeDocument/2006/relationships/oleObject" Target="embeddings/oleObject38.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hyperlink" Target="http://www.zydee.com/web/en/global-hs-code-detail.8716.chtml" TargetMode="External"/><Relationship Id="rId138" Type="http://schemas.openxmlformats.org/officeDocument/2006/relationships/hyperlink" Target="https://www.gtap.agecon.purdue.edu/resources/res_display.asp?RecordID=3169" TargetMode="External"/><Relationship Id="rId16" Type="http://schemas.openxmlformats.org/officeDocument/2006/relationships/oleObject" Target="embeddings/oleObject4.bin"/><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oleObject" Target="embeddings/oleObject26.bin"/><Relationship Id="rId74" Type="http://schemas.openxmlformats.org/officeDocument/2006/relationships/image" Target="media/image33.emf"/><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28" Type="http://schemas.openxmlformats.org/officeDocument/2006/relationships/hyperlink" Target="http://www.zydee.com/web/en/global-hs-code-detail.8704.chtml" TargetMode="External"/><Relationship Id="rId144" Type="http://schemas.openxmlformats.org/officeDocument/2006/relationships/hyperlink" Target="http://databank.worldbank.org/data/reports.aspx?source=health-nutrition-and-population-statistics:-population-estimates-and-projections" TargetMode="External"/><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4.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9.bin"/><Relationship Id="rId69" Type="http://schemas.openxmlformats.org/officeDocument/2006/relationships/image" Target="media/image30.wmf"/><Relationship Id="rId113" Type="http://schemas.openxmlformats.org/officeDocument/2006/relationships/image" Target="media/image53.wmf"/><Relationship Id="rId118" Type="http://schemas.openxmlformats.org/officeDocument/2006/relationships/oleObject" Target="embeddings/oleObject55.bin"/><Relationship Id="rId134" Type="http://schemas.openxmlformats.org/officeDocument/2006/relationships/footer" Target="footer2.xml"/><Relationship Id="rId139" Type="http://schemas.openxmlformats.org/officeDocument/2006/relationships/hyperlink" Target="http://www.cambridge.org/gb/knowledge/isbn/item6532914/?site_locale=en_GB" TargetMode="External"/><Relationship Id="rId80" Type="http://schemas.openxmlformats.org/officeDocument/2006/relationships/oleObject" Target="embeddings/oleObject36.bin"/><Relationship Id="rId85" Type="http://schemas.openxmlformats.org/officeDocument/2006/relationships/image" Target="media/image39.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5.wmf"/><Relationship Id="rId67" Type="http://schemas.openxmlformats.org/officeDocument/2006/relationships/image" Target="media/image29.wmf"/><Relationship Id="rId103" Type="http://schemas.openxmlformats.org/officeDocument/2006/relationships/image" Target="media/image48.w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oleObject" Target="embeddings/oleObject58.bin"/><Relationship Id="rId129" Type="http://schemas.openxmlformats.org/officeDocument/2006/relationships/hyperlink" Target="http://www.zydee.com/web/en/global-hs-code-detail.8709.chtml" TargetMode="External"/><Relationship Id="rId137" Type="http://schemas.openxmlformats.org/officeDocument/2006/relationships/hyperlink" Target="https://www.copsmodels.com/msplitcom.htm" TargetMode="External"/><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0.bin"/><Relationship Id="rId91" Type="http://schemas.openxmlformats.org/officeDocument/2006/relationships/image" Target="media/image42.wmf"/><Relationship Id="rId96" Type="http://schemas.openxmlformats.org/officeDocument/2006/relationships/oleObject" Target="embeddings/oleObject44.bin"/><Relationship Id="rId111" Type="http://schemas.openxmlformats.org/officeDocument/2006/relationships/image" Target="media/image52.wmf"/><Relationship Id="rId132" Type="http://schemas.openxmlformats.org/officeDocument/2006/relationships/hyperlink" Target="http://www.zydee.com/web/en/global-hs-code-detail.8716.chtml" TargetMode="External"/><Relationship Id="rId140" Type="http://schemas.openxmlformats.org/officeDocument/2006/relationships/hyperlink" Target="https://www.pc.gov.au/inquiries/completed/automotive-1997/58automot2.pdf"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4.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6.wmf"/><Relationship Id="rId127" Type="http://schemas.openxmlformats.org/officeDocument/2006/relationships/hyperlink" Target="http://www.zydee.com/web/en/global-hs-code-detail.8702.chtml" TargetMode="External"/><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8.wmf"/><Relationship Id="rId73" Type="http://schemas.openxmlformats.org/officeDocument/2006/relationships/image" Target="media/image32.emf"/><Relationship Id="rId78" Type="http://schemas.openxmlformats.org/officeDocument/2006/relationships/oleObject" Target="embeddings/oleObject35.bin"/><Relationship Id="rId81" Type="http://schemas.openxmlformats.org/officeDocument/2006/relationships/image" Target="media/image37.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30" Type="http://schemas.openxmlformats.org/officeDocument/2006/relationships/hyperlink" Target="http://www.zydee.com/web/en/global-hs-code-detail.8710.chtml" TargetMode="External"/><Relationship Id="rId135" Type="http://schemas.openxmlformats.org/officeDocument/2006/relationships/image" Target="media/image60.emf"/><Relationship Id="rId143" Type="http://schemas.openxmlformats.org/officeDocument/2006/relationships/hyperlink" Target="https://www.unido.org/researchers/statistical-databases" TargetMode="Externa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3.wmf"/><Relationship Id="rId76" Type="http://schemas.openxmlformats.org/officeDocument/2006/relationships/oleObject" Target="embeddings/oleObject34.bin"/><Relationship Id="rId97" Type="http://schemas.openxmlformats.org/officeDocument/2006/relationships/image" Target="media/image45.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hyperlink" Target="https://www.imf.org/~/media/Files/Publications/WEO/2018/April/Info.ashx"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 Id="rId131" Type="http://schemas.openxmlformats.org/officeDocument/2006/relationships/hyperlink" Target="http://www.zydee.com/web/en/global-hs-code-detail.8710.chtml" TargetMode="External"/><Relationship Id="rId136" Type="http://schemas.openxmlformats.org/officeDocument/2006/relationships/hyperlink" Target="https://ecos.bok.or.kr/flex/EasySearch_e.jsp" TargetMode="External"/><Relationship Id="rId61" Type="http://schemas.openxmlformats.org/officeDocument/2006/relationships/image" Target="media/image26.wmf"/><Relationship Id="rId82" Type="http://schemas.openxmlformats.org/officeDocument/2006/relationships/oleObject" Target="embeddings/oleObject37.bin"/><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oleObject" Target="embeddings/oleObject59.bin"/><Relationship Id="rId8" Type="http://schemas.openxmlformats.org/officeDocument/2006/relationships/footer" Target="footer1.xml"/><Relationship Id="rId51" Type="http://schemas.openxmlformats.org/officeDocument/2006/relationships/oleObject" Target="embeddings/oleObject22.bin"/><Relationship Id="rId72" Type="http://schemas.openxmlformats.org/officeDocument/2006/relationships/oleObject" Target="embeddings/oleObject33.bin"/><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hyperlink" Target="http://www.soumu.go.jp/english/dgpp_ss/data/io/io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BB412-8F68-46E4-9E28-5C7BF869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52</Pages>
  <Words>20713</Words>
  <Characters>118065</Characters>
  <Application>Microsoft Office Word</Application>
  <DocSecurity>0</DocSecurity>
  <Lines>983</Lines>
  <Paragraphs>277</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138501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Dixon</dc:creator>
  <cp:keywords/>
  <dc:description/>
  <cp:lastModifiedBy>Peter Dixon</cp:lastModifiedBy>
  <cp:revision>3</cp:revision>
  <cp:lastPrinted>2018-12-22T05:36:00Z</cp:lastPrinted>
  <dcterms:created xsi:type="dcterms:W3CDTF">2019-04-09T21:44:00Z</dcterms:created>
  <dcterms:modified xsi:type="dcterms:W3CDTF">2019-04-09T22:14:00Z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