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omments.xml" ContentType="application/vnd.openxmlformats-officedocument.wordprocessingml.comments+xml"/>
  <Override PartName="/word/commentsExtended.xml" ContentType="application/vnd.openxmlformats-officedocument.wordprocessingml.commentsExtended+xml"/>
  <Override PartName="/word/charts/chart7.xml" ContentType="application/vnd.openxmlformats-officedocument.drawingml.chart+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AAE0E1" w14:textId="4937DD72" w:rsidR="00513779" w:rsidRPr="00710E27" w:rsidRDefault="00023E8D" w:rsidP="00710E27">
      <w:pPr>
        <w:pStyle w:val="Title"/>
        <w:rPr>
          <w:b/>
          <w:sz w:val="36"/>
          <w:szCs w:val="36"/>
        </w:rPr>
      </w:pPr>
      <w:r w:rsidRPr="00710E27">
        <w:rPr>
          <w:b/>
          <w:sz w:val="36"/>
          <w:szCs w:val="36"/>
        </w:rPr>
        <w:t xml:space="preserve">Any rain on Victoria Lake is only a drop in the bucket: a CGE analysis of the effects of </w:t>
      </w:r>
      <w:r w:rsidR="007704C9">
        <w:rPr>
          <w:b/>
          <w:sz w:val="36"/>
          <w:szCs w:val="36"/>
        </w:rPr>
        <w:t xml:space="preserve">water shortages </w:t>
      </w:r>
      <w:r w:rsidRPr="00710E27">
        <w:rPr>
          <w:b/>
          <w:sz w:val="36"/>
          <w:szCs w:val="36"/>
        </w:rPr>
        <w:t xml:space="preserve">on food security in Uganda. </w:t>
      </w:r>
    </w:p>
    <w:p w14:paraId="1081E7D7" w14:textId="77777777" w:rsidR="00023E8D" w:rsidRPr="00710E27" w:rsidRDefault="00023E8D">
      <w:pPr>
        <w:rPr>
          <w:rFonts w:cstheme="minorHAnsi"/>
          <w:szCs w:val="24"/>
        </w:rPr>
      </w:pPr>
    </w:p>
    <w:p w14:paraId="62A7DD3F" w14:textId="36483A1A" w:rsidR="00023E8D" w:rsidRDefault="00023E8D" w:rsidP="009C7AE5">
      <w:r w:rsidRPr="00710E27">
        <w:t xml:space="preserve">van Heerden, </w:t>
      </w:r>
      <w:r w:rsidR="00952C0F">
        <w:t>J</w:t>
      </w:r>
      <w:r w:rsidR="007704C9">
        <w:t xml:space="preserve">. </w:t>
      </w:r>
      <w:r w:rsidR="00952C0F">
        <w:t>H</w:t>
      </w:r>
      <w:r w:rsidR="007704C9">
        <w:t>.</w:t>
      </w:r>
      <w:r w:rsidR="002B2738" w:rsidRPr="002B2738">
        <w:rPr>
          <w:vertAlign w:val="superscript"/>
        </w:rPr>
        <w:t>1</w:t>
      </w:r>
      <w:r w:rsidR="003B0592">
        <w:t>*</w:t>
      </w:r>
      <w:r w:rsidR="00952C0F">
        <w:t>,</w:t>
      </w:r>
      <w:r w:rsidR="00A13BAB" w:rsidRPr="00710E27">
        <w:t xml:space="preserve"> Roos,</w:t>
      </w:r>
      <w:r w:rsidR="00952C0F">
        <w:t xml:space="preserve"> </w:t>
      </w:r>
      <w:r w:rsidR="00FD1F09">
        <w:t>E</w:t>
      </w:r>
      <w:r w:rsidR="007704C9">
        <w:t xml:space="preserve">. </w:t>
      </w:r>
      <w:r w:rsidR="00952C0F">
        <w:t>L</w:t>
      </w:r>
      <w:r w:rsidR="007704C9">
        <w:t>.</w:t>
      </w:r>
      <w:r w:rsidR="002B2738" w:rsidRPr="002B2738">
        <w:rPr>
          <w:vertAlign w:val="superscript"/>
        </w:rPr>
        <w:t>2</w:t>
      </w:r>
      <w:r w:rsidR="00952C0F">
        <w:t>,</w:t>
      </w:r>
      <w:r w:rsidR="00A13BAB" w:rsidRPr="00710E27">
        <w:t xml:space="preserve"> </w:t>
      </w:r>
      <w:r w:rsidR="008A30A9" w:rsidRPr="00710E27">
        <w:t>Adams,</w:t>
      </w:r>
      <w:r w:rsidR="008A30A9">
        <w:t xml:space="preserve"> P. D.</w:t>
      </w:r>
      <w:r w:rsidR="008A30A9" w:rsidRPr="002B2738">
        <w:rPr>
          <w:vertAlign w:val="superscript"/>
        </w:rPr>
        <w:t>2</w:t>
      </w:r>
      <w:r w:rsidR="008A30A9">
        <w:rPr>
          <w:vertAlign w:val="superscript"/>
        </w:rPr>
        <w:t xml:space="preserve"> </w:t>
      </w:r>
      <w:r w:rsidR="008A30A9">
        <w:t>and K</w:t>
      </w:r>
      <w:r w:rsidR="00952C0F">
        <w:t>ilimani, N</w:t>
      </w:r>
      <w:r w:rsidR="008A30A9">
        <w:t>.</w:t>
      </w:r>
      <w:r w:rsidR="002B2738" w:rsidRPr="002B2738">
        <w:rPr>
          <w:vertAlign w:val="superscript"/>
        </w:rPr>
        <w:t>3</w:t>
      </w:r>
      <w:r w:rsidR="00867D88">
        <w:t>.</w:t>
      </w:r>
    </w:p>
    <w:p w14:paraId="4F90F67D" w14:textId="05746A61" w:rsidR="00533CE5" w:rsidRDefault="00533CE5" w:rsidP="009C7AE5"/>
    <w:p w14:paraId="5E21C010" w14:textId="77777777" w:rsidR="00533CE5" w:rsidRDefault="00533CE5" w:rsidP="009C7AE5"/>
    <w:p w14:paraId="1E542469" w14:textId="22FC5DED" w:rsidR="002B2738" w:rsidRDefault="002B2738" w:rsidP="009C7AE5">
      <w:r w:rsidRPr="002B2738">
        <w:rPr>
          <w:vertAlign w:val="superscript"/>
        </w:rPr>
        <w:t>1*</w:t>
      </w:r>
      <w:r w:rsidRPr="002B2738">
        <w:t xml:space="preserve"> </w:t>
      </w:r>
      <w:r w:rsidRPr="00B56100">
        <w:rPr>
          <w:sz w:val="22"/>
        </w:rPr>
        <w:t>Department of Economics, University of Pretoria, South Africa</w:t>
      </w:r>
    </w:p>
    <w:p w14:paraId="29C46CAD" w14:textId="1F77A39F" w:rsidR="002B2738" w:rsidRPr="00B56100" w:rsidRDefault="002B2738" w:rsidP="002B2738">
      <w:pPr>
        <w:rPr>
          <w:sz w:val="22"/>
        </w:rPr>
      </w:pPr>
      <w:r w:rsidRPr="002B2738">
        <w:rPr>
          <w:vertAlign w:val="superscript"/>
        </w:rPr>
        <w:t>2</w:t>
      </w:r>
      <w:r>
        <w:rPr>
          <w:vertAlign w:val="superscript"/>
        </w:rPr>
        <w:t xml:space="preserve">  </w:t>
      </w:r>
      <w:r w:rsidRPr="00B56100">
        <w:rPr>
          <w:sz w:val="22"/>
        </w:rPr>
        <w:t>Centre of Policy Studies, Victoria University, Melbourne, Australia.</w:t>
      </w:r>
    </w:p>
    <w:p w14:paraId="77A55E8A" w14:textId="7D64B979" w:rsidR="002B2738" w:rsidRPr="00B56100" w:rsidRDefault="002B2738" w:rsidP="009C7AE5">
      <w:pPr>
        <w:rPr>
          <w:sz w:val="22"/>
          <w:vertAlign w:val="superscript"/>
        </w:rPr>
      </w:pPr>
      <w:r w:rsidRPr="002B2738">
        <w:rPr>
          <w:vertAlign w:val="superscript"/>
        </w:rPr>
        <w:t>3</w:t>
      </w:r>
      <w:r>
        <w:rPr>
          <w:vertAlign w:val="superscript"/>
        </w:rPr>
        <w:t xml:space="preserve">  </w:t>
      </w:r>
      <w:r w:rsidRPr="00B56100">
        <w:rPr>
          <w:sz w:val="22"/>
        </w:rPr>
        <w:t>Department of Economics, Makerere University, Uganda</w:t>
      </w:r>
    </w:p>
    <w:p w14:paraId="02350749" w14:textId="0F408EE3" w:rsidR="002B2738" w:rsidRDefault="00533CE5" w:rsidP="002B2738">
      <w:r>
        <w:t>*</w:t>
      </w:r>
      <w:r w:rsidR="002B2738" w:rsidRPr="002B2738">
        <w:t xml:space="preserve"> </w:t>
      </w:r>
      <w:r w:rsidR="002B2738" w:rsidRPr="00B56100">
        <w:rPr>
          <w:sz w:val="22"/>
        </w:rPr>
        <w:t>Corresponding author. Tel + 27 12 420 3451</w:t>
      </w:r>
    </w:p>
    <w:p w14:paraId="46CEC245" w14:textId="150874C7" w:rsidR="002B2738" w:rsidRDefault="002B2738" w:rsidP="009C7AE5"/>
    <w:p w14:paraId="3786A142" w14:textId="1DAA5498" w:rsidR="005E78C4" w:rsidRPr="00533CE5" w:rsidRDefault="005E78C4" w:rsidP="00566ADF">
      <w:pPr>
        <w:jc w:val="both"/>
        <w:rPr>
          <w:sz w:val="22"/>
        </w:rPr>
      </w:pPr>
      <w:r w:rsidRPr="00533CE5">
        <w:rPr>
          <w:sz w:val="22"/>
        </w:rPr>
        <w:t xml:space="preserve">The work described in this paper was carried out at the Centre of Policy Studies and </w:t>
      </w:r>
      <w:r w:rsidR="008A30A9">
        <w:rPr>
          <w:sz w:val="22"/>
        </w:rPr>
        <w:t xml:space="preserve">the </w:t>
      </w:r>
      <w:r w:rsidRPr="00533CE5">
        <w:rPr>
          <w:sz w:val="22"/>
        </w:rPr>
        <w:t>University of Pretoria. The original UgAGE model was developed for the Ugandan Ministry of Finance, Planning and Economic Development. We kindly acknowledge their support. The model used in this chapter has been adapted to</w:t>
      </w:r>
      <w:r w:rsidR="00872886" w:rsidRPr="00533CE5">
        <w:rPr>
          <w:sz w:val="22"/>
        </w:rPr>
        <w:t xml:space="preserve"> focus</w:t>
      </w:r>
      <w:r w:rsidRPr="00533CE5">
        <w:rPr>
          <w:sz w:val="22"/>
        </w:rPr>
        <w:t xml:space="preserve"> on agriculture</w:t>
      </w:r>
      <w:r w:rsidR="00271EFB" w:rsidRPr="00533CE5">
        <w:rPr>
          <w:sz w:val="22"/>
        </w:rPr>
        <w:t xml:space="preserve"> and food security</w:t>
      </w:r>
      <w:r w:rsidRPr="00533CE5">
        <w:rPr>
          <w:sz w:val="22"/>
        </w:rPr>
        <w:t>. The views expressed are those of the authors and should not be attributed to the Ministry of Finance, Planning and Economic Development.</w:t>
      </w:r>
    </w:p>
    <w:p w14:paraId="0074B4B6" w14:textId="77777777" w:rsidR="002B2738" w:rsidRPr="00710E27" w:rsidRDefault="002B2738" w:rsidP="009C7AE5"/>
    <w:p w14:paraId="5CDFB84A" w14:textId="77777777" w:rsidR="00023E8D" w:rsidRPr="00710E27" w:rsidRDefault="00023E8D" w:rsidP="0060135E">
      <w:pPr>
        <w:pStyle w:val="Heading1"/>
        <w:numPr>
          <w:ilvl w:val="0"/>
          <w:numId w:val="0"/>
        </w:numPr>
        <w:ind w:left="432" w:hanging="432"/>
        <w:rPr>
          <w:b w:val="0"/>
        </w:rPr>
      </w:pPr>
      <w:bookmarkStart w:id="0" w:name="_Toc525042477"/>
      <w:r w:rsidRPr="0060135E">
        <w:t>Abstract</w:t>
      </w:r>
      <w:bookmarkEnd w:id="0"/>
    </w:p>
    <w:p w14:paraId="79562A04" w14:textId="77890D72" w:rsidR="00F12260" w:rsidRDefault="007704C9" w:rsidP="00F12260">
      <w:pPr>
        <w:jc w:val="both"/>
      </w:pPr>
      <w:r>
        <w:t>Using</w:t>
      </w:r>
      <w:r w:rsidR="00F12260">
        <w:t xml:space="preserve"> a dynamic C</w:t>
      </w:r>
      <w:r>
        <w:t xml:space="preserve">omputable </w:t>
      </w:r>
      <w:r w:rsidR="00F12260">
        <w:t>G</w:t>
      </w:r>
      <w:r>
        <w:t xml:space="preserve">eneral </w:t>
      </w:r>
      <w:r w:rsidR="00F12260">
        <w:t>E</w:t>
      </w:r>
      <w:r>
        <w:t>quilibrium (CGE)</w:t>
      </w:r>
      <w:r w:rsidR="00F12260">
        <w:t xml:space="preserve"> model of Uganda</w:t>
      </w:r>
      <w:r>
        <w:t xml:space="preserve">, we </w:t>
      </w:r>
      <w:r w:rsidR="00F12260">
        <w:t>simulate</w:t>
      </w:r>
      <w:r>
        <w:t xml:space="preserve"> the effects of water shortages and </w:t>
      </w:r>
      <w:r w:rsidR="00F12260">
        <w:t>their imp</w:t>
      </w:r>
      <w:r>
        <w:t xml:space="preserve">act on </w:t>
      </w:r>
      <w:r w:rsidR="00F12260">
        <w:t>agricultural</w:t>
      </w:r>
      <w:r>
        <w:t xml:space="preserve"> production and the broader Ugandan economy.</w:t>
      </w:r>
      <w:r w:rsidR="00F12260">
        <w:t xml:space="preserve"> </w:t>
      </w:r>
      <w:r>
        <w:t xml:space="preserve">It is expected that </w:t>
      </w:r>
      <w:r w:rsidR="00F2505B">
        <w:t>Ugandan</w:t>
      </w:r>
      <w:r w:rsidR="00DD5AA6">
        <w:t xml:space="preserve"> </w:t>
      </w:r>
      <w:r>
        <w:t>crop production will be hit hard over</w:t>
      </w:r>
      <w:r w:rsidR="00F12260">
        <w:t xml:space="preserve"> the next forty years by increasing temperatures and decreasing precipitation. We use forecasts from the literature </w:t>
      </w:r>
      <w:r w:rsidR="00DD5AA6">
        <w:t>for</w:t>
      </w:r>
      <w:r w:rsidR="00F12260">
        <w:t xml:space="preserve"> ten specific crop outputs </w:t>
      </w:r>
      <w:r w:rsidR="00DD5AA6">
        <w:t xml:space="preserve">to </w:t>
      </w:r>
      <w:r w:rsidR="00F12260">
        <w:t>simulate the effects</w:t>
      </w:r>
      <w:r w:rsidR="00DD5AA6">
        <w:t xml:space="preserve"> of weather-related agricultural disruption</w:t>
      </w:r>
      <w:r w:rsidR="00F12260">
        <w:t xml:space="preserve"> on the rest of the economy. We are particularly interested in the effects on food security in Uganda. We find that Uganda is far from being food secure, and hypothesize that if the pessimistic forecasts from the literature w</w:t>
      </w:r>
      <w:r w:rsidR="00DD5AA6">
        <w:t xml:space="preserve">ere </w:t>
      </w:r>
      <w:r w:rsidR="00F12260">
        <w:t>to become true,</w:t>
      </w:r>
      <w:r w:rsidR="00DD5AA6">
        <w:t xml:space="preserve"> then</w:t>
      </w:r>
      <w:r w:rsidR="00F12260">
        <w:t xml:space="preserve"> the situation would deteriorate significantly. The adaptation strategies for Uganda should be threefold: th</w:t>
      </w:r>
      <w:r w:rsidR="00DD5AA6">
        <w:t>e count</w:t>
      </w:r>
      <w:r w:rsidR="004472A7">
        <w:t>r</w:t>
      </w:r>
      <w:r w:rsidR="00DD5AA6">
        <w:t>y</w:t>
      </w:r>
      <w:r w:rsidR="00F12260">
        <w:t xml:space="preserve"> should diversify agricultural production to include more hardy crops; expand the manufacturing industry considerably, and develop water infrastructure so that households and agricultural industries c</w:t>
      </w:r>
      <w:r w:rsidR="00DD5AA6">
        <w:t>an</w:t>
      </w:r>
      <w:r w:rsidR="00F12260">
        <w:t xml:space="preserve"> g</w:t>
      </w:r>
      <w:r w:rsidR="00DD5AA6">
        <w:t>ain</w:t>
      </w:r>
      <w:r w:rsidR="00F12260">
        <w:t xml:space="preserve"> better access to </w:t>
      </w:r>
      <w:r w:rsidR="00DD5AA6">
        <w:t>the increasingly scarce resource</w:t>
      </w:r>
      <w:r w:rsidR="00F12260">
        <w:t xml:space="preserve">. </w:t>
      </w:r>
    </w:p>
    <w:p w14:paraId="2AB46CBE" w14:textId="77777777" w:rsidR="00936BAC" w:rsidRDefault="00936BAC">
      <w:r>
        <w:br w:type="page"/>
      </w:r>
    </w:p>
    <w:sdt>
      <w:sdtPr>
        <w:rPr>
          <w:rFonts w:ascii="Bookman Old Style" w:eastAsiaTheme="minorHAnsi" w:hAnsi="Bookman Old Style" w:cstheme="minorBidi"/>
          <w:color w:val="auto"/>
          <w:sz w:val="24"/>
          <w:szCs w:val="22"/>
          <w:lang w:val="en-ZA"/>
        </w:rPr>
        <w:id w:val="-1324046378"/>
        <w:docPartObj>
          <w:docPartGallery w:val="Table of Contents"/>
          <w:docPartUnique/>
        </w:docPartObj>
      </w:sdtPr>
      <w:sdtEndPr>
        <w:rPr>
          <w:b/>
          <w:bCs/>
          <w:noProof/>
        </w:rPr>
      </w:sdtEndPr>
      <w:sdtContent>
        <w:p w14:paraId="5CBFFDA7" w14:textId="4AC77A17" w:rsidR="00936BAC" w:rsidRDefault="00936BAC">
          <w:pPr>
            <w:pStyle w:val="TOCHeading"/>
          </w:pPr>
          <w:r>
            <w:t>Table of Contents</w:t>
          </w:r>
        </w:p>
        <w:p w14:paraId="2B8A913E" w14:textId="0CD144AB" w:rsidR="00D3642E" w:rsidRDefault="00936BAC">
          <w:pPr>
            <w:pStyle w:val="TOC1"/>
            <w:tabs>
              <w:tab w:val="right" w:leader="dot" w:pos="9016"/>
            </w:tabs>
            <w:rPr>
              <w:rFonts w:asciiTheme="minorHAnsi" w:eastAsiaTheme="minorEastAsia" w:hAnsiTheme="minorHAnsi"/>
              <w:noProof/>
              <w:sz w:val="22"/>
              <w:lang w:eastAsia="en-ZA"/>
            </w:rPr>
          </w:pPr>
          <w:r>
            <w:fldChar w:fldCharType="begin"/>
          </w:r>
          <w:r>
            <w:instrText xml:space="preserve"> TOC \o "1-3" \h \z \u </w:instrText>
          </w:r>
          <w:r>
            <w:fldChar w:fldCharType="separate"/>
          </w:r>
          <w:hyperlink w:anchor="_Toc525042477" w:history="1">
            <w:r w:rsidR="00D3642E" w:rsidRPr="00055F8A">
              <w:rPr>
                <w:rStyle w:val="Hyperlink"/>
                <w:noProof/>
              </w:rPr>
              <w:t>Abstract</w:t>
            </w:r>
            <w:r w:rsidR="00D3642E">
              <w:rPr>
                <w:noProof/>
                <w:webHidden/>
              </w:rPr>
              <w:tab/>
            </w:r>
            <w:r w:rsidR="00D3642E">
              <w:rPr>
                <w:noProof/>
                <w:webHidden/>
              </w:rPr>
              <w:fldChar w:fldCharType="begin"/>
            </w:r>
            <w:r w:rsidR="00D3642E">
              <w:rPr>
                <w:noProof/>
                <w:webHidden/>
              </w:rPr>
              <w:instrText xml:space="preserve"> PAGEREF _Toc525042477 \h </w:instrText>
            </w:r>
            <w:r w:rsidR="00D3642E">
              <w:rPr>
                <w:noProof/>
                <w:webHidden/>
              </w:rPr>
            </w:r>
            <w:r w:rsidR="00D3642E">
              <w:rPr>
                <w:noProof/>
                <w:webHidden/>
              </w:rPr>
              <w:fldChar w:fldCharType="separate"/>
            </w:r>
            <w:r w:rsidR="00D3642E">
              <w:rPr>
                <w:noProof/>
                <w:webHidden/>
              </w:rPr>
              <w:t>1</w:t>
            </w:r>
            <w:r w:rsidR="00D3642E">
              <w:rPr>
                <w:noProof/>
                <w:webHidden/>
              </w:rPr>
              <w:fldChar w:fldCharType="end"/>
            </w:r>
          </w:hyperlink>
        </w:p>
        <w:p w14:paraId="7DF2B6C2" w14:textId="36F82366" w:rsidR="00D3642E" w:rsidRDefault="00D3642E">
          <w:pPr>
            <w:pStyle w:val="TOC1"/>
            <w:tabs>
              <w:tab w:val="left" w:pos="480"/>
              <w:tab w:val="right" w:leader="dot" w:pos="9016"/>
            </w:tabs>
            <w:rPr>
              <w:rFonts w:asciiTheme="minorHAnsi" w:eastAsiaTheme="minorEastAsia" w:hAnsiTheme="minorHAnsi"/>
              <w:noProof/>
              <w:sz w:val="22"/>
              <w:lang w:eastAsia="en-ZA"/>
            </w:rPr>
          </w:pPr>
          <w:hyperlink w:anchor="_Toc525042478" w:history="1">
            <w:r w:rsidRPr="00055F8A">
              <w:rPr>
                <w:rStyle w:val="Hyperlink"/>
                <w:noProof/>
              </w:rPr>
              <w:t>1</w:t>
            </w:r>
            <w:r>
              <w:rPr>
                <w:rFonts w:asciiTheme="minorHAnsi" w:eastAsiaTheme="minorEastAsia" w:hAnsiTheme="minorHAnsi"/>
                <w:noProof/>
                <w:sz w:val="22"/>
                <w:lang w:eastAsia="en-ZA"/>
              </w:rPr>
              <w:tab/>
            </w:r>
            <w:r w:rsidRPr="00055F8A">
              <w:rPr>
                <w:rStyle w:val="Hyperlink"/>
                <w:noProof/>
              </w:rPr>
              <w:t>Introduction</w:t>
            </w:r>
            <w:r>
              <w:rPr>
                <w:noProof/>
                <w:webHidden/>
              </w:rPr>
              <w:tab/>
            </w:r>
            <w:r>
              <w:rPr>
                <w:noProof/>
                <w:webHidden/>
              </w:rPr>
              <w:fldChar w:fldCharType="begin"/>
            </w:r>
            <w:r>
              <w:rPr>
                <w:noProof/>
                <w:webHidden/>
              </w:rPr>
              <w:instrText xml:space="preserve"> PAGEREF _Toc525042478 \h </w:instrText>
            </w:r>
            <w:r>
              <w:rPr>
                <w:noProof/>
                <w:webHidden/>
              </w:rPr>
            </w:r>
            <w:r>
              <w:rPr>
                <w:noProof/>
                <w:webHidden/>
              </w:rPr>
              <w:fldChar w:fldCharType="separate"/>
            </w:r>
            <w:r>
              <w:rPr>
                <w:noProof/>
                <w:webHidden/>
              </w:rPr>
              <w:t>1</w:t>
            </w:r>
            <w:r>
              <w:rPr>
                <w:noProof/>
                <w:webHidden/>
              </w:rPr>
              <w:fldChar w:fldCharType="end"/>
            </w:r>
          </w:hyperlink>
        </w:p>
        <w:p w14:paraId="635A3C5E" w14:textId="3E9F58BB" w:rsidR="00D3642E" w:rsidRDefault="00D3642E">
          <w:pPr>
            <w:pStyle w:val="TOC1"/>
            <w:tabs>
              <w:tab w:val="left" w:pos="480"/>
              <w:tab w:val="right" w:leader="dot" w:pos="9016"/>
            </w:tabs>
            <w:rPr>
              <w:rFonts w:asciiTheme="minorHAnsi" w:eastAsiaTheme="minorEastAsia" w:hAnsiTheme="minorHAnsi"/>
              <w:noProof/>
              <w:sz w:val="22"/>
              <w:lang w:eastAsia="en-ZA"/>
            </w:rPr>
          </w:pPr>
          <w:hyperlink w:anchor="_Toc525042479" w:history="1">
            <w:r w:rsidRPr="00055F8A">
              <w:rPr>
                <w:rStyle w:val="Hyperlink"/>
                <w:noProof/>
              </w:rPr>
              <w:t>2</w:t>
            </w:r>
            <w:r>
              <w:rPr>
                <w:rFonts w:asciiTheme="minorHAnsi" w:eastAsiaTheme="minorEastAsia" w:hAnsiTheme="minorHAnsi"/>
                <w:noProof/>
                <w:sz w:val="22"/>
                <w:lang w:eastAsia="en-ZA"/>
              </w:rPr>
              <w:tab/>
            </w:r>
            <w:r w:rsidRPr="00055F8A">
              <w:rPr>
                <w:rStyle w:val="Hyperlink"/>
                <w:noProof/>
              </w:rPr>
              <w:t>Food Security in Uganda</w:t>
            </w:r>
            <w:r>
              <w:rPr>
                <w:noProof/>
                <w:webHidden/>
              </w:rPr>
              <w:tab/>
            </w:r>
            <w:r>
              <w:rPr>
                <w:noProof/>
                <w:webHidden/>
              </w:rPr>
              <w:fldChar w:fldCharType="begin"/>
            </w:r>
            <w:r>
              <w:rPr>
                <w:noProof/>
                <w:webHidden/>
              </w:rPr>
              <w:instrText xml:space="preserve"> PAGEREF _Toc525042479 \h </w:instrText>
            </w:r>
            <w:r>
              <w:rPr>
                <w:noProof/>
                <w:webHidden/>
              </w:rPr>
            </w:r>
            <w:r>
              <w:rPr>
                <w:noProof/>
                <w:webHidden/>
              </w:rPr>
              <w:fldChar w:fldCharType="separate"/>
            </w:r>
            <w:r>
              <w:rPr>
                <w:noProof/>
                <w:webHidden/>
              </w:rPr>
              <w:t>1</w:t>
            </w:r>
            <w:r>
              <w:rPr>
                <w:noProof/>
                <w:webHidden/>
              </w:rPr>
              <w:fldChar w:fldCharType="end"/>
            </w:r>
          </w:hyperlink>
        </w:p>
        <w:p w14:paraId="17CAC0C9" w14:textId="01F5734C" w:rsidR="00D3642E" w:rsidRDefault="00D3642E">
          <w:pPr>
            <w:pStyle w:val="TOC2"/>
            <w:tabs>
              <w:tab w:val="left" w:pos="880"/>
              <w:tab w:val="right" w:leader="dot" w:pos="9016"/>
            </w:tabs>
            <w:rPr>
              <w:rFonts w:asciiTheme="minorHAnsi" w:eastAsiaTheme="minorEastAsia" w:hAnsiTheme="minorHAnsi"/>
              <w:noProof/>
              <w:sz w:val="22"/>
              <w:lang w:eastAsia="en-ZA"/>
            </w:rPr>
          </w:pPr>
          <w:hyperlink w:anchor="_Toc525042480" w:history="1">
            <w:r w:rsidRPr="00055F8A">
              <w:rPr>
                <w:rStyle w:val="Hyperlink"/>
                <w:noProof/>
              </w:rPr>
              <w:t>2.1</w:t>
            </w:r>
            <w:r>
              <w:rPr>
                <w:rFonts w:asciiTheme="minorHAnsi" w:eastAsiaTheme="minorEastAsia" w:hAnsiTheme="minorHAnsi"/>
                <w:noProof/>
                <w:sz w:val="22"/>
                <w:lang w:eastAsia="en-ZA"/>
              </w:rPr>
              <w:tab/>
            </w:r>
            <w:r w:rsidRPr="00055F8A">
              <w:rPr>
                <w:rStyle w:val="Hyperlink"/>
                <w:noProof/>
              </w:rPr>
              <w:t>Defining food security</w:t>
            </w:r>
            <w:r>
              <w:rPr>
                <w:noProof/>
                <w:webHidden/>
              </w:rPr>
              <w:tab/>
            </w:r>
            <w:r>
              <w:rPr>
                <w:noProof/>
                <w:webHidden/>
              </w:rPr>
              <w:fldChar w:fldCharType="begin"/>
            </w:r>
            <w:r>
              <w:rPr>
                <w:noProof/>
                <w:webHidden/>
              </w:rPr>
              <w:instrText xml:space="preserve"> PAGEREF _Toc525042480 \h </w:instrText>
            </w:r>
            <w:r>
              <w:rPr>
                <w:noProof/>
                <w:webHidden/>
              </w:rPr>
            </w:r>
            <w:r>
              <w:rPr>
                <w:noProof/>
                <w:webHidden/>
              </w:rPr>
              <w:fldChar w:fldCharType="separate"/>
            </w:r>
            <w:r>
              <w:rPr>
                <w:noProof/>
                <w:webHidden/>
              </w:rPr>
              <w:t>1</w:t>
            </w:r>
            <w:r>
              <w:rPr>
                <w:noProof/>
                <w:webHidden/>
              </w:rPr>
              <w:fldChar w:fldCharType="end"/>
            </w:r>
          </w:hyperlink>
        </w:p>
        <w:p w14:paraId="5852A24E" w14:textId="7097F23B" w:rsidR="00D3642E" w:rsidRDefault="00D3642E">
          <w:pPr>
            <w:pStyle w:val="TOC2"/>
            <w:tabs>
              <w:tab w:val="left" w:pos="880"/>
              <w:tab w:val="right" w:leader="dot" w:pos="9016"/>
            </w:tabs>
            <w:rPr>
              <w:rFonts w:asciiTheme="minorHAnsi" w:eastAsiaTheme="minorEastAsia" w:hAnsiTheme="minorHAnsi"/>
              <w:noProof/>
              <w:sz w:val="22"/>
              <w:lang w:eastAsia="en-ZA"/>
            </w:rPr>
          </w:pPr>
          <w:hyperlink w:anchor="_Toc525042481" w:history="1">
            <w:r w:rsidRPr="00055F8A">
              <w:rPr>
                <w:rStyle w:val="Hyperlink"/>
                <w:noProof/>
              </w:rPr>
              <w:t>2.2</w:t>
            </w:r>
            <w:r>
              <w:rPr>
                <w:rFonts w:asciiTheme="minorHAnsi" w:eastAsiaTheme="minorEastAsia" w:hAnsiTheme="minorHAnsi"/>
                <w:noProof/>
                <w:sz w:val="22"/>
                <w:lang w:eastAsia="en-ZA"/>
              </w:rPr>
              <w:tab/>
            </w:r>
            <w:r w:rsidRPr="00055F8A">
              <w:rPr>
                <w:rStyle w:val="Hyperlink"/>
                <w:noProof/>
              </w:rPr>
              <w:t>Food availability</w:t>
            </w:r>
            <w:r>
              <w:rPr>
                <w:noProof/>
                <w:webHidden/>
              </w:rPr>
              <w:tab/>
            </w:r>
            <w:r>
              <w:rPr>
                <w:noProof/>
                <w:webHidden/>
              </w:rPr>
              <w:fldChar w:fldCharType="begin"/>
            </w:r>
            <w:r>
              <w:rPr>
                <w:noProof/>
                <w:webHidden/>
              </w:rPr>
              <w:instrText xml:space="preserve"> PAGEREF _Toc525042481 \h </w:instrText>
            </w:r>
            <w:r>
              <w:rPr>
                <w:noProof/>
                <w:webHidden/>
              </w:rPr>
            </w:r>
            <w:r>
              <w:rPr>
                <w:noProof/>
                <w:webHidden/>
              </w:rPr>
              <w:fldChar w:fldCharType="separate"/>
            </w:r>
            <w:r>
              <w:rPr>
                <w:noProof/>
                <w:webHidden/>
              </w:rPr>
              <w:t>2</w:t>
            </w:r>
            <w:r>
              <w:rPr>
                <w:noProof/>
                <w:webHidden/>
              </w:rPr>
              <w:fldChar w:fldCharType="end"/>
            </w:r>
          </w:hyperlink>
        </w:p>
        <w:p w14:paraId="75296885" w14:textId="79194CE7" w:rsidR="00D3642E" w:rsidRDefault="00D3642E">
          <w:pPr>
            <w:pStyle w:val="TOC2"/>
            <w:tabs>
              <w:tab w:val="left" w:pos="880"/>
              <w:tab w:val="right" w:leader="dot" w:pos="9016"/>
            </w:tabs>
            <w:rPr>
              <w:rFonts w:asciiTheme="minorHAnsi" w:eastAsiaTheme="minorEastAsia" w:hAnsiTheme="minorHAnsi"/>
              <w:noProof/>
              <w:sz w:val="22"/>
              <w:lang w:eastAsia="en-ZA"/>
            </w:rPr>
          </w:pPr>
          <w:hyperlink w:anchor="_Toc525042482" w:history="1">
            <w:r w:rsidRPr="00055F8A">
              <w:rPr>
                <w:rStyle w:val="Hyperlink"/>
                <w:noProof/>
              </w:rPr>
              <w:t>2.3</w:t>
            </w:r>
            <w:r>
              <w:rPr>
                <w:rFonts w:asciiTheme="minorHAnsi" w:eastAsiaTheme="minorEastAsia" w:hAnsiTheme="minorHAnsi"/>
                <w:noProof/>
                <w:sz w:val="22"/>
                <w:lang w:eastAsia="en-ZA"/>
              </w:rPr>
              <w:tab/>
            </w:r>
            <w:r w:rsidRPr="00055F8A">
              <w:rPr>
                <w:rStyle w:val="Hyperlink"/>
                <w:noProof/>
              </w:rPr>
              <w:t>Utilization of food</w:t>
            </w:r>
            <w:r>
              <w:rPr>
                <w:noProof/>
                <w:webHidden/>
              </w:rPr>
              <w:tab/>
            </w:r>
            <w:r>
              <w:rPr>
                <w:noProof/>
                <w:webHidden/>
              </w:rPr>
              <w:fldChar w:fldCharType="begin"/>
            </w:r>
            <w:r>
              <w:rPr>
                <w:noProof/>
                <w:webHidden/>
              </w:rPr>
              <w:instrText xml:space="preserve"> PAGEREF _Toc525042482 \h </w:instrText>
            </w:r>
            <w:r>
              <w:rPr>
                <w:noProof/>
                <w:webHidden/>
              </w:rPr>
            </w:r>
            <w:r>
              <w:rPr>
                <w:noProof/>
                <w:webHidden/>
              </w:rPr>
              <w:fldChar w:fldCharType="separate"/>
            </w:r>
            <w:r>
              <w:rPr>
                <w:noProof/>
                <w:webHidden/>
              </w:rPr>
              <w:t>3</w:t>
            </w:r>
            <w:r>
              <w:rPr>
                <w:noProof/>
                <w:webHidden/>
              </w:rPr>
              <w:fldChar w:fldCharType="end"/>
            </w:r>
          </w:hyperlink>
        </w:p>
        <w:p w14:paraId="509B9C85" w14:textId="14883F5F" w:rsidR="00D3642E" w:rsidRDefault="00D3642E">
          <w:pPr>
            <w:pStyle w:val="TOC2"/>
            <w:tabs>
              <w:tab w:val="left" w:pos="880"/>
              <w:tab w:val="right" w:leader="dot" w:pos="9016"/>
            </w:tabs>
            <w:rPr>
              <w:rFonts w:asciiTheme="minorHAnsi" w:eastAsiaTheme="minorEastAsia" w:hAnsiTheme="minorHAnsi"/>
              <w:noProof/>
              <w:sz w:val="22"/>
              <w:lang w:eastAsia="en-ZA"/>
            </w:rPr>
          </w:pPr>
          <w:hyperlink w:anchor="_Toc525042483" w:history="1">
            <w:r w:rsidRPr="00055F8A">
              <w:rPr>
                <w:rStyle w:val="Hyperlink"/>
                <w:noProof/>
              </w:rPr>
              <w:t>2.4</w:t>
            </w:r>
            <w:r>
              <w:rPr>
                <w:rFonts w:asciiTheme="minorHAnsi" w:eastAsiaTheme="minorEastAsia" w:hAnsiTheme="minorHAnsi"/>
                <w:noProof/>
                <w:sz w:val="22"/>
                <w:lang w:eastAsia="en-ZA"/>
              </w:rPr>
              <w:tab/>
            </w:r>
            <w:r w:rsidRPr="00055F8A">
              <w:rPr>
                <w:rStyle w:val="Hyperlink"/>
                <w:noProof/>
              </w:rPr>
              <w:t>Food stability</w:t>
            </w:r>
            <w:r>
              <w:rPr>
                <w:noProof/>
                <w:webHidden/>
              </w:rPr>
              <w:tab/>
            </w:r>
            <w:r>
              <w:rPr>
                <w:noProof/>
                <w:webHidden/>
              </w:rPr>
              <w:fldChar w:fldCharType="begin"/>
            </w:r>
            <w:r>
              <w:rPr>
                <w:noProof/>
                <w:webHidden/>
              </w:rPr>
              <w:instrText xml:space="preserve"> PAGEREF _Toc525042483 \h </w:instrText>
            </w:r>
            <w:r>
              <w:rPr>
                <w:noProof/>
                <w:webHidden/>
              </w:rPr>
            </w:r>
            <w:r>
              <w:rPr>
                <w:noProof/>
                <w:webHidden/>
              </w:rPr>
              <w:fldChar w:fldCharType="separate"/>
            </w:r>
            <w:r>
              <w:rPr>
                <w:noProof/>
                <w:webHidden/>
              </w:rPr>
              <w:t>4</w:t>
            </w:r>
            <w:r>
              <w:rPr>
                <w:noProof/>
                <w:webHidden/>
              </w:rPr>
              <w:fldChar w:fldCharType="end"/>
            </w:r>
          </w:hyperlink>
        </w:p>
        <w:p w14:paraId="7CD06ADC" w14:textId="0563DCDD" w:rsidR="00D3642E" w:rsidRDefault="00D3642E">
          <w:pPr>
            <w:pStyle w:val="TOC1"/>
            <w:tabs>
              <w:tab w:val="left" w:pos="480"/>
              <w:tab w:val="right" w:leader="dot" w:pos="9016"/>
            </w:tabs>
            <w:rPr>
              <w:rFonts w:asciiTheme="minorHAnsi" w:eastAsiaTheme="minorEastAsia" w:hAnsiTheme="minorHAnsi"/>
              <w:noProof/>
              <w:sz w:val="22"/>
              <w:lang w:eastAsia="en-ZA"/>
            </w:rPr>
          </w:pPr>
          <w:hyperlink w:anchor="_Toc525042484" w:history="1">
            <w:r w:rsidRPr="00055F8A">
              <w:rPr>
                <w:rStyle w:val="Hyperlink"/>
                <w:noProof/>
              </w:rPr>
              <w:t>3</w:t>
            </w:r>
            <w:r>
              <w:rPr>
                <w:rFonts w:asciiTheme="minorHAnsi" w:eastAsiaTheme="minorEastAsia" w:hAnsiTheme="minorHAnsi"/>
                <w:noProof/>
                <w:sz w:val="22"/>
                <w:lang w:eastAsia="en-ZA"/>
              </w:rPr>
              <w:tab/>
            </w:r>
            <w:r w:rsidRPr="00055F8A">
              <w:rPr>
                <w:rStyle w:val="Hyperlink"/>
                <w:noProof/>
                <w:shd w:val="clear" w:color="auto" w:fill="FFFFFF"/>
              </w:rPr>
              <w:t>Climate change in East Africa and its likely effects on certain agricultural crops in Uganda</w:t>
            </w:r>
            <w:r>
              <w:rPr>
                <w:noProof/>
                <w:webHidden/>
              </w:rPr>
              <w:tab/>
            </w:r>
            <w:r>
              <w:rPr>
                <w:noProof/>
                <w:webHidden/>
              </w:rPr>
              <w:fldChar w:fldCharType="begin"/>
            </w:r>
            <w:r>
              <w:rPr>
                <w:noProof/>
                <w:webHidden/>
              </w:rPr>
              <w:instrText xml:space="preserve"> PAGEREF _Toc525042484 \h </w:instrText>
            </w:r>
            <w:r>
              <w:rPr>
                <w:noProof/>
                <w:webHidden/>
              </w:rPr>
            </w:r>
            <w:r>
              <w:rPr>
                <w:noProof/>
                <w:webHidden/>
              </w:rPr>
              <w:fldChar w:fldCharType="separate"/>
            </w:r>
            <w:r>
              <w:rPr>
                <w:noProof/>
                <w:webHidden/>
              </w:rPr>
              <w:t>7</w:t>
            </w:r>
            <w:r>
              <w:rPr>
                <w:noProof/>
                <w:webHidden/>
              </w:rPr>
              <w:fldChar w:fldCharType="end"/>
            </w:r>
          </w:hyperlink>
        </w:p>
        <w:p w14:paraId="62A0843D" w14:textId="74C49FF0" w:rsidR="00D3642E" w:rsidRDefault="00D3642E">
          <w:pPr>
            <w:pStyle w:val="TOC2"/>
            <w:tabs>
              <w:tab w:val="left" w:pos="880"/>
              <w:tab w:val="right" w:leader="dot" w:pos="9016"/>
            </w:tabs>
            <w:rPr>
              <w:rFonts w:asciiTheme="minorHAnsi" w:eastAsiaTheme="minorEastAsia" w:hAnsiTheme="minorHAnsi"/>
              <w:noProof/>
              <w:sz w:val="22"/>
              <w:lang w:eastAsia="en-ZA"/>
            </w:rPr>
          </w:pPr>
          <w:hyperlink w:anchor="_Toc525042485" w:history="1">
            <w:r w:rsidRPr="00055F8A">
              <w:rPr>
                <w:rStyle w:val="Hyperlink"/>
                <w:noProof/>
              </w:rPr>
              <w:t>3.1</w:t>
            </w:r>
            <w:r>
              <w:rPr>
                <w:rFonts w:asciiTheme="minorHAnsi" w:eastAsiaTheme="minorEastAsia" w:hAnsiTheme="minorHAnsi"/>
                <w:noProof/>
                <w:sz w:val="22"/>
                <w:lang w:eastAsia="en-ZA"/>
              </w:rPr>
              <w:tab/>
            </w:r>
            <w:r w:rsidRPr="00055F8A">
              <w:rPr>
                <w:rStyle w:val="Hyperlink"/>
                <w:noProof/>
              </w:rPr>
              <w:t>Bananas</w:t>
            </w:r>
            <w:r>
              <w:rPr>
                <w:noProof/>
                <w:webHidden/>
              </w:rPr>
              <w:tab/>
            </w:r>
            <w:r>
              <w:rPr>
                <w:noProof/>
                <w:webHidden/>
              </w:rPr>
              <w:fldChar w:fldCharType="begin"/>
            </w:r>
            <w:r>
              <w:rPr>
                <w:noProof/>
                <w:webHidden/>
              </w:rPr>
              <w:instrText xml:space="preserve"> PAGEREF _Toc525042485 \h </w:instrText>
            </w:r>
            <w:r>
              <w:rPr>
                <w:noProof/>
                <w:webHidden/>
              </w:rPr>
            </w:r>
            <w:r>
              <w:rPr>
                <w:noProof/>
                <w:webHidden/>
              </w:rPr>
              <w:fldChar w:fldCharType="separate"/>
            </w:r>
            <w:r>
              <w:rPr>
                <w:noProof/>
                <w:webHidden/>
              </w:rPr>
              <w:t>7</w:t>
            </w:r>
            <w:r>
              <w:rPr>
                <w:noProof/>
                <w:webHidden/>
              </w:rPr>
              <w:fldChar w:fldCharType="end"/>
            </w:r>
          </w:hyperlink>
        </w:p>
        <w:p w14:paraId="42FDFDFD" w14:textId="344D196E" w:rsidR="00D3642E" w:rsidRDefault="00D3642E">
          <w:pPr>
            <w:pStyle w:val="TOC2"/>
            <w:tabs>
              <w:tab w:val="left" w:pos="880"/>
              <w:tab w:val="right" w:leader="dot" w:pos="9016"/>
            </w:tabs>
            <w:rPr>
              <w:rFonts w:asciiTheme="minorHAnsi" w:eastAsiaTheme="minorEastAsia" w:hAnsiTheme="minorHAnsi"/>
              <w:noProof/>
              <w:sz w:val="22"/>
              <w:lang w:eastAsia="en-ZA"/>
            </w:rPr>
          </w:pPr>
          <w:hyperlink w:anchor="_Toc525042486" w:history="1">
            <w:r w:rsidRPr="00055F8A">
              <w:rPr>
                <w:rStyle w:val="Hyperlink"/>
                <w:noProof/>
              </w:rPr>
              <w:t>3.2</w:t>
            </w:r>
            <w:r>
              <w:rPr>
                <w:rFonts w:asciiTheme="minorHAnsi" w:eastAsiaTheme="minorEastAsia" w:hAnsiTheme="minorHAnsi"/>
                <w:noProof/>
                <w:sz w:val="22"/>
                <w:lang w:eastAsia="en-ZA"/>
              </w:rPr>
              <w:tab/>
            </w:r>
            <w:r w:rsidRPr="00055F8A">
              <w:rPr>
                <w:rStyle w:val="Hyperlink"/>
                <w:noProof/>
              </w:rPr>
              <w:t>Beans</w:t>
            </w:r>
            <w:r>
              <w:rPr>
                <w:noProof/>
                <w:webHidden/>
              </w:rPr>
              <w:tab/>
            </w:r>
            <w:r>
              <w:rPr>
                <w:noProof/>
                <w:webHidden/>
              </w:rPr>
              <w:fldChar w:fldCharType="begin"/>
            </w:r>
            <w:r>
              <w:rPr>
                <w:noProof/>
                <w:webHidden/>
              </w:rPr>
              <w:instrText xml:space="preserve"> PAGEREF _Toc525042486 \h </w:instrText>
            </w:r>
            <w:r>
              <w:rPr>
                <w:noProof/>
                <w:webHidden/>
              </w:rPr>
            </w:r>
            <w:r>
              <w:rPr>
                <w:noProof/>
                <w:webHidden/>
              </w:rPr>
              <w:fldChar w:fldCharType="separate"/>
            </w:r>
            <w:r>
              <w:rPr>
                <w:noProof/>
                <w:webHidden/>
              </w:rPr>
              <w:t>8</w:t>
            </w:r>
            <w:r>
              <w:rPr>
                <w:noProof/>
                <w:webHidden/>
              </w:rPr>
              <w:fldChar w:fldCharType="end"/>
            </w:r>
          </w:hyperlink>
        </w:p>
        <w:p w14:paraId="2505A6FB" w14:textId="11AC1AC3" w:rsidR="00D3642E" w:rsidRDefault="00D3642E">
          <w:pPr>
            <w:pStyle w:val="TOC2"/>
            <w:tabs>
              <w:tab w:val="left" w:pos="880"/>
              <w:tab w:val="right" w:leader="dot" w:pos="9016"/>
            </w:tabs>
            <w:rPr>
              <w:rFonts w:asciiTheme="minorHAnsi" w:eastAsiaTheme="minorEastAsia" w:hAnsiTheme="minorHAnsi"/>
              <w:noProof/>
              <w:sz w:val="22"/>
              <w:lang w:eastAsia="en-ZA"/>
            </w:rPr>
          </w:pPr>
          <w:hyperlink w:anchor="_Toc525042487" w:history="1">
            <w:r w:rsidRPr="00055F8A">
              <w:rPr>
                <w:rStyle w:val="Hyperlink"/>
                <w:noProof/>
              </w:rPr>
              <w:t>3.3</w:t>
            </w:r>
            <w:r>
              <w:rPr>
                <w:rFonts w:asciiTheme="minorHAnsi" w:eastAsiaTheme="minorEastAsia" w:hAnsiTheme="minorHAnsi"/>
                <w:noProof/>
                <w:sz w:val="22"/>
                <w:lang w:eastAsia="en-ZA"/>
              </w:rPr>
              <w:tab/>
            </w:r>
            <w:r w:rsidRPr="00055F8A">
              <w:rPr>
                <w:rStyle w:val="Hyperlink"/>
                <w:noProof/>
              </w:rPr>
              <w:t>Cassava</w:t>
            </w:r>
            <w:r>
              <w:rPr>
                <w:noProof/>
                <w:webHidden/>
              </w:rPr>
              <w:tab/>
            </w:r>
            <w:r>
              <w:rPr>
                <w:noProof/>
                <w:webHidden/>
              </w:rPr>
              <w:fldChar w:fldCharType="begin"/>
            </w:r>
            <w:r>
              <w:rPr>
                <w:noProof/>
                <w:webHidden/>
              </w:rPr>
              <w:instrText xml:space="preserve"> PAGEREF _Toc525042487 \h </w:instrText>
            </w:r>
            <w:r>
              <w:rPr>
                <w:noProof/>
                <w:webHidden/>
              </w:rPr>
            </w:r>
            <w:r>
              <w:rPr>
                <w:noProof/>
                <w:webHidden/>
              </w:rPr>
              <w:fldChar w:fldCharType="separate"/>
            </w:r>
            <w:r>
              <w:rPr>
                <w:noProof/>
                <w:webHidden/>
              </w:rPr>
              <w:t>8</w:t>
            </w:r>
            <w:r>
              <w:rPr>
                <w:noProof/>
                <w:webHidden/>
              </w:rPr>
              <w:fldChar w:fldCharType="end"/>
            </w:r>
          </w:hyperlink>
        </w:p>
        <w:p w14:paraId="64E3BD61" w14:textId="655E2267" w:rsidR="00D3642E" w:rsidRDefault="00D3642E">
          <w:pPr>
            <w:pStyle w:val="TOC2"/>
            <w:tabs>
              <w:tab w:val="left" w:pos="880"/>
              <w:tab w:val="right" w:leader="dot" w:pos="9016"/>
            </w:tabs>
            <w:rPr>
              <w:rFonts w:asciiTheme="minorHAnsi" w:eastAsiaTheme="minorEastAsia" w:hAnsiTheme="minorHAnsi"/>
              <w:noProof/>
              <w:sz w:val="22"/>
              <w:lang w:eastAsia="en-ZA"/>
            </w:rPr>
          </w:pPr>
          <w:hyperlink w:anchor="_Toc525042488" w:history="1">
            <w:r w:rsidRPr="00055F8A">
              <w:rPr>
                <w:rStyle w:val="Hyperlink"/>
                <w:noProof/>
              </w:rPr>
              <w:t>3.4</w:t>
            </w:r>
            <w:r>
              <w:rPr>
                <w:rFonts w:asciiTheme="minorHAnsi" w:eastAsiaTheme="minorEastAsia" w:hAnsiTheme="minorHAnsi"/>
                <w:noProof/>
                <w:sz w:val="22"/>
                <w:lang w:eastAsia="en-ZA"/>
              </w:rPr>
              <w:tab/>
            </w:r>
            <w:r w:rsidRPr="00055F8A">
              <w:rPr>
                <w:rStyle w:val="Hyperlink"/>
                <w:noProof/>
              </w:rPr>
              <w:t>Coffee and Tea</w:t>
            </w:r>
            <w:r>
              <w:rPr>
                <w:noProof/>
                <w:webHidden/>
              </w:rPr>
              <w:tab/>
            </w:r>
            <w:r>
              <w:rPr>
                <w:noProof/>
                <w:webHidden/>
              </w:rPr>
              <w:fldChar w:fldCharType="begin"/>
            </w:r>
            <w:r>
              <w:rPr>
                <w:noProof/>
                <w:webHidden/>
              </w:rPr>
              <w:instrText xml:space="preserve"> PAGEREF _Toc525042488 \h </w:instrText>
            </w:r>
            <w:r>
              <w:rPr>
                <w:noProof/>
                <w:webHidden/>
              </w:rPr>
            </w:r>
            <w:r>
              <w:rPr>
                <w:noProof/>
                <w:webHidden/>
              </w:rPr>
              <w:fldChar w:fldCharType="separate"/>
            </w:r>
            <w:r>
              <w:rPr>
                <w:noProof/>
                <w:webHidden/>
              </w:rPr>
              <w:t>9</w:t>
            </w:r>
            <w:r>
              <w:rPr>
                <w:noProof/>
                <w:webHidden/>
              </w:rPr>
              <w:fldChar w:fldCharType="end"/>
            </w:r>
          </w:hyperlink>
        </w:p>
        <w:p w14:paraId="0FE5160C" w14:textId="5CF9CC96" w:rsidR="00D3642E" w:rsidRDefault="00D3642E">
          <w:pPr>
            <w:pStyle w:val="TOC2"/>
            <w:tabs>
              <w:tab w:val="left" w:pos="880"/>
              <w:tab w:val="right" w:leader="dot" w:pos="9016"/>
            </w:tabs>
            <w:rPr>
              <w:rFonts w:asciiTheme="minorHAnsi" w:eastAsiaTheme="minorEastAsia" w:hAnsiTheme="minorHAnsi"/>
              <w:noProof/>
              <w:sz w:val="22"/>
              <w:lang w:eastAsia="en-ZA"/>
            </w:rPr>
          </w:pPr>
          <w:hyperlink w:anchor="_Toc525042489" w:history="1">
            <w:r w:rsidRPr="00055F8A">
              <w:rPr>
                <w:rStyle w:val="Hyperlink"/>
                <w:noProof/>
              </w:rPr>
              <w:t>3.5</w:t>
            </w:r>
            <w:r>
              <w:rPr>
                <w:rFonts w:asciiTheme="minorHAnsi" w:eastAsiaTheme="minorEastAsia" w:hAnsiTheme="minorHAnsi"/>
                <w:noProof/>
                <w:sz w:val="22"/>
                <w:lang w:eastAsia="en-ZA"/>
              </w:rPr>
              <w:tab/>
            </w:r>
            <w:r w:rsidRPr="00055F8A">
              <w:rPr>
                <w:rStyle w:val="Hyperlink"/>
                <w:noProof/>
              </w:rPr>
              <w:t>Cotton</w:t>
            </w:r>
            <w:r>
              <w:rPr>
                <w:noProof/>
                <w:webHidden/>
              </w:rPr>
              <w:tab/>
            </w:r>
            <w:r>
              <w:rPr>
                <w:noProof/>
                <w:webHidden/>
              </w:rPr>
              <w:fldChar w:fldCharType="begin"/>
            </w:r>
            <w:r>
              <w:rPr>
                <w:noProof/>
                <w:webHidden/>
              </w:rPr>
              <w:instrText xml:space="preserve"> PAGEREF _Toc525042489 \h </w:instrText>
            </w:r>
            <w:r>
              <w:rPr>
                <w:noProof/>
                <w:webHidden/>
              </w:rPr>
            </w:r>
            <w:r>
              <w:rPr>
                <w:noProof/>
                <w:webHidden/>
              </w:rPr>
              <w:fldChar w:fldCharType="separate"/>
            </w:r>
            <w:r>
              <w:rPr>
                <w:noProof/>
                <w:webHidden/>
              </w:rPr>
              <w:t>9</w:t>
            </w:r>
            <w:r>
              <w:rPr>
                <w:noProof/>
                <w:webHidden/>
              </w:rPr>
              <w:fldChar w:fldCharType="end"/>
            </w:r>
          </w:hyperlink>
        </w:p>
        <w:p w14:paraId="628B7BBC" w14:textId="0B1480E0" w:rsidR="00D3642E" w:rsidRDefault="00D3642E">
          <w:pPr>
            <w:pStyle w:val="TOC2"/>
            <w:tabs>
              <w:tab w:val="left" w:pos="880"/>
              <w:tab w:val="right" w:leader="dot" w:pos="9016"/>
            </w:tabs>
            <w:rPr>
              <w:rFonts w:asciiTheme="minorHAnsi" w:eastAsiaTheme="minorEastAsia" w:hAnsiTheme="minorHAnsi"/>
              <w:noProof/>
              <w:sz w:val="22"/>
              <w:lang w:eastAsia="en-ZA"/>
            </w:rPr>
          </w:pPr>
          <w:hyperlink w:anchor="_Toc525042490" w:history="1">
            <w:r w:rsidRPr="00055F8A">
              <w:rPr>
                <w:rStyle w:val="Hyperlink"/>
                <w:noProof/>
              </w:rPr>
              <w:t>3.6</w:t>
            </w:r>
            <w:r>
              <w:rPr>
                <w:rFonts w:asciiTheme="minorHAnsi" w:eastAsiaTheme="minorEastAsia" w:hAnsiTheme="minorHAnsi"/>
                <w:noProof/>
                <w:sz w:val="22"/>
                <w:lang w:eastAsia="en-ZA"/>
              </w:rPr>
              <w:tab/>
            </w:r>
            <w:r w:rsidRPr="00055F8A">
              <w:rPr>
                <w:rStyle w:val="Hyperlink"/>
                <w:noProof/>
              </w:rPr>
              <w:t>Maize</w:t>
            </w:r>
            <w:r>
              <w:rPr>
                <w:noProof/>
                <w:webHidden/>
              </w:rPr>
              <w:tab/>
            </w:r>
            <w:r>
              <w:rPr>
                <w:noProof/>
                <w:webHidden/>
              </w:rPr>
              <w:fldChar w:fldCharType="begin"/>
            </w:r>
            <w:r>
              <w:rPr>
                <w:noProof/>
                <w:webHidden/>
              </w:rPr>
              <w:instrText xml:space="preserve"> PAGEREF _Toc525042490 \h </w:instrText>
            </w:r>
            <w:r>
              <w:rPr>
                <w:noProof/>
                <w:webHidden/>
              </w:rPr>
            </w:r>
            <w:r>
              <w:rPr>
                <w:noProof/>
                <w:webHidden/>
              </w:rPr>
              <w:fldChar w:fldCharType="separate"/>
            </w:r>
            <w:r>
              <w:rPr>
                <w:noProof/>
                <w:webHidden/>
              </w:rPr>
              <w:t>10</w:t>
            </w:r>
            <w:r>
              <w:rPr>
                <w:noProof/>
                <w:webHidden/>
              </w:rPr>
              <w:fldChar w:fldCharType="end"/>
            </w:r>
          </w:hyperlink>
        </w:p>
        <w:p w14:paraId="1C16D00A" w14:textId="4BA8E291" w:rsidR="00D3642E" w:rsidRDefault="00D3642E">
          <w:pPr>
            <w:pStyle w:val="TOC2"/>
            <w:tabs>
              <w:tab w:val="left" w:pos="880"/>
              <w:tab w:val="right" w:leader="dot" w:pos="9016"/>
            </w:tabs>
            <w:rPr>
              <w:rFonts w:asciiTheme="minorHAnsi" w:eastAsiaTheme="minorEastAsia" w:hAnsiTheme="minorHAnsi"/>
              <w:noProof/>
              <w:sz w:val="22"/>
              <w:lang w:eastAsia="en-ZA"/>
            </w:rPr>
          </w:pPr>
          <w:hyperlink w:anchor="_Toc525042491" w:history="1">
            <w:r w:rsidRPr="00055F8A">
              <w:rPr>
                <w:rStyle w:val="Hyperlink"/>
                <w:noProof/>
              </w:rPr>
              <w:t>3.7</w:t>
            </w:r>
            <w:r>
              <w:rPr>
                <w:rFonts w:asciiTheme="minorHAnsi" w:eastAsiaTheme="minorEastAsia" w:hAnsiTheme="minorHAnsi"/>
                <w:noProof/>
                <w:sz w:val="22"/>
                <w:lang w:eastAsia="en-ZA"/>
              </w:rPr>
              <w:tab/>
            </w:r>
            <w:r w:rsidRPr="00055F8A">
              <w:rPr>
                <w:rStyle w:val="Hyperlink"/>
                <w:noProof/>
              </w:rPr>
              <w:t>Millet</w:t>
            </w:r>
            <w:r>
              <w:rPr>
                <w:noProof/>
                <w:webHidden/>
              </w:rPr>
              <w:tab/>
            </w:r>
            <w:r>
              <w:rPr>
                <w:noProof/>
                <w:webHidden/>
              </w:rPr>
              <w:fldChar w:fldCharType="begin"/>
            </w:r>
            <w:r>
              <w:rPr>
                <w:noProof/>
                <w:webHidden/>
              </w:rPr>
              <w:instrText xml:space="preserve"> PAGEREF _Toc525042491 \h </w:instrText>
            </w:r>
            <w:r>
              <w:rPr>
                <w:noProof/>
                <w:webHidden/>
              </w:rPr>
            </w:r>
            <w:r>
              <w:rPr>
                <w:noProof/>
                <w:webHidden/>
              </w:rPr>
              <w:fldChar w:fldCharType="separate"/>
            </w:r>
            <w:r>
              <w:rPr>
                <w:noProof/>
                <w:webHidden/>
              </w:rPr>
              <w:t>10</w:t>
            </w:r>
            <w:r>
              <w:rPr>
                <w:noProof/>
                <w:webHidden/>
              </w:rPr>
              <w:fldChar w:fldCharType="end"/>
            </w:r>
          </w:hyperlink>
        </w:p>
        <w:p w14:paraId="3237C2F6" w14:textId="733C20CA" w:rsidR="00D3642E" w:rsidRDefault="00D3642E">
          <w:pPr>
            <w:pStyle w:val="TOC2"/>
            <w:tabs>
              <w:tab w:val="left" w:pos="880"/>
              <w:tab w:val="right" w:leader="dot" w:pos="9016"/>
            </w:tabs>
            <w:rPr>
              <w:rFonts w:asciiTheme="minorHAnsi" w:eastAsiaTheme="minorEastAsia" w:hAnsiTheme="minorHAnsi"/>
              <w:noProof/>
              <w:sz w:val="22"/>
              <w:lang w:eastAsia="en-ZA"/>
            </w:rPr>
          </w:pPr>
          <w:hyperlink w:anchor="_Toc525042492" w:history="1">
            <w:r w:rsidRPr="00055F8A">
              <w:rPr>
                <w:rStyle w:val="Hyperlink"/>
                <w:noProof/>
              </w:rPr>
              <w:t>3.8</w:t>
            </w:r>
            <w:r>
              <w:rPr>
                <w:rFonts w:asciiTheme="minorHAnsi" w:eastAsiaTheme="minorEastAsia" w:hAnsiTheme="minorHAnsi"/>
                <w:noProof/>
                <w:sz w:val="22"/>
                <w:lang w:eastAsia="en-ZA"/>
              </w:rPr>
              <w:tab/>
            </w:r>
            <w:r w:rsidRPr="00055F8A">
              <w:rPr>
                <w:rStyle w:val="Hyperlink"/>
                <w:noProof/>
              </w:rPr>
              <w:t>Rice</w:t>
            </w:r>
            <w:r>
              <w:rPr>
                <w:noProof/>
                <w:webHidden/>
              </w:rPr>
              <w:tab/>
            </w:r>
            <w:r>
              <w:rPr>
                <w:noProof/>
                <w:webHidden/>
              </w:rPr>
              <w:fldChar w:fldCharType="begin"/>
            </w:r>
            <w:r>
              <w:rPr>
                <w:noProof/>
                <w:webHidden/>
              </w:rPr>
              <w:instrText xml:space="preserve"> PAGEREF _Toc525042492 \h </w:instrText>
            </w:r>
            <w:r>
              <w:rPr>
                <w:noProof/>
                <w:webHidden/>
              </w:rPr>
            </w:r>
            <w:r>
              <w:rPr>
                <w:noProof/>
                <w:webHidden/>
              </w:rPr>
              <w:fldChar w:fldCharType="separate"/>
            </w:r>
            <w:r>
              <w:rPr>
                <w:noProof/>
                <w:webHidden/>
              </w:rPr>
              <w:t>10</w:t>
            </w:r>
            <w:r>
              <w:rPr>
                <w:noProof/>
                <w:webHidden/>
              </w:rPr>
              <w:fldChar w:fldCharType="end"/>
            </w:r>
          </w:hyperlink>
        </w:p>
        <w:p w14:paraId="203F1B1B" w14:textId="636E3BBD" w:rsidR="00D3642E" w:rsidRDefault="00D3642E">
          <w:pPr>
            <w:pStyle w:val="TOC2"/>
            <w:tabs>
              <w:tab w:val="left" w:pos="880"/>
              <w:tab w:val="right" w:leader="dot" w:pos="9016"/>
            </w:tabs>
            <w:rPr>
              <w:rFonts w:asciiTheme="minorHAnsi" w:eastAsiaTheme="minorEastAsia" w:hAnsiTheme="minorHAnsi"/>
              <w:noProof/>
              <w:sz w:val="22"/>
              <w:lang w:eastAsia="en-ZA"/>
            </w:rPr>
          </w:pPr>
          <w:hyperlink w:anchor="_Toc525042493" w:history="1">
            <w:r w:rsidRPr="00055F8A">
              <w:rPr>
                <w:rStyle w:val="Hyperlink"/>
                <w:noProof/>
              </w:rPr>
              <w:t>3.9</w:t>
            </w:r>
            <w:r>
              <w:rPr>
                <w:rFonts w:asciiTheme="minorHAnsi" w:eastAsiaTheme="minorEastAsia" w:hAnsiTheme="minorHAnsi"/>
                <w:noProof/>
                <w:sz w:val="22"/>
                <w:lang w:eastAsia="en-ZA"/>
              </w:rPr>
              <w:tab/>
            </w:r>
            <w:r w:rsidRPr="00055F8A">
              <w:rPr>
                <w:rStyle w:val="Hyperlink"/>
                <w:noProof/>
              </w:rPr>
              <w:t>Rootcrops</w:t>
            </w:r>
            <w:r>
              <w:rPr>
                <w:noProof/>
                <w:webHidden/>
              </w:rPr>
              <w:tab/>
            </w:r>
            <w:r>
              <w:rPr>
                <w:noProof/>
                <w:webHidden/>
              </w:rPr>
              <w:fldChar w:fldCharType="begin"/>
            </w:r>
            <w:r>
              <w:rPr>
                <w:noProof/>
                <w:webHidden/>
              </w:rPr>
              <w:instrText xml:space="preserve"> PAGEREF _Toc525042493 \h </w:instrText>
            </w:r>
            <w:r>
              <w:rPr>
                <w:noProof/>
                <w:webHidden/>
              </w:rPr>
            </w:r>
            <w:r>
              <w:rPr>
                <w:noProof/>
                <w:webHidden/>
              </w:rPr>
              <w:fldChar w:fldCharType="separate"/>
            </w:r>
            <w:r>
              <w:rPr>
                <w:noProof/>
                <w:webHidden/>
              </w:rPr>
              <w:t>10</w:t>
            </w:r>
            <w:r>
              <w:rPr>
                <w:noProof/>
                <w:webHidden/>
              </w:rPr>
              <w:fldChar w:fldCharType="end"/>
            </w:r>
          </w:hyperlink>
        </w:p>
        <w:p w14:paraId="2FFF9614" w14:textId="73145E39" w:rsidR="00D3642E" w:rsidRDefault="00D3642E">
          <w:pPr>
            <w:pStyle w:val="TOC3"/>
            <w:tabs>
              <w:tab w:val="left" w:pos="1320"/>
              <w:tab w:val="right" w:leader="dot" w:pos="9016"/>
            </w:tabs>
            <w:rPr>
              <w:rFonts w:asciiTheme="minorHAnsi" w:eastAsiaTheme="minorEastAsia" w:hAnsiTheme="minorHAnsi"/>
              <w:noProof/>
              <w:sz w:val="22"/>
              <w:lang w:eastAsia="en-ZA"/>
            </w:rPr>
          </w:pPr>
          <w:hyperlink w:anchor="_Toc525042494" w:history="1">
            <w:r w:rsidRPr="00055F8A">
              <w:rPr>
                <w:rStyle w:val="Hyperlink"/>
                <w:noProof/>
              </w:rPr>
              <w:t>3.9.1</w:t>
            </w:r>
            <w:r>
              <w:rPr>
                <w:rFonts w:asciiTheme="minorHAnsi" w:eastAsiaTheme="minorEastAsia" w:hAnsiTheme="minorHAnsi"/>
                <w:noProof/>
                <w:sz w:val="22"/>
                <w:lang w:eastAsia="en-ZA"/>
              </w:rPr>
              <w:tab/>
            </w:r>
            <w:r w:rsidRPr="00055F8A">
              <w:rPr>
                <w:rStyle w:val="Hyperlink"/>
                <w:noProof/>
              </w:rPr>
              <w:t>Sweet potato</w:t>
            </w:r>
            <w:r>
              <w:rPr>
                <w:noProof/>
                <w:webHidden/>
              </w:rPr>
              <w:tab/>
            </w:r>
            <w:r>
              <w:rPr>
                <w:noProof/>
                <w:webHidden/>
              </w:rPr>
              <w:fldChar w:fldCharType="begin"/>
            </w:r>
            <w:r>
              <w:rPr>
                <w:noProof/>
                <w:webHidden/>
              </w:rPr>
              <w:instrText xml:space="preserve"> PAGEREF _Toc525042494 \h </w:instrText>
            </w:r>
            <w:r>
              <w:rPr>
                <w:noProof/>
                <w:webHidden/>
              </w:rPr>
            </w:r>
            <w:r>
              <w:rPr>
                <w:noProof/>
                <w:webHidden/>
              </w:rPr>
              <w:fldChar w:fldCharType="separate"/>
            </w:r>
            <w:r>
              <w:rPr>
                <w:noProof/>
                <w:webHidden/>
              </w:rPr>
              <w:t>10</w:t>
            </w:r>
            <w:r>
              <w:rPr>
                <w:noProof/>
                <w:webHidden/>
              </w:rPr>
              <w:fldChar w:fldCharType="end"/>
            </w:r>
          </w:hyperlink>
        </w:p>
        <w:p w14:paraId="7B2D4ABD" w14:textId="4D4CE782" w:rsidR="00D3642E" w:rsidRDefault="00D3642E">
          <w:pPr>
            <w:pStyle w:val="TOC3"/>
            <w:tabs>
              <w:tab w:val="left" w:pos="1320"/>
              <w:tab w:val="right" w:leader="dot" w:pos="9016"/>
            </w:tabs>
            <w:rPr>
              <w:rFonts w:asciiTheme="minorHAnsi" w:eastAsiaTheme="minorEastAsia" w:hAnsiTheme="minorHAnsi"/>
              <w:noProof/>
              <w:sz w:val="22"/>
              <w:lang w:eastAsia="en-ZA"/>
            </w:rPr>
          </w:pPr>
          <w:hyperlink w:anchor="_Toc525042495" w:history="1">
            <w:r w:rsidRPr="00055F8A">
              <w:rPr>
                <w:rStyle w:val="Hyperlink"/>
                <w:noProof/>
              </w:rPr>
              <w:t>3.9.2</w:t>
            </w:r>
            <w:r>
              <w:rPr>
                <w:rFonts w:asciiTheme="minorHAnsi" w:eastAsiaTheme="minorEastAsia" w:hAnsiTheme="minorHAnsi"/>
                <w:noProof/>
                <w:sz w:val="22"/>
                <w:lang w:eastAsia="en-ZA"/>
              </w:rPr>
              <w:tab/>
            </w:r>
            <w:r w:rsidRPr="00055F8A">
              <w:rPr>
                <w:rStyle w:val="Hyperlink"/>
                <w:noProof/>
              </w:rPr>
              <w:t>Potato</w:t>
            </w:r>
            <w:r>
              <w:rPr>
                <w:noProof/>
                <w:webHidden/>
              </w:rPr>
              <w:tab/>
            </w:r>
            <w:r>
              <w:rPr>
                <w:noProof/>
                <w:webHidden/>
              </w:rPr>
              <w:fldChar w:fldCharType="begin"/>
            </w:r>
            <w:r>
              <w:rPr>
                <w:noProof/>
                <w:webHidden/>
              </w:rPr>
              <w:instrText xml:space="preserve"> PAGEREF _Toc525042495 \h </w:instrText>
            </w:r>
            <w:r>
              <w:rPr>
                <w:noProof/>
                <w:webHidden/>
              </w:rPr>
            </w:r>
            <w:r>
              <w:rPr>
                <w:noProof/>
                <w:webHidden/>
              </w:rPr>
              <w:fldChar w:fldCharType="separate"/>
            </w:r>
            <w:r>
              <w:rPr>
                <w:noProof/>
                <w:webHidden/>
              </w:rPr>
              <w:t>11</w:t>
            </w:r>
            <w:r>
              <w:rPr>
                <w:noProof/>
                <w:webHidden/>
              </w:rPr>
              <w:fldChar w:fldCharType="end"/>
            </w:r>
          </w:hyperlink>
        </w:p>
        <w:p w14:paraId="13992DD2" w14:textId="74D47354" w:rsidR="00D3642E" w:rsidRDefault="00D3642E">
          <w:pPr>
            <w:pStyle w:val="TOC2"/>
            <w:tabs>
              <w:tab w:val="left" w:pos="1100"/>
              <w:tab w:val="right" w:leader="dot" w:pos="9016"/>
            </w:tabs>
            <w:rPr>
              <w:rFonts w:asciiTheme="minorHAnsi" w:eastAsiaTheme="minorEastAsia" w:hAnsiTheme="minorHAnsi"/>
              <w:noProof/>
              <w:sz w:val="22"/>
              <w:lang w:eastAsia="en-ZA"/>
            </w:rPr>
          </w:pPr>
          <w:hyperlink w:anchor="_Toc525042496" w:history="1">
            <w:r w:rsidRPr="00055F8A">
              <w:rPr>
                <w:rStyle w:val="Hyperlink"/>
                <w:noProof/>
              </w:rPr>
              <w:t>3.10</w:t>
            </w:r>
            <w:r>
              <w:rPr>
                <w:rFonts w:asciiTheme="minorHAnsi" w:eastAsiaTheme="minorEastAsia" w:hAnsiTheme="minorHAnsi"/>
                <w:noProof/>
                <w:sz w:val="22"/>
                <w:lang w:eastAsia="en-ZA"/>
              </w:rPr>
              <w:tab/>
            </w:r>
            <w:r w:rsidRPr="00055F8A">
              <w:rPr>
                <w:rStyle w:val="Hyperlink"/>
                <w:noProof/>
              </w:rPr>
              <w:t>Sorghum</w:t>
            </w:r>
            <w:r>
              <w:rPr>
                <w:noProof/>
                <w:webHidden/>
              </w:rPr>
              <w:tab/>
            </w:r>
            <w:r>
              <w:rPr>
                <w:noProof/>
                <w:webHidden/>
              </w:rPr>
              <w:fldChar w:fldCharType="begin"/>
            </w:r>
            <w:r>
              <w:rPr>
                <w:noProof/>
                <w:webHidden/>
              </w:rPr>
              <w:instrText xml:space="preserve"> PAGEREF _Toc525042496 \h </w:instrText>
            </w:r>
            <w:r>
              <w:rPr>
                <w:noProof/>
                <w:webHidden/>
              </w:rPr>
            </w:r>
            <w:r>
              <w:rPr>
                <w:noProof/>
                <w:webHidden/>
              </w:rPr>
              <w:fldChar w:fldCharType="separate"/>
            </w:r>
            <w:r>
              <w:rPr>
                <w:noProof/>
                <w:webHidden/>
              </w:rPr>
              <w:t>11</w:t>
            </w:r>
            <w:r>
              <w:rPr>
                <w:noProof/>
                <w:webHidden/>
              </w:rPr>
              <w:fldChar w:fldCharType="end"/>
            </w:r>
          </w:hyperlink>
        </w:p>
        <w:p w14:paraId="767FA030" w14:textId="68E9B33A" w:rsidR="00D3642E" w:rsidRDefault="00D3642E">
          <w:pPr>
            <w:pStyle w:val="TOC2"/>
            <w:tabs>
              <w:tab w:val="left" w:pos="1100"/>
              <w:tab w:val="right" w:leader="dot" w:pos="9016"/>
            </w:tabs>
            <w:rPr>
              <w:rFonts w:asciiTheme="minorHAnsi" w:eastAsiaTheme="minorEastAsia" w:hAnsiTheme="minorHAnsi"/>
              <w:noProof/>
              <w:sz w:val="22"/>
              <w:lang w:eastAsia="en-ZA"/>
            </w:rPr>
          </w:pPr>
          <w:hyperlink w:anchor="_Toc525042497" w:history="1">
            <w:r w:rsidRPr="00055F8A">
              <w:rPr>
                <w:rStyle w:val="Hyperlink"/>
                <w:noProof/>
              </w:rPr>
              <w:t>3.11</w:t>
            </w:r>
            <w:r>
              <w:rPr>
                <w:rFonts w:asciiTheme="minorHAnsi" w:eastAsiaTheme="minorEastAsia" w:hAnsiTheme="minorHAnsi"/>
                <w:noProof/>
                <w:sz w:val="22"/>
                <w:lang w:eastAsia="en-ZA"/>
              </w:rPr>
              <w:tab/>
            </w:r>
            <w:r w:rsidRPr="00055F8A">
              <w:rPr>
                <w:rStyle w:val="Hyperlink"/>
                <w:noProof/>
              </w:rPr>
              <w:t>Wheat</w:t>
            </w:r>
            <w:r>
              <w:rPr>
                <w:noProof/>
                <w:webHidden/>
              </w:rPr>
              <w:tab/>
            </w:r>
            <w:r>
              <w:rPr>
                <w:noProof/>
                <w:webHidden/>
              </w:rPr>
              <w:fldChar w:fldCharType="begin"/>
            </w:r>
            <w:r>
              <w:rPr>
                <w:noProof/>
                <w:webHidden/>
              </w:rPr>
              <w:instrText xml:space="preserve"> PAGEREF _Toc525042497 \h </w:instrText>
            </w:r>
            <w:r>
              <w:rPr>
                <w:noProof/>
                <w:webHidden/>
              </w:rPr>
            </w:r>
            <w:r>
              <w:rPr>
                <w:noProof/>
                <w:webHidden/>
              </w:rPr>
              <w:fldChar w:fldCharType="separate"/>
            </w:r>
            <w:r>
              <w:rPr>
                <w:noProof/>
                <w:webHidden/>
              </w:rPr>
              <w:t>11</w:t>
            </w:r>
            <w:r>
              <w:rPr>
                <w:noProof/>
                <w:webHidden/>
              </w:rPr>
              <w:fldChar w:fldCharType="end"/>
            </w:r>
          </w:hyperlink>
        </w:p>
        <w:p w14:paraId="1931358B" w14:textId="01912DE9" w:rsidR="00D3642E" w:rsidRDefault="00D3642E">
          <w:pPr>
            <w:pStyle w:val="TOC2"/>
            <w:tabs>
              <w:tab w:val="left" w:pos="1100"/>
              <w:tab w:val="right" w:leader="dot" w:pos="9016"/>
            </w:tabs>
            <w:rPr>
              <w:rFonts w:asciiTheme="minorHAnsi" w:eastAsiaTheme="minorEastAsia" w:hAnsiTheme="minorHAnsi"/>
              <w:noProof/>
              <w:sz w:val="22"/>
              <w:lang w:eastAsia="en-ZA"/>
            </w:rPr>
          </w:pPr>
          <w:hyperlink w:anchor="_Toc525042498" w:history="1">
            <w:r w:rsidRPr="00055F8A">
              <w:rPr>
                <w:rStyle w:val="Hyperlink"/>
                <w:noProof/>
              </w:rPr>
              <w:t>3.12</w:t>
            </w:r>
            <w:r>
              <w:rPr>
                <w:rFonts w:asciiTheme="minorHAnsi" w:eastAsiaTheme="minorEastAsia" w:hAnsiTheme="minorHAnsi"/>
                <w:noProof/>
                <w:sz w:val="22"/>
                <w:lang w:eastAsia="en-ZA"/>
              </w:rPr>
              <w:tab/>
            </w:r>
            <w:r w:rsidRPr="00055F8A">
              <w:rPr>
                <w:rStyle w:val="Hyperlink"/>
                <w:noProof/>
              </w:rPr>
              <w:t>Livestock</w:t>
            </w:r>
            <w:r>
              <w:rPr>
                <w:noProof/>
                <w:webHidden/>
              </w:rPr>
              <w:tab/>
            </w:r>
            <w:r>
              <w:rPr>
                <w:noProof/>
                <w:webHidden/>
              </w:rPr>
              <w:fldChar w:fldCharType="begin"/>
            </w:r>
            <w:r>
              <w:rPr>
                <w:noProof/>
                <w:webHidden/>
              </w:rPr>
              <w:instrText xml:space="preserve"> PAGEREF _Toc525042498 \h </w:instrText>
            </w:r>
            <w:r>
              <w:rPr>
                <w:noProof/>
                <w:webHidden/>
              </w:rPr>
            </w:r>
            <w:r>
              <w:rPr>
                <w:noProof/>
                <w:webHidden/>
              </w:rPr>
              <w:fldChar w:fldCharType="separate"/>
            </w:r>
            <w:r>
              <w:rPr>
                <w:noProof/>
                <w:webHidden/>
              </w:rPr>
              <w:t>11</w:t>
            </w:r>
            <w:r>
              <w:rPr>
                <w:noProof/>
                <w:webHidden/>
              </w:rPr>
              <w:fldChar w:fldCharType="end"/>
            </w:r>
          </w:hyperlink>
        </w:p>
        <w:p w14:paraId="0FDFE2C0" w14:textId="13167C86" w:rsidR="00D3642E" w:rsidRDefault="00D3642E">
          <w:pPr>
            <w:pStyle w:val="TOC2"/>
            <w:tabs>
              <w:tab w:val="left" w:pos="1100"/>
              <w:tab w:val="right" w:leader="dot" w:pos="9016"/>
            </w:tabs>
            <w:rPr>
              <w:rFonts w:asciiTheme="minorHAnsi" w:eastAsiaTheme="minorEastAsia" w:hAnsiTheme="minorHAnsi"/>
              <w:noProof/>
              <w:sz w:val="22"/>
              <w:lang w:eastAsia="en-ZA"/>
            </w:rPr>
          </w:pPr>
          <w:hyperlink w:anchor="_Toc525042499" w:history="1">
            <w:r w:rsidRPr="00055F8A">
              <w:rPr>
                <w:rStyle w:val="Hyperlink"/>
                <w:noProof/>
              </w:rPr>
              <w:t>3.13</w:t>
            </w:r>
            <w:r>
              <w:rPr>
                <w:rFonts w:asciiTheme="minorHAnsi" w:eastAsiaTheme="minorEastAsia" w:hAnsiTheme="minorHAnsi"/>
                <w:noProof/>
                <w:sz w:val="22"/>
                <w:lang w:eastAsia="en-ZA"/>
              </w:rPr>
              <w:tab/>
            </w:r>
            <w:r w:rsidRPr="00055F8A">
              <w:rPr>
                <w:rStyle w:val="Hyperlink"/>
                <w:noProof/>
              </w:rPr>
              <w:t>Fisheries</w:t>
            </w:r>
            <w:r>
              <w:rPr>
                <w:noProof/>
                <w:webHidden/>
              </w:rPr>
              <w:tab/>
            </w:r>
            <w:r>
              <w:rPr>
                <w:noProof/>
                <w:webHidden/>
              </w:rPr>
              <w:fldChar w:fldCharType="begin"/>
            </w:r>
            <w:r>
              <w:rPr>
                <w:noProof/>
                <w:webHidden/>
              </w:rPr>
              <w:instrText xml:space="preserve"> PAGEREF _Toc525042499 \h </w:instrText>
            </w:r>
            <w:r>
              <w:rPr>
                <w:noProof/>
                <w:webHidden/>
              </w:rPr>
            </w:r>
            <w:r>
              <w:rPr>
                <w:noProof/>
                <w:webHidden/>
              </w:rPr>
              <w:fldChar w:fldCharType="separate"/>
            </w:r>
            <w:r>
              <w:rPr>
                <w:noProof/>
                <w:webHidden/>
              </w:rPr>
              <w:t>12</w:t>
            </w:r>
            <w:r>
              <w:rPr>
                <w:noProof/>
                <w:webHidden/>
              </w:rPr>
              <w:fldChar w:fldCharType="end"/>
            </w:r>
          </w:hyperlink>
        </w:p>
        <w:p w14:paraId="1B0A9DA5" w14:textId="21AD29EF" w:rsidR="00D3642E" w:rsidRDefault="00D3642E">
          <w:pPr>
            <w:pStyle w:val="TOC1"/>
            <w:tabs>
              <w:tab w:val="left" w:pos="480"/>
              <w:tab w:val="right" w:leader="dot" w:pos="9016"/>
            </w:tabs>
            <w:rPr>
              <w:rFonts w:asciiTheme="minorHAnsi" w:eastAsiaTheme="minorEastAsia" w:hAnsiTheme="minorHAnsi"/>
              <w:noProof/>
              <w:sz w:val="22"/>
              <w:lang w:eastAsia="en-ZA"/>
            </w:rPr>
          </w:pPr>
          <w:hyperlink w:anchor="_Toc525042500" w:history="1">
            <w:r w:rsidRPr="00055F8A">
              <w:rPr>
                <w:rStyle w:val="Hyperlink"/>
                <w:noProof/>
              </w:rPr>
              <w:t>4</w:t>
            </w:r>
            <w:r>
              <w:rPr>
                <w:rFonts w:asciiTheme="minorHAnsi" w:eastAsiaTheme="minorEastAsia" w:hAnsiTheme="minorHAnsi"/>
                <w:noProof/>
                <w:sz w:val="22"/>
                <w:lang w:eastAsia="en-ZA"/>
              </w:rPr>
              <w:tab/>
            </w:r>
            <w:r w:rsidRPr="00055F8A">
              <w:rPr>
                <w:rStyle w:val="Hyperlink"/>
                <w:noProof/>
              </w:rPr>
              <w:t>The model and database</w:t>
            </w:r>
            <w:r>
              <w:rPr>
                <w:noProof/>
                <w:webHidden/>
              </w:rPr>
              <w:tab/>
            </w:r>
            <w:r>
              <w:rPr>
                <w:noProof/>
                <w:webHidden/>
              </w:rPr>
              <w:fldChar w:fldCharType="begin"/>
            </w:r>
            <w:r>
              <w:rPr>
                <w:noProof/>
                <w:webHidden/>
              </w:rPr>
              <w:instrText xml:space="preserve"> PAGEREF _Toc525042500 \h </w:instrText>
            </w:r>
            <w:r>
              <w:rPr>
                <w:noProof/>
                <w:webHidden/>
              </w:rPr>
            </w:r>
            <w:r>
              <w:rPr>
                <w:noProof/>
                <w:webHidden/>
              </w:rPr>
              <w:fldChar w:fldCharType="separate"/>
            </w:r>
            <w:r>
              <w:rPr>
                <w:noProof/>
                <w:webHidden/>
              </w:rPr>
              <w:t>12</w:t>
            </w:r>
            <w:r>
              <w:rPr>
                <w:noProof/>
                <w:webHidden/>
              </w:rPr>
              <w:fldChar w:fldCharType="end"/>
            </w:r>
          </w:hyperlink>
        </w:p>
        <w:p w14:paraId="014E77C5" w14:textId="0EBE5B9F" w:rsidR="00D3642E" w:rsidRDefault="00D3642E">
          <w:pPr>
            <w:pStyle w:val="TOC1"/>
            <w:tabs>
              <w:tab w:val="left" w:pos="480"/>
              <w:tab w:val="right" w:leader="dot" w:pos="9016"/>
            </w:tabs>
            <w:rPr>
              <w:rFonts w:asciiTheme="minorHAnsi" w:eastAsiaTheme="minorEastAsia" w:hAnsiTheme="minorHAnsi"/>
              <w:noProof/>
              <w:sz w:val="22"/>
              <w:lang w:eastAsia="en-ZA"/>
            </w:rPr>
          </w:pPr>
          <w:hyperlink w:anchor="_Toc525042501" w:history="1">
            <w:r w:rsidRPr="00055F8A">
              <w:rPr>
                <w:rStyle w:val="Hyperlink"/>
                <w:noProof/>
              </w:rPr>
              <w:t>5</w:t>
            </w:r>
            <w:r>
              <w:rPr>
                <w:rFonts w:asciiTheme="minorHAnsi" w:eastAsiaTheme="minorEastAsia" w:hAnsiTheme="minorHAnsi"/>
                <w:noProof/>
                <w:sz w:val="22"/>
                <w:lang w:eastAsia="en-ZA"/>
              </w:rPr>
              <w:tab/>
            </w:r>
            <w:r w:rsidRPr="00055F8A">
              <w:rPr>
                <w:rStyle w:val="Hyperlink"/>
                <w:noProof/>
              </w:rPr>
              <w:t>Simulation design and assumptions</w:t>
            </w:r>
            <w:r>
              <w:rPr>
                <w:noProof/>
                <w:webHidden/>
              </w:rPr>
              <w:tab/>
            </w:r>
            <w:r>
              <w:rPr>
                <w:noProof/>
                <w:webHidden/>
              </w:rPr>
              <w:fldChar w:fldCharType="begin"/>
            </w:r>
            <w:r>
              <w:rPr>
                <w:noProof/>
                <w:webHidden/>
              </w:rPr>
              <w:instrText xml:space="preserve"> PAGEREF _Toc525042501 \h </w:instrText>
            </w:r>
            <w:r>
              <w:rPr>
                <w:noProof/>
                <w:webHidden/>
              </w:rPr>
            </w:r>
            <w:r>
              <w:rPr>
                <w:noProof/>
                <w:webHidden/>
              </w:rPr>
              <w:fldChar w:fldCharType="separate"/>
            </w:r>
            <w:r>
              <w:rPr>
                <w:noProof/>
                <w:webHidden/>
              </w:rPr>
              <w:t>18</w:t>
            </w:r>
            <w:r>
              <w:rPr>
                <w:noProof/>
                <w:webHidden/>
              </w:rPr>
              <w:fldChar w:fldCharType="end"/>
            </w:r>
          </w:hyperlink>
        </w:p>
        <w:p w14:paraId="3A557637" w14:textId="09027E93" w:rsidR="00D3642E" w:rsidRDefault="00D3642E">
          <w:pPr>
            <w:pStyle w:val="TOC2"/>
            <w:tabs>
              <w:tab w:val="left" w:pos="880"/>
              <w:tab w:val="right" w:leader="dot" w:pos="9016"/>
            </w:tabs>
            <w:rPr>
              <w:rFonts w:asciiTheme="minorHAnsi" w:eastAsiaTheme="minorEastAsia" w:hAnsiTheme="minorHAnsi"/>
              <w:noProof/>
              <w:sz w:val="22"/>
              <w:lang w:eastAsia="en-ZA"/>
            </w:rPr>
          </w:pPr>
          <w:hyperlink w:anchor="_Toc525042502" w:history="1">
            <w:r w:rsidRPr="00055F8A">
              <w:rPr>
                <w:rStyle w:val="Hyperlink"/>
                <w:noProof/>
              </w:rPr>
              <w:t>5.1</w:t>
            </w:r>
            <w:r>
              <w:rPr>
                <w:rFonts w:asciiTheme="minorHAnsi" w:eastAsiaTheme="minorEastAsia" w:hAnsiTheme="minorHAnsi"/>
                <w:noProof/>
                <w:sz w:val="22"/>
                <w:lang w:eastAsia="en-ZA"/>
              </w:rPr>
              <w:tab/>
            </w:r>
            <w:r w:rsidRPr="00055F8A">
              <w:rPr>
                <w:rStyle w:val="Hyperlink"/>
                <w:noProof/>
              </w:rPr>
              <w:t>Modelling a fall in agricultural output</w:t>
            </w:r>
            <w:r>
              <w:rPr>
                <w:noProof/>
                <w:webHidden/>
              </w:rPr>
              <w:tab/>
            </w:r>
            <w:r>
              <w:rPr>
                <w:noProof/>
                <w:webHidden/>
              </w:rPr>
              <w:fldChar w:fldCharType="begin"/>
            </w:r>
            <w:r>
              <w:rPr>
                <w:noProof/>
                <w:webHidden/>
              </w:rPr>
              <w:instrText xml:space="preserve"> PAGEREF _Toc525042502 \h </w:instrText>
            </w:r>
            <w:r>
              <w:rPr>
                <w:noProof/>
                <w:webHidden/>
              </w:rPr>
            </w:r>
            <w:r>
              <w:rPr>
                <w:noProof/>
                <w:webHidden/>
              </w:rPr>
              <w:fldChar w:fldCharType="separate"/>
            </w:r>
            <w:r>
              <w:rPr>
                <w:noProof/>
                <w:webHidden/>
              </w:rPr>
              <w:t>18</w:t>
            </w:r>
            <w:r>
              <w:rPr>
                <w:noProof/>
                <w:webHidden/>
              </w:rPr>
              <w:fldChar w:fldCharType="end"/>
            </w:r>
          </w:hyperlink>
        </w:p>
        <w:p w14:paraId="7BA4F7EA" w14:textId="7427A033" w:rsidR="00D3642E" w:rsidRDefault="00D3642E">
          <w:pPr>
            <w:pStyle w:val="TOC1"/>
            <w:tabs>
              <w:tab w:val="left" w:pos="480"/>
              <w:tab w:val="right" w:leader="dot" w:pos="9016"/>
            </w:tabs>
            <w:rPr>
              <w:rFonts w:asciiTheme="minorHAnsi" w:eastAsiaTheme="minorEastAsia" w:hAnsiTheme="minorHAnsi"/>
              <w:noProof/>
              <w:sz w:val="22"/>
              <w:lang w:eastAsia="en-ZA"/>
            </w:rPr>
          </w:pPr>
          <w:hyperlink w:anchor="_Toc525042503" w:history="1">
            <w:r w:rsidRPr="00055F8A">
              <w:rPr>
                <w:rStyle w:val="Hyperlink"/>
                <w:noProof/>
              </w:rPr>
              <w:t>6</w:t>
            </w:r>
            <w:r>
              <w:rPr>
                <w:rFonts w:asciiTheme="minorHAnsi" w:eastAsiaTheme="minorEastAsia" w:hAnsiTheme="minorHAnsi"/>
                <w:noProof/>
                <w:sz w:val="22"/>
                <w:lang w:eastAsia="en-ZA"/>
              </w:rPr>
              <w:tab/>
            </w:r>
            <w:r w:rsidRPr="00055F8A">
              <w:rPr>
                <w:rStyle w:val="Hyperlink"/>
                <w:noProof/>
              </w:rPr>
              <w:t>Results</w:t>
            </w:r>
            <w:r>
              <w:rPr>
                <w:noProof/>
                <w:webHidden/>
              </w:rPr>
              <w:tab/>
            </w:r>
            <w:r>
              <w:rPr>
                <w:noProof/>
                <w:webHidden/>
              </w:rPr>
              <w:fldChar w:fldCharType="begin"/>
            </w:r>
            <w:r>
              <w:rPr>
                <w:noProof/>
                <w:webHidden/>
              </w:rPr>
              <w:instrText xml:space="preserve"> PAGEREF _Toc525042503 \h </w:instrText>
            </w:r>
            <w:r>
              <w:rPr>
                <w:noProof/>
                <w:webHidden/>
              </w:rPr>
            </w:r>
            <w:r>
              <w:rPr>
                <w:noProof/>
                <w:webHidden/>
              </w:rPr>
              <w:fldChar w:fldCharType="separate"/>
            </w:r>
            <w:r>
              <w:rPr>
                <w:noProof/>
                <w:webHidden/>
              </w:rPr>
              <w:t>19</w:t>
            </w:r>
            <w:r>
              <w:rPr>
                <w:noProof/>
                <w:webHidden/>
              </w:rPr>
              <w:fldChar w:fldCharType="end"/>
            </w:r>
          </w:hyperlink>
        </w:p>
        <w:p w14:paraId="02C7D2CF" w14:textId="2F8AADA9" w:rsidR="00D3642E" w:rsidRDefault="00D3642E">
          <w:pPr>
            <w:pStyle w:val="TOC2"/>
            <w:tabs>
              <w:tab w:val="left" w:pos="880"/>
              <w:tab w:val="right" w:leader="dot" w:pos="9016"/>
            </w:tabs>
            <w:rPr>
              <w:rFonts w:asciiTheme="minorHAnsi" w:eastAsiaTheme="minorEastAsia" w:hAnsiTheme="minorHAnsi"/>
              <w:noProof/>
              <w:sz w:val="22"/>
              <w:lang w:eastAsia="en-ZA"/>
            </w:rPr>
          </w:pPr>
          <w:hyperlink w:anchor="_Toc525042504" w:history="1">
            <w:r w:rsidRPr="00055F8A">
              <w:rPr>
                <w:rStyle w:val="Hyperlink"/>
                <w:noProof/>
              </w:rPr>
              <w:t>6.1</w:t>
            </w:r>
            <w:r>
              <w:rPr>
                <w:rFonts w:asciiTheme="minorHAnsi" w:eastAsiaTheme="minorEastAsia" w:hAnsiTheme="minorHAnsi"/>
                <w:noProof/>
                <w:sz w:val="22"/>
                <w:lang w:eastAsia="en-ZA"/>
              </w:rPr>
              <w:tab/>
            </w:r>
            <w:r w:rsidRPr="00055F8A">
              <w:rPr>
                <w:rStyle w:val="Hyperlink"/>
                <w:noProof/>
              </w:rPr>
              <w:t>Macro results</w:t>
            </w:r>
            <w:r>
              <w:rPr>
                <w:noProof/>
                <w:webHidden/>
              </w:rPr>
              <w:tab/>
            </w:r>
            <w:r>
              <w:rPr>
                <w:noProof/>
                <w:webHidden/>
              </w:rPr>
              <w:fldChar w:fldCharType="begin"/>
            </w:r>
            <w:r>
              <w:rPr>
                <w:noProof/>
                <w:webHidden/>
              </w:rPr>
              <w:instrText xml:space="preserve"> PAGEREF _Toc525042504 \h </w:instrText>
            </w:r>
            <w:r>
              <w:rPr>
                <w:noProof/>
                <w:webHidden/>
              </w:rPr>
            </w:r>
            <w:r>
              <w:rPr>
                <w:noProof/>
                <w:webHidden/>
              </w:rPr>
              <w:fldChar w:fldCharType="separate"/>
            </w:r>
            <w:r>
              <w:rPr>
                <w:noProof/>
                <w:webHidden/>
              </w:rPr>
              <w:t>19</w:t>
            </w:r>
            <w:r>
              <w:rPr>
                <w:noProof/>
                <w:webHidden/>
              </w:rPr>
              <w:fldChar w:fldCharType="end"/>
            </w:r>
          </w:hyperlink>
        </w:p>
        <w:p w14:paraId="46EEF9FC" w14:textId="28BA55C4" w:rsidR="00D3642E" w:rsidRDefault="00D3642E">
          <w:pPr>
            <w:pStyle w:val="TOC2"/>
            <w:tabs>
              <w:tab w:val="left" w:pos="880"/>
              <w:tab w:val="right" w:leader="dot" w:pos="9016"/>
            </w:tabs>
            <w:rPr>
              <w:rFonts w:asciiTheme="minorHAnsi" w:eastAsiaTheme="minorEastAsia" w:hAnsiTheme="minorHAnsi"/>
              <w:noProof/>
              <w:sz w:val="22"/>
              <w:lang w:eastAsia="en-ZA"/>
            </w:rPr>
          </w:pPr>
          <w:hyperlink w:anchor="_Toc525042505" w:history="1">
            <w:r w:rsidRPr="00055F8A">
              <w:rPr>
                <w:rStyle w:val="Hyperlink"/>
                <w:noProof/>
              </w:rPr>
              <w:t>6.2</w:t>
            </w:r>
            <w:r>
              <w:rPr>
                <w:rFonts w:asciiTheme="minorHAnsi" w:eastAsiaTheme="minorEastAsia" w:hAnsiTheme="minorHAnsi"/>
                <w:noProof/>
                <w:sz w:val="22"/>
                <w:lang w:eastAsia="en-ZA"/>
              </w:rPr>
              <w:tab/>
            </w:r>
            <w:r w:rsidRPr="00055F8A">
              <w:rPr>
                <w:rStyle w:val="Hyperlink"/>
                <w:noProof/>
              </w:rPr>
              <w:t>A BOTE explanation of the Macroeconomic results</w:t>
            </w:r>
            <w:r>
              <w:rPr>
                <w:noProof/>
                <w:webHidden/>
              </w:rPr>
              <w:tab/>
            </w:r>
            <w:r>
              <w:rPr>
                <w:noProof/>
                <w:webHidden/>
              </w:rPr>
              <w:fldChar w:fldCharType="begin"/>
            </w:r>
            <w:r>
              <w:rPr>
                <w:noProof/>
                <w:webHidden/>
              </w:rPr>
              <w:instrText xml:space="preserve"> PAGEREF _Toc525042505 \h </w:instrText>
            </w:r>
            <w:r>
              <w:rPr>
                <w:noProof/>
                <w:webHidden/>
              </w:rPr>
            </w:r>
            <w:r>
              <w:rPr>
                <w:noProof/>
                <w:webHidden/>
              </w:rPr>
              <w:fldChar w:fldCharType="separate"/>
            </w:r>
            <w:r>
              <w:rPr>
                <w:noProof/>
                <w:webHidden/>
              </w:rPr>
              <w:t>22</w:t>
            </w:r>
            <w:r>
              <w:rPr>
                <w:noProof/>
                <w:webHidden/>
              </w:rPr>
              <w:fldChar w:fldCharType="end"/>
            </w:r>
          </w:hyperlink>
        </w:p>
        <w:p w14:paraId="58F90786" w14:textId="6ECBAFAD" w:rsidR="00D3642E" w:rsidRDefault="00D3642E">
          <w:pPr>
            <w:pStyle w:val="TOC2"/>
            <w:tabs>
              <w:tab w:val="left" w:pos="880"/>
              <w:tab w:val="right" w:leader="dot" w:pos="9016"/>
            </w:tabs>
            <w:rPr>
              <w:rFonts w:asciiTheme="minorHAnsi" w:eastAsiaTheme="minorEastAsia" w:hAnsiTheme="minorHAnsi"/>
              <w:noProof/>
              <w:sz w:val="22"/>
              <w:lang w:eastAsia="en-ZA"/>
            </w:rPr>
          </w:pPr>
          <w:hyperlink w:anchor="_Toc525042506" w:history="1">
            <w:r w:rsidRPr="00055F8A">
              <w:rPr>
                <w:rStyle w:val="Hyperlink"/>
                <w:noProof/>
              </w:rPr>
              <w:t>6.3</w:t>
            </w:r>
            <w:r>
              <w:rPr>
                <w:rFonts w:asciiTheme="minorHAnsi" w:eastAsiaTheme="minorEastAsia" w:hAnsiTheme="minorHAnsi"/>
                <w:noProof/>
                <w:sz w:val="22"/>
                <w:lang w:eastAsia="en-ZA"/>
              </w:rPr>
              <w:tab/>
            </w:r>
            <w:r w:rsidRPr="00055F8A">
              <w:rPr>
                <w:rStyle w:val="Hyperlink"/>
                <w:noProof/>
              </w:rPr>
              <w:t>Industry results</w:t>
            </w:r>
            <w:r>
              <w:rPr>
                <w:noProof/>
                <w:webHidden/>
              </w:rPr>
              <w:tab/>
            </w:r>
            <w:r>
              <w:rPr>
                <w:noProof/>
                <w:webHidden/>
              </w:rPr>
              <w:fldChar w:fldCharType="begin"/>
            </w:r>
            <w:r>
              <w:rPr>
                <w:noProof/>
                <w:webHidden/>
              </w:rPr>
              <w:instrText xml:space="preserve"> PAGEREF _Toc525042506 \h </w:instrText>
            </w:r>
            <w:r>
              <w:rPr>
                <w:noProof/>
                <w:webHidden/>
              </w:rPr>
            </w:r>
            <w:r>
              <w:rPr>
                <w:noProof/>
                <w:webHidden/>
              </w:rPr>
              <w:fldChar w:fldCharType="separate"/>
            </w:r>
            <w:r>
              <w:rPr>
                <w:noProof/>
                <w:webHidden/>
              </w:rPr>
              <w:t>25</w:t>
            </w:r>
            <w:r>
              <w:rPr>
                <w:noProof/>
                <w:webHidden/>
              </w:rPr>
              <w:fldChar w:fldCharType="end"/>
            </w:r>
          </w:hyperlink>
        </w:p>
        <w:p w14:paraId="64A27B64" w14:textId="1633C263" w:rsidR="00D3642E" w:rsidRDefault="00D3642E">
          <w:pPr>
            <w:pStyle w:val="TOC3"/>
            <w:tabs>
              <w:tab w:val="right" w:leader="dot" w:pos="9016"/>
            </w:tabs>
            <w:rPr>
              <w:rFonts w:asciiTheme="minorHAnsi" w:eastAsiaTheme="minorEastAsia" w:hAnsiTheme="minorHAnsi"/>
              <w:noProof/>
              <w:sz w:val="22"/>
              <w:lang w:eastAsia="en-ZA"/>
            </w:rPr>
          </w:pPr>
          <w:hyperlink w:anchor="_Toc525042507" w:history="1">
            <w:r w:rsidRPr="00055F8A">
              <w:rPr>
                <w:rStyle w:val="Hyperlink"/>
                <w:i/>
                <w:noProof/>
              </w:rPr>
              <w:t>Annuals products, rank 3</w:t>
            </w:r>
            <w:r>
              <w:rPr>
                <w:noProof/>
                <w:webHidden/>
              </w:rPr>
              <w:tab/>
            </w:r>
            <w:r>
              <w:rPr>
                <w:noProof/>
                <w:webHidden/>
              </w:rPr>
              <w:fldChar w:fldCharType="begin"/>
            </w:r>
            <w:r>
              <w:rPr>
                <w:noProof/>
                <w:webHidden/>
              </w:rPr>
              <w:instrText xml:space="preserve"> PAGEREF _Toc525042507 \h </w:instrText>
            </w:r>
            <w:r>
              <w:rPr>
                <w:noProof/>
                <w:webHidden/>
              </w:rPr>
            </w:r>
            <w:r>
              <w:rPr>
                <w:noProof/>
                <w:webHidden/>
              </w:rPr>
              <w:fldChar w:fldCharType="separate"/>
            </w:r>
            <w:r>
              <w:rPr>
                <w:noProof/>
                <w:webHidden/>
              </w:rPr>
              <w:t>26</w:t>
            </w:r>
            <w:r>
              <w:rPr>
                <w:noProof/>
                <w:webHidden/>
              </w:rPr>
              <w:fldChar w:fldCharType="end"/>
            </w:r>
          </w:hyperlink>
        </w:p>
        <w:p w14:paraId="486491C1" w14:textId="32B438C5" w:rsidR="00D3642E" w:rsidRDefault="00D3642E">
          <w:pPr>
            <w:pStyle w:val="TOC3"/>
            <w:tabs>
              <w:tab w:val="right" w:leader="dot" w:pos="9016"/>
            </w:tabs>
            <w:rPr>
              <w:rFonts w:asciiTheme="minorHAnsi" w:eastAsiaTheme="minorEastAsia" w:hAnsiTheme="minorHAnsi"/>
              <w:noProof/>
              <w:sz w:val="22"/>
              <w:lang w:eastAsia="en-ZA"/>
            </w:rPr>
          </w:pPr>
          <w:hyperlink w:anchor="_Toc525042508" w:history="1">
            <w:r w:rsidRPr="00055F8A">
              <w:rPr>
                <w:rStyle w:val="Hyperlink"/>
                <w:i/>
                <w:noProof/>
              </w:rPr>
              <w:t>Wearing and Apparel products, rank 4</w:t>
            </w:r>
            <w:r>
              <w:rPr>
                <w:noProof/>
                <w:webHidden/>
              </w:rPr>
              <w:tab/>
            </w:r>
            <w:r>
              <w:rPr>
                <w:noProof/>
                <w:webHidden/>
              </w:rPr>
              <w:fldChar w:fldCharType="begin"/>
            </w:r>
            <w:r>
              <w:rPr>
                <w:noProof/>
                <w:webHidden/>
              </w:rPr>
              <w:instrText xml:space="preserve"> PAGEREF _Toc525042508 \h </w:instrText>
            </w:r>
            <w:r>
              <w:rPr>
                <w:noProof/>
                <w:webHidden/>
              </w:rPr>
            </w:r>
            <w:r>
              <w:rPr>
                <w:noProof/>
                <w:webHidden/>
              </w:rPr>
              <w:fldChar w:fldCharType="separate"/>
            </w:r>
            <w:r>
              <w:rPr>
                <w:noProof/>
                <w:webHidden/>
              </w:rPr>
              <w:t>26</w:t>
            </w:r>
            <w:r>
              <w:rPr>
                <w:noProof/>
                <w:webHidden/>
              </w:rPr>
              <w:fldChar w:fldCharType="end"/>
            </w:r>
          </w:hyperlink>
        </w:p>
        <w:p w14:paraId="55387E91" w14:textId="6D81D663" w:rsidR="00D3642E" w:rsidRDefault="00D3642E">
          <w:pPr>
            <w:pStyle w:val="TOC3"/>
            <w:tabs>
              <w:tab w:val="right" w:leader="dot" w:pos="9016"/>
            </w:tabs>
            <w:rPr>
              <w:rFonts w:asciiTheme="minorHAnsi" w:eastAsiaTheme="minorEastAsia" w:hAnsiTheme="minorHAnsi"/>
              <w:noProof/>
              <w:sz w:val="22"/>
              <w:lang w:eastAsia="en-ZA"/>
            </w:rPr>
          </w:pPr>
          <w:hyperlink w:anchor="_Toc525042509" w:history="1">
            <w:r w:rsidRPr="00055F8A">
              <w:rPr>
                <w:rStyle w:val="Hyperlink"/>
                <w:i/>
                <w:noProof/>
              </w:rPr>
              <w:t>Livestock products, 6</w:t>
            </w:r>
            <w:r w:rsidRPr="00055F8A">
              <w:rPr>
                <w:rStyle w:val="Hyperlink"/>
                <w:i/>
                <w:noProof/>
                <w:vertAlign w:val="superscript"/>
              </w:rPr>
              <w:t>th</w:t>
            </w:r>
            <w:r w:rsidRPr="00055F8A">
              <w:rPr>
                <w:rStyle w:val="Hyperlink"/>
                <w:i/>
                <w:noProof/>
              </w:rPr>
              <w:t xml:space="preserve"> worst loser</w:t>
            </w:r>
            <w:r>
              <w:rPr>
                <w:noProof/>
                <w:webHidden/>
              </w:rPr>
              <w:tab/>
            </w:r>
            <w:r>
              <w:rPr>
                <w:noProof/>
                <w:webHidden/>
              </w:rPr>
              <w:fldChar w:fldCharType="begin"/>
            </w:r>
            <w:r>
              <w:rPr>
                <w:noProof/>
                <w:webHidden/>
              </w:rPr>
              <w:instrText xml:space="preserve"> PAGEREF _Toc525042509 \h </w:instrText>
            </w:r>
            <w:r>
              <w:rPr>
                <w:noProof/>
                <w:webHidden/>
              </w:rPr>
            </w:r>
            <w:r>
              <w:rPr>
                <w:noProof/>
                <w:webHidden/>
              </w:rPr>
              <w:fldChar w:fldCharType="separate"/>
            </w:r>
            <w:r>
              <w:rPr>
                <w:noProof/>
                <w:webHidden/>
              </w:rPr>
              <w:t>27</w:t>
            </w:r>
            <w:r>
              <w:rPr>
                <w:noProof/>
                <w:webHidden/>
              </w:rPr>
              <w:fldChar w:fldCharType="end"/>
            </w:r>
          </w:hyperlink>
        </w:p>
        <w:p w14:paraId="735C5844" w14:textId="2FD8D79B" w:rsidR="00D3642E" w:rsidRDefault="00D3642E">
          <w:pPr>
            <w:pStyle w:val="TOC3"/>
            <w:tabs>
              <w:tab w:val="right" w:leader="dot" w:pos="9016"/>
            </w:tabs>
            <w:rPr>
              <w:rFonts w:asciiTheme="minorHAnsi" w:eastAsiaTheme="minorEastAsia" w:hAnsiTheme="minorHAnsi"/>
              <w:noProof/>
              <w:sz w:val="22"/>
              <w:lang w:eastAsia="en-ZA"/>
            </w:rPr>
          </w:pPr>
          <w:hyperlink w:anchor="_Toc525042510" w:history="1">
            <w:r w:rsidRPr="00055F8A">
              <w:rPr>
                <w:rStyle w:val="Hyperlink"/>
                <w:i/>
                <w:noProof/>
              </w:rPr>
              <w:t>Food and Beverage products, 5</w:t>
            </w:r>
            <w:r w:rsidRPr="00055F8A">
              <w:rPr>
                <w:rStyle w:val="Hyperlink"/>
                <w:i/>
                <w:noProof/>
                <w:vertAlign w:val="superscript"/>
              </w:rPr>
              <w:t>th</w:t>
            </w:r>
            <w:r w:rsidRPr="00055F8A">
              <w:rPr>
                <w:rStyle w:val="Hyperlink"/>
                <w:i/>
                <w:noProof/>
              </w:rPr>
              <w:t xml:space="preserve"> worst loser</w:t>
            </w:r>
            <w:r>
              <w:rPr>
                <w:noProof/>
                <w:webHidden/>
              </w:rPr>
              <w:tab/>
            </w:r>
            <w:r>
              <w:rPr>
                <w:noProof/>
                <w:webHidden/>
              </w:rPr>
              <w:fldChar w:fldCharType="begin"/>
            </w:r>
            <w:r>
              <w:rPr>
                <w:noProof/>
                <w:webHidden/>
              </w:rPr>
              <w:instrText xml:space="preserve"> PAGEREF _Toc525042510 \h </w:instrText>
            </w:r>
            <w:r>
              <w:rPr>
                <w:noProof/>
                <w:webHidden/>
              </w:rPr>
            </w:r>
            <w:r>
              <w:rPr>
                <w:noProof/>
                <w:webHidden/>
              </w:rPr>
              <w:fldChar w:fldCharType="separate"/>
            </w:r>
            <w:r>
              <w:rPr>
                <w:noProof/>
                <w:webHidden/>
              </w:rPr>
              <w:t>27</w:t>
            </w:r>
            <w:r>
              <w:rPr>
                <w:noProof/>
                <w:webHidden/>
              </w:rPr>
              <w:fldChar w:fldCharType="end"/>
            </w:r>
          </w:hyperlink>
        </w:p>
        <w:p w14:paraId="38B30F81" w14:textId="1F657FEC" w:rsidR="00D3642E" w:rsidRDefault="00D3642E">
          <w:pPr>
            <w:pStyle w:val="TOC3"/>
            <w:tabs>
              <w:tab w:val="right" w:leader="dot" w:pos="9016"/>
            </w:tabs>
            <w:rPr>
              <w:rFonts w:asciiTheme="minorHAnsi" w:eastAsiaTheme="minorEastAsia" w:hAnsiTheme="minorHAnsi"/>
              <w:noProof/>
              <w:sz w:val="22"/>
              <w:lang w:eastAsia="en-ZA"/>
            </w:rPr>
          </w:pPr>
          <w:hyperlink w:anchor="_Toc525042511" w:history="1">
            <w:r w:rsidRPr="00055F8A">
              <w:rPr>
                <w:rStyle w:val="Hyperlink"/>
                <w:i/>
                <w:noProof/>
              </w:rPr>
              <w:t>Seafood products, 4</w:t>
            </w:r>
            <w:r w:rsidRPr="00055F8A">
              <w:rPr>
                <w:rStyle w:val="Hyperlink"/>
                <w:i/>
                <w:noProof/>
                <w:vertAlign w:val="superscript"/>
              </w:rPr>
              <w:t>th</w:t>
            </w:r>
            <w:r w:rsidRPr="00055F8A">
              <w:rPr>
                <w:rStyle w:val="Hyperlink"/>
                <w:i/>
                <w:noProof/>
              </w:rPr>
              <w:t xml:space="preserve"> worst loser</w:t>
            </w:r>
            <w:r>
              <w:rPr>
                <w:noProof/>
                <w:webHidden/>
              </w:rPr>
              <w:tab/>
            </w:r>
            <w:r>
              <w:rPr>
                <w:noProof/>
                <w:webHidden/>
              </w:rPr>
              <w:fldChar w:fldCharType="begin"/>
            </w:r>
            <w:r>
              <w:rPr>
                <w:noProof/>
                <w:webHidden/>
              </w:rPr>
              <w:instrText xml:space="preserve"> PAGEREF _Toc525042511 \h </w:instrText>
            </w:r>
            <w:r>
              <w:rPr>
                <w:noProof/>
                <w:webHidden/>
              </w:rPr>
            </w:r>
            <w:r>
              <w:rPr>
                <w:noProof/>
                <w:webHidden/>
              </w:rPr>
              <w:fldChar w:fldCharType="separate"/>
            </w:r>
            <w:r>
              <w:rPr>
                <w:noProof/>
                <w:webHidden/>
              </w:rPr>
              <w:t>27</w:t>
            </w:r>
            <w:r>
              <w:rPr>
                <w:noProof/>
                <w:webHidden/>
              </w:rPr>
              <w:fldChar w:fldCharType="end"/>
            </w:r>
          </w:hyperlink>
        </w:p>
        <w:p w14:paraId="4866A9CB" w14:textId="27414316" w:rsidR="00D3642E" w:rsidRDefault="00D3642E">
          <w:pPr>
            <w:pStyle w:val="TOC3"/>
            <w:tabs>
              <w:tab w:val="right" w:leader="dot" w:pos="9016"/>
            </w:tabs>
            <w:rPr>
              <w:rFonts w:asciiTheme="minorHAnsi" w:eastAsiaTheme="minorEastAsia" w:hAnsiTheme="minorHAnsi"/>
              <w:noProof/>
              <w:sz w:val="22"/>
              <w:lang w:eastAsia="en-ZA"/>
            </w:rPr>
          </w:pPr>
          <w:hyperlink w:anchor="_Toc525042512" w:history="1">
            <w:r w:rsidRPr="00055F8A">
              <w:rPr>
                <w:rStyle w:val="Hyperlink"/>
                <w:i/>
                <w:noProof/>
              </w:rPr>
              <w:t>Coffee products, 3</w:t>
            </w:r>
            <w:r w:rsidRPr="00055F8A">
              <w:rPr>
                <w:rStyle w:val="Hyperlink"/>
                <w:i/>
                <w:noProof/>
                <w:vertAlign w:val="superscript"/>
              </w:rPr>
              <w:t>rd</w:t>
            </w:r>
            <w:r w:rsidRPr="00055F8A">
              <w:rPr>
                <w:rStyle w:val="Hyperlink"/>
                <w:i/>
                <w:noProof/>
              </w:rPr>
              <w:t xml:space="preserve"> worst loser</w:t>
            </w:r>
            <w:r>
              <w:rPr>
                <w:noProof/>
                <w:webHidden/>
              </w:rPr>
              <w:tab/>
            </w:r>
            <w:r>
              <w:rPr>
                <w:noProof/>
                <w:webHidden/>
              </w:rPr>
              <w:fldChar w:fldCharType="begin"/>
            </w:r>
            <w:r>
              <w:rPr>
                <w:noProof/>
                <w:webHidden/>
              </w:rPr>
              <w:instrText xml:space="preserve"> PAGEREF _Toc525042512 \h </w:instrText>
            </w:r>
            <w:r>
              <w:rPr>
                <w:noProof/>
                <w:webHidden/>
              </w:rPr>
            </w:r>
            <w:r>
              <w:rPr>
                <w:noProof/>
                <w:webHidden/>
              </w:rPr>
              <w:fldChar w:fldCharType="separate"/>
            </w:r>
            <w:r>
              <w:rPr>
                <w:noProof/>
                <w:webHidden/>
              </w:rPr>
              <w:t>27</w:t>
            </w:r>
            <w:r>
              <w:rPr>
                <w:noProof/>
                <w:webHidden/>
              </w:rPr>
              <w:fldChar w:fldCharType="end"/>
            </w:r>
          </w:hyperlink>
        </w:p>
        <w:p w14:paraId="258CBA19" w14:textId="3AE8B942" w:rsidR="00D3642E" w:rsidRDefault="00D3642E">
          <w:pPr>
            <w:pStyle w:val="TOC3"/>
            <w:tabs>
              <w:tab w:val="right" w:leader="dot" w:pos="9016"/>
            </w:tabs>
            <w:rPr>
              <w:rFonts w:asciiTheme="minorHAnsi" w:eastAsiaTheme="minorEastAsia" w:hAnsiTheme="minorHAnsi"/>
              <w:noProof/>
              <w:sz w:val="22"/>
              <w:lang w:eastAsia="en-ZA"/>
            </w:rPr>
          </w:pPr>
          <w:hyperlink w:anchor="_Toc525042513" w:history="1">
            <w:r w:rsidRPr="00055F8A">
              <w:rPr>
                <w:rStyle w:val="Hyperlink"/>
                <w:i/>
                <w:noProof/>
              </w:rPr>
              <w:t>Grain products, 2</w:t>
            </w:r>
            <w:r w:rsidRPr="00055F8A">
              <w:rPr>
                <w:rStyle w:val="Hyperlink"/>
                <w:i/>
                <w:noProof/>
                <w:vertAlign w:val="superscript"/>
              </w:rPr>
              <w:t>nd</w:t>
            </w:r>
            <w:r w:rsidRPr="00055F8A">
              <w:rPr>
                <w:rStyle w:val="Hyperlink"/>
                <w:i/>
                <w:noProof/>
              </w:rPr>
              <w:t xml:space="preserve"> worst loser</w:t>
            </w:r>
            <w:r>
              <w:rPr>
                <w:noProof/>
                <w:webHidden/>
              </w:rPr>
              <w:tab/>
            </w:r>
            <w:r>
              <w:rPr>
                <w:noProof/>
                <w:webHidden/>
              </w:rPr>
              <w:fldChar w:fldCharType="begin"/>
            </w:r>
            <w:r>
              <w:rPr>
                <w:noProof/>
                <w:webHidden/>
              </w:rPr>
              <w:instrText xml:space="preserve"> PAGEREF _Toc525042513 \h </w:instrText>
            </w:r>
            <w:r>
              <w:rPr>
                <w:noProof/>
                <w:webHidden/>
              </w:rPr>
            </w:r>
            <w:r>
              <w:rPr>
                <w:noProof/>
                <w:webHidden/>
              </w:rPr>
              <w:fldChar w:fldCharType="separate"/>
            </w:r>
            <w:r>
              <w:rPr>
                <w:noProof/>
                <w:webHidden/>
              </w:rPr>
              <w:t>27</w:t>
            </w:r>
            <w:r>
              <w:rPr>
                <w:noProof/>
                <w:webHidden/>
              </w:rPr>
              <w:fldChar w:fldCharType="end"/>
            </w:r>
          </w:hyperlink>
        </w:p>
        <w:p w14:paraId="22CC1365" w14:textId="6D94A990" w:rsidR="00D3642E" w:rsidRDefault="00D3642E">
          <w:pPr>
            <w:pStyle w:val="TOC3"/>
            <w:tabs>
              <w:tab w:val="right" w:leader="dot" w:pos="9016"/>
            </w:tabs>
            <w:rPr>
              <w:rFonts w:asciiTheme="minorHAnsi" w:eastAsiaTheme="minorEastAsia" w:hAnsiTheme="minorHAnsi"/>
              <w:noProof/>
              <w:sz w:val="22"/>
              <w:lang w:eastAsia="en-ZA"/>
            </w:rPr>
          </w:pPr>
          <w:hyperlink w:anchor="_Toc525042514" w:history="1">
            <w:r w:rsidRPr="00055F8A">
              <w:rPr>
                <w:rStyle w:val="Hyperlink"/>
                <w:i/>
                <w:noProof/>
              </w:rPr>
              <w:t>Oils and fats products, biggest loser</w:t>
            </w:r>
            <w:r>
              <w:rPr>
                <w:noProof/>
                <w:webHidden/>
              </w:rPr>
              <w:tab/>
            </w:r>
            <w:r>
              <w:rPr>
                <w:noProof/>
                <w:webHidden/>
              </w:rPr>
              <w:fldChar w:fldCharType="begin"/>
            </w:r>
            <w:r>
              <w:rPr>
                <w:noProof/>
                <w:webHidden/>
              </w:rPr>
              <w:instrText xml:space="preserve"> PAGEREF _Toc525042514 \h </w:instrText>
            </w:r>
            <w:r>
              <w:rPr>
                <w:noProof/>
                <w:webHidden/>
              </w:rPr>
            </w:r>
            <w:r>
              <w:rPr>
                <w:noProof/>
                <w:webHidden/>
              </w:rPr>
              <w:fldChar w:fldCharType="separate"/>
            </w:r>
            <w:r>
              <w:rPr>
                <w:noProof/>
                <w:webHidden/>
              </w:rPr>
              <w:t>27</w:t>
            </w:r>
            <w:r>
              <w:rPr>
                <w:noProof/>
                <w:webHidden/>
              </w:rPr>
              <w:fldChar w:fldCharType="end"/>
            </w:r>
          </w:hyperlink>
        </w:p>
        <w:p w14:paraId="0A10DA05" w14:textId="056646C7" w:rsidR="00D3642E" w:rsidRDefault="00D3642E">
          <w:pPr>
            <w:pStyle w:val="TOC1"/>
            <w:tabs>
              <w:tab w:val="left" w:pos="480"/>
              <w:tab w:val="right" w:leader="dot" w:pos="9016"/>
            </w:tabs>
            <w:rPr>
              <w:rFonts w:asciiTheme="minorHAnsi" w:eastAsiaTheme="minorEastAsia" w:hAnsiTheme="minorHAnsi"/>
              <w:noProof/>
              <w:sz w:val="22"/>
              <w:lang w:eastAsia="en-ZA"/>
            </w:rPr>
          </w:pPr>
          <w:hyperlink w:anchor="_Toc525042515" w:history="1">
            <w:r w:rsidRPr="00055F8A">
              <w:rPr>
                <w:rStyle w:val="Hyperlink"/>
                <w:noProof/>
              </w:rPr>
              <w:t>7</w:t>
            </w:r>
            <w:r>
              <w:rPr>
                <w:rFonts w:asciiTheme="minorHAnsi" w:eastAsiaTheme="minorEastAsia" w:hAnsiTheme="minorHAnsi"/>
                <w:noProof/>
                <w:sz w:val="22"/>
                <w:lang w:eastAsia="en-ZA"/>
              </w:rPr>
              <w:tab/>
            </w:r>
            <w:r w:rsidRPr="00055F8A">
              <w:rPr>
                <w:rStyle w:val="Hyperlink"/>
                <w:noProof/>
              </w:rPr>
              <w:t>Conclusion</w:t>
            </w:r>
            <w:r>
              <w:rPr>
                <w:noProof/>
                <w:webHidden/>
              </w:rPr>
              <w:tab/>
            </w:r>
            <w:r>
              <w:rPr>
                <w:noProof/>
                <w:webHidden/>
              </w:rPr>
              <w:fldChar w:fldCharType="begin"/>
            </w:r>
            <w:r>
              <w:rPr>
                <w:noProof/>
                <w:webHidden/>
              </w:rPr>
              <w:instrText xml:space="preserve"> PAGEREF _Toc525042515 \h </w:instrText>
            </w:r>
            <w:r>
              <w:rPr>
                <w:noProof/>
                <w:webHidden/>
              </w:rPr>
            </w:r>
            <w:r>
              <w:rPr>
                <w:noProof/>
                <w:webHidden/>
              </w:rPr>
              <w:fldChar w:fldCharType="separate"/>
            </w:r>
            <w:r>
              <w:rPr>
                <w:noProof/>
                <w:webHidden/>
              </w:rPr>
              <w:t>28</w:t>
            </w:r>
            <w:r>
              <w:rPr>
                <w:noProof/>
                <w:webHidden/>
              </w:rPr>
              <w:fldChar w:fldCharType="end"/>
            </w:r>
          </w:hyperlink>
        </w:p>
        <w:p w14:paraId="43889A81" w14:textId="10AFA141" w:rsidR="00D3642E" w:rsidRDefault="00D3642E">
          <w:pPr>
            <w:pStyle w:val="TOC1"/>
            <w:tabs>
              <w:tab w:val="left" w:pos="480"/>
              <w:tab w:val="right" w:leader="dot" w:pos="9016"/>
            </w:tabs>
            <w:rPr>
              <w:rFonts w:asciiTheme="minorHAnsi" w:eastAsiaTheme="minorEastAsia" w:hAnsiTheme="minorHAnsi"/>
              <w:noProof/>
              <w:sz w:val="22"/>
              <w:lang w:eastAsia="en-ZA"/>
            </w:rPr>
          </w:pPr>
          <w:hyperlink w:anchor="_Toc525042516" w:history="1">
            <w:r w:rsidRPr="00055F8A">
              <w:rPr>
                <w:rStyle w:val="Hyperlink"/>
                <w:noProof/>
              </w:rPr>
              <w:t>8</w:t>
            </w:r>
            <w:r>
              <w:rPr>
                <w:rFonts w:asciiTheme="minorHAnsi" w:eastAsiaTheme="minorEastAsia" w:hAnsiTheme="minorHAnsi"/>
                <w:noProof/>
                <w:sz w:val="22"/>
                <w:lang w:eastAsia="en-ZA"/>
              </w:rPr>
              <w:tab/>
            </w:r>
            <w:r w:rsidRPr="00055F8A">
              <w:rPr>
                <w:rStyle w:val="Hyperlink"/>
                <w:noProof/>
                <w:shd w:val="clear" w:color="auto" w:fill="FFFFFF"/>
              </w:rPr>
              <w:t>Bibliography</w:t>
            </w:r>
            <w:r>
              <w:rPr>
                <w:noProof/>
                <w:webHidden/>
              </w:rPr>
              <w:tab/>
            </w:r>
            <w:r>
              <w:rPr>
                <w:noProof/>
                <w:webHidden/>
              </w:rPr>
              <w:fldChar w:fldCharType="begin"/>
            </w:r>
            <w:r>
              <w:rPr>
                <w:noProof/>
                <w:webHidden/>
              </w:rPr>
              <w:instrText xml:space="preserve"> PAGEREF _Toc525042516 \h </w:instrText>
            </w:r>
            <w:r>
              <w:rPr>
                <w:noProof/>
                <w:webHidden/>
              </w:rPr>
            </w:r>
            <w:r>
              <w:rPr>
                <w:noProof/>
                <w:webHidden/>
              </w:rPr>
              <w:fldChar w:fldCharType="separate"/>
            </w:r>
            <w:r>
              <w:rPr>
                <w:noProof/>
                <w:webHidden/>
              </w:rPr>
              <w:t>29</w:t>
            </w:r>
            <w:r>
              <w:rPr>
                <w:noProof/>
                <w:webHidden/>
              </w:rPr>
              <w:fldChar w:fldCharType="end"/>
            </w:r>
          </w:hyperlink>
        </w:p>
        <w:p w14:paraId="4C72D92B" w14:textId="5185D3DF" w:rsidR="00936BAC" w:rsidRDefault="00936BAC">
          <w:r>
            <w:rPr>
              <w:b/>
              <w:bCs/>
              <w:noProof/>
            </w:rPr>
            <w:fldChar w:fldCharType="end"/>
          </w:r>
        </w:p>
      </w:sdtContent>
    </w:sdt>
    <w:p w14:paraId="5C90C3A6" w14:textId="77777777" w:rsidR="00A93F19" w:rsidRDefault="0060135E">
      <w:pPr>
        <w:rPr>
          <w:rFonts w:cstheme="minorHAnsi"/>
          <w:szCs w:val="24"/>
        </w:rPr>
        <w:sectPr w:rsidR="00A93F19">
          <w:footerReference w:type="default" r:id="rId8"/>
          <w:pgSz w:w="11906" w:h="16838"/>
          <w:pgMar w:top="1440" w:right="1440" w:bottom="1440" w:left="1440" w:header="708" w:footer="708" w:gutter="0"/>
          <w:cols w:space="708"/>
          <w:docGrid w:linePitch="360"/>
        </w:sectPr>
      </w:pPr>
      <w:r>
        <w:rPr>
          <w:rFonts w:cstheme="minorHAnsi"/>
          <w:szCs w:val="24"/>
        </w:rPr>
        <w:br w:type="page"/>
      </w:r>
    </w:p>
    <w:p w14:paraId="15BB5130" w14:textId="77777777" w:rsidR="00023E8D" w:rsidRPr="00710E27" w:rsidRDefault="00023E8D" w:rsidP="0060135E">
      <w:pPr>
        <w:pStyle w:val="Heading1"/>
      </w:pPr>
      <w:bookmarkStart w:id="1" w:name="_Toc525042478"/>
      <w:r w:rsidRPr="0060135E">
        <w:lastRenderedPageBreak/>
        <w:t>Introduction</w:t>
      </w:r>
      <w:bookmarkEnd w:id="1"/>
    </w:p>
    <w:p w14:paraId="4E264B9E" w14:textId="597CFB6D" w:rsidR="00301A57" w:rsidRPr="00710E27" w:rsidRDefault="00301A57" w:rsidP="00067344">
      <w:pPr>
        <w:spacing w:line="240" w:lineRule="auto"/>
        <w:jc w:val="both"/>
        <w:rPr>
          <w:rFonts w:cstheme="minorHAnsi"/>
          <w:color w:val="1D1D1D"/>
          <w:szCs w:val="24"/>
          <w:shd w:val="clear" w:color="auto" w:fill="FFFFFF"/>
        </w:rPr>
      </w:pPr>
      <w:r w:rsidRPr="00710E27">
        <w:rPr>
          <w:rFonts w:cstheme="minorHAnsi"/>
          <w:szCs w:val="24"/>
        </w:rPr>
        <w:t>Lake Victoria is th</w:t>
      </w:r>
      <w:r w:rsidR="00546DD9">
        <w:rPr>
          <w:rFonts w:cstheme="minorHAnsi"/>
          <w:szCs w:val="24"/>
        </w:rPr>
        <w:t>e second</w:t>
      </w:r>
      <w:r w:rsidRPr="00710E27">
        <w:rPr>
          <w:rFonts w:cstheme="minorHAnsi"/>
          <w:szCs w:val="24"/>
        </w:rPr>
        <w:t xml:space="preserve"> largest fresh water lake in the world</w:t>
      </w:r>
      <w:r w:rsidR="00546DD9">
        <w:rPr>
          <w:rFonts w:cstheme="minorHAnsi"/>
          <w:szCs w:val="24"/>
        </w:rPr>
        <w:t xml:space="preserve">. It </w:t>
      </w:r>
      <w:r w:rsidRPr="00710E27">
        <w:rPr>
          <w:rFonts w:cstheme="minorHAnsi"/>
          <w:szCs w:val="24"/>
        </w:rPr>
        <w:t>spans 68</w:t>
      </w:r>
      <w:r w:rsidR="00F2505B">
        <w:rPr>
          <w:rFonts w:cstheme="minorHAnsi"/>
          <w:szCs w:val="24"/>
        </w:rPr>
        <w:t>,</w:t>
      </w:r>
      <w:r w:rsidRPr="00710E27">
        <w:rPr>
          <w:rFonts w:cstheme="minorHAnsi"/>
          <w:szCs w:val="24"/>
        </w:rPr>
        <w:t>800 square kilometres</w:t>
      </w:r>
      <w:r w:rsidR="00A13BAB" w:rsidRPr="00710E27">
        <w:rPr>
          <w:rFonts w:cstheme="minorHAnsi"/>
          <w:szCs w:val="24"/>
        </w:rPr>
        <w:t>,</w:t>
      </w:r>
      <w:r w:rsidRPr="00710E27">
        <w:rPr>
          <w:rFonts w:cstheme="minorHAnsi"/>
          <w:szCs w:val="24"/>
        </w:rPr>
        <w:t xml:space="preserve"> and has a shoreline of 7</w:t>
      </w:r>
      <w:r w:rsidR="00F2505B">
        <w:rPr>
          <w:rFonts w:cstheme="minorHAnsi"/>
          <w:szCs w:val="24"/>
        </w:rPr>
        <w:t>,</w:t>
      </w:r>
      <w:r w:rsidRPr="00710E27">
        <w:rPr>
          <w:rFonts w:cstheme="minorHAnsi"/>
          <w:szCs w:val="24"/>
        </w:rPr>
        <w:t xml:space="preserve">000 km. It contains the seemingly infinitely large source of the mighty Nile </w:t>
      </w:r>
      <w:r w:rsidR="00952C0F" w:rsidRPr="00710E27">
        <w:rPr>
          <w:rFonts w:cstheme="minorHAnsi"/>
          <w:szCs w:val="24"/>
        </w:rPr>
        <w:t>River</w:t>
      </w:r>
      <w:r w:rsidR="00546DD9">
        <w:rPr>
          <w:rFonts w:cstheme="minorHAnsi"/>
          <w:szCs w:val="24"/>
        </w:rPr>
        <w:t xml:space="preserve">. </w:t>
      </w:r>
      <w:r w:rsidRPr="00710E27">
        <w:rPr>
          <w:rFonts w:cstheme="minorHAnsi"/>
          <w:color w:val="1D1D1D"/>
          <w:szCs w:val="24"/>
          <w:shd w:val="clear" w:color="auto" w:fill="FFFFFF"/>
        </w:rPr>
        <w:t xml:space="preserve">The Nile flows through ten upstream countries before reaching Egypt and </w:t>
      </w:r>
      <w:r w:rsidRPr="00710E27">
        <w:rPr>
          <w:rFonts w:cstheme="minorHAnsi"/>
          <w:szCs w:val="24"/>
        </w:rPr>
        <w:t>before it runs into the Mediterranean Sea</w:t>
      </w:r>
      <w:r w:rsidR="00546DD9">
        <w:rPr>
          <w:rFonts w:cstheme="minorHAnsi"/>
          <w:szCs w:val="24"/>
        </w:rPr>
        <w:t>.</w:t>
      </w:r>
      <w:r w:rsidRPr="00710E27">
        <w:rPr>
          <w:rFonts w:cstheme="minorHAnsi"/>
          <w:color w:val="1D1D1D"/>
          <w:szCs w:val="24"/>
          <w:shd w:val="clear" w:color="auto" w:fill="FFFFFF"/>
        </w:rPr>
        <w:t xml:space="preserve"> </w:t>
      </w:r>
    </w:p>
    <w:p w14:paraId="2E2FDA8B" w14:textId="5B5EBE3B" w:rsidR="00301A57" w:rsidRPr="00710E27" w:rsidRDefault="00301A57" w:rsidP="00067344">
      <w:pPr>
        <w:spacing w:line="240" w:lineRule="auto"/>
        <w:jc w:val="both"/>
        <w:rPr>
          <w:rFonts w:cstheme="minorHAnsi"/>
          <w:color w:val="1D1D1D"/>
          <w:szCs w:val="24"/>
          <w:shd w:val="clear" w:color="auto" w:fill="FFFFFF"/>
        </w:rPr>
      </w:pPr>
      <w:r w:rsidRPr="00710E27">
        <w:rPr>
          <w:rFonts w:cstheme="minorHAnsi"/>
          <w:color w:val="1D1D1D"/>
          <w:szCs w:val="24"/>
          <w:shd w:val="clear" w:color="auto" w:fill="FFFFFF"/>
        </w:rPr>
        <w:t xml:space="preserve">Uganda is a relatively small fertile country on the equator </w:t>
      </w:r>
      <w:r w:rsidR="00A13BAB" w:rsidRPr="00710E27">
        <w:rPr>
          <w:rFonts w:cstheme="minorHAnsi"/>
          <w:color w:val="1D1D1D"/>
          <w:szCs w:val="24"/>
          <w:shd w:val="clear" w:color="auto" w:fill="FFFFFF"/>
        </w:rPr>
        <w:t>in</w:t>
      </w:r>
      <w:r w:rsidRPr="00710E27">
        <w:rPr>
          <w:rFonts w:cstheme="minorHAnsi"/>
          <w:color w:val="1D1D1D"/>
          <w:szCs w:val="24"/>
          <w:shd w:val="clear" w:color="auto" w:fill="FFFFFF"/>
        </w:rPr>
        <w:t xml:space="preserve"> Africa and </w:t>
      </w:r>
      <w:r w:rsidR="001A28CE" w:rsidRPr="00710E27">
        <w:rPr>
          <w:rFonts w:cstheme="minorHAnsi"/>
          <w:color w:val="1D1D1D"/>
          <w:szCs w:val="24"/>
          <w:shd w:val="clear" w:color="auto" w:fill="FFFFFF"/>
        </w:rPr>
        <w:t xml:space="preserve">it </w:t>
      </w:r>
      <w:r w:rsidRPr="00710E27">
        <w:rPr>
          <w:rFonts w:cstheme="minorHAnsi"/>
          <w:color w:val="1D1D1D"/>
          <w:szCs w:val="24"/>
          <w:shd w:val="clear" w:color="auto" w:fill="FFFFFF"/>
        </w:rPr>
        <w:t>is fortunate enough that almost half of Lake Vic</w:t>
      </w:r>
      <w:r w:rsidR="001A28CE" w:rsidRPr="00710E27">
        <w:rPr>
          <w:rFonts w:cstheme="minorHAnsi"/>
          <w:color w:val="1D1D1D"/>
          <w:szCs w:val="24"/>
          <w:shd w:val="clear" w:color="auto" w:fill="FFFFFF"/>
        </w:rPr>
        <w:t>toria</w:t>
      </w:r>
      <w:r w:rsidRPr="00710E27">
        <w:rPr>
          <w:rFonts w:cstheme="minorHAnsi"/>
          <w:color w:val="1D1D1D"/>
          <w:szCs w:val="24"/>
          <w:shd w:val="clear" w:color="auto" w:fill="FFFFFF"/>
        </w:rPr>
        <w:t xml:space="preserve"> lies within </w:t>
      </w:r>
      <w:r w:rsidR="00BC71E3">
        <w:rPr>
          <w:rFonts w:cstheme="minorHAnsi"/>
          <w:color w:val="1D1D1D"/>
          <w:szCs w:val="24"/>
          <w:shd w:val="clear" w:color="auto" w:fill="FFFFFF"/>
        </w:rPr>
        <w:t>its</w:t>
      </w:r>
      <w:r w:rsidRPr="00710E27">
        <w:rPr>
          <w:rFonts w:cstheme="minorHAnsi"/>
          <w:color w:val="1D1D1D"/>
          <w:szCs w:val="24"/>
          <w:shd w:val="clear" w:color="auto" w:fill="FFFFFF"/>
        </w:rPr>
        <w:t xml:space="preserve"> borders. About 20% of the Ugandan border runs through the middle of the lake.  </w:t>
      </w:r>
    </w:p>
    <w:p w14:paraId="7CDFE0C8" w14:textId="4E531379" w:rsidR="00301A57" w:rsidRPr="00710E27" w:rsidRDefault="00301A57" w:rsidP="00067344">
      <w:pPr>
        <w:spacing w:line="240" w:lineRule="auto"/>
        <w:jc w:val="both"/>
        <w:rPr>
          <w:rFonts w:cstheme="minorHAnsi"/>
          <w:color w:val="1D1D1D"/>
          <w:szCs w:val="24"/>
          <w:shd w:val="clear" w:color="auto" w:fill="FFFFFF"/>
        </w:rPr>
      </w:pPr>
      <w:r w:rsidRPr="00710E27">
        <w:rPr>
          <w:rFonts w:cstheme="minorHAnsi"/>
          <w:color w:val="1D1D1D"/>
          <w:szCs w:val="24"/>
          <w:shd w:val="clear" w:color="auto" w:fill="FFFFFF"/>
        </w:rPr>
        <w:t xml:space="preserve">Uganda also has other lakes on or within its borders. From Lake </w:t>
      </w:r>
      <w:r w:rsidR="00F2505B" w:rsidRPr="00710E27">
        <w:rPr>
          <w:rFonts w:cstheme="minorHAnsi"/>
          <w:color w:val="1D1D1D"/>
          <w:szCs w:val="24"/>
          <w:shd w:val="clear" w:color="auto" w:fill="FFFFFF"/>
        </w:rPr>
        <w:t>Victoria,</w:t>
      </w:r>
      <w:r w:rsidRPr="00710E27">
        <w:rPr>
          <w:rFonts w:cstheme="minorHAnsi"/>
          <w:color w:val="1D1D1D"/>
          <w:szCs w:val="24"/>
          <w:shd w:val="clear" w:color="auto" w:fill="FFFFFF"/>
        </w:rPr>
        <w:t xml:space="preserve"> the Nile runs through the </w:t>
      </w:r>
      <w:r w:rsidR="00F2505B" w:rsidRPr="00710E27">
        <w:rPr>
          <w:rFonts w:cstheme="minorHAnsi"/>
          <w:color w:val="1D1D1D"/>
          <w:szCs w:val="24"/>
          <w:shd w:val="clear" w:color="auto" w:fill="FFFFFF"/>
        </w:rPr>
        <w:t>countryside</w:t>
      </w:r>
      <w:r w:rsidRPr="00710E27">
        <w:rPr>
          <w:rFonts w:cstheme="minorHAnsi"/>
          <w:color w:val="1D1D1D"/>
          <w:szCs w:val="24"/>
          <w:shd w:val="clear" w:color="auto" w:fill="FFFFFF"/>
        </w:rPr>
        <w:t xml:space="preserve"> into Lake Albert, which forms a large portion of the western border with the DRC. From there the river crosses the border into Southern Sudan. A third large lake is Lake Kyoga, which is quite extensive towards the upper middle part of the country, while Lake Edward lies in the </w:t>
      </w:r>
      <w:r w:rsidR="00267BE8" w:rsidRPr="00710E27">
        <w:rPr>
          <w:rFonts w:cstheme="minorHAnsi"/>
          <w:color w:val="1D1D1D"/>
          <w:szCs w:val="24"/>
          <w:shd w:val="clear" w:color="auto" w:fill="FFFFFF"/>
        </w:rPr>
        <w:t>south-western</w:t>
      </w:r>
      <w:r w:rsidRPr="00710E27">
        <w:rPr>
          <w:rFonts w:cstheme="minorHAnsi"/>
          <w:color w:val="1D1D1D"/>
          <w:szCs w:val="24"/>
          <w:shd w:val="clear" w:color="auto" w:fill="FFFFFF"/>
        </w:rPr>
        <w:t xml:space="preserve"> corner of Uganda in </w:t>
      </w:r>
      <w:r w:rsidR="001A28CE" w:rsidRPr="00710E27">
        <w:rPr>
          <w:rFonts w:cstheme="minorHAnsi"/>
          <w:color w:val="1D1D1D"/>
          <w:szCs w:val="24"/>
          <w:shd w:val="clear" w:color="auto" w:fill="FFFFFF"/>
        </w:rPr>
        <w:t xml:space="preserve">the </w:t>
      </w:r>
      <w:r w:rsidRPr="00710E27">
        <w:rPr>
          <w:rFonts w:cstheme="minorHAnsi"/>
          <w:color w:val="1D1D1D"/>
          <w:szCs w:val="24"/>
          <w:shd w:val="clear" w:color="auto" w:fill="FFFFFF"/>
        </w:rPr>
        <w:t xml:space="preserve">Queen Victoria National Park. </w:t>
      </w:r>
    </w:p>
    <w:p w14:paraId="33BF5424" w14:textId="7DF563DD" w:rsidR="00301A57" w:rsidRPr="00710E27" w:rsidRDefault="00301A57" w:rsidP="00067344">
      <w:pPr>
        <w:spacing w:line="240" w:lineRule="auto"/>
        <w:jc w:val="both"/>
        <w:rPr>
          <w:rFonts w:cstheme="minorHAnsi"/>
          <w:color w:val="1D1D1D"/>
          <w:szCs w:val="24"/>
          <w:shd w:val="clear" w:color="auto" w:fill="FFFFFF"/>
        </w:rPr>
      </w:pPr>
      <w:r w:rsidRPr="00710E27">
        <w:rPr>
          <w:rFonts w:cstheme="minorHAnsi"/>
          <w:color w:val="1D1D1D"/>
          <w:szCs w:val="24"/>
          <w:shd w:val="clear" w:color="auto" w:fill="FFFFFF"/>
        </w:rPr>
        <w:t xml:space="preserve">If one has visited the </w:t>
      </w:r>
      <w:r w:rsidR="00F2505B" w:rsidRPr="00710E27">
        <w:rPr>
          <w:rFonts w:cstheme="minorHAnsi"/>
          <w:color w:val="1D1D1D"/>
          <w:szCs w:val="24"/>
          <w:shd w:val="clear" w:color="auto" w:fill="FFFFFF"/>
        </w:rPr>
        <w:t>south-eastern</w:t>
      </w:r>
      <w:r w:rsidRPr="00710E27">
        <w:rPr>
          <w:rFonts w:cstheme="minorHAnsi"/>
          <w:color w:val="1D1D1D"/>
          <w:szCs w:val="24"/>
          <w:shd w:val="clear" w:color="auto" w:fill="FFFFFF"/>
        </w:rPr>
        <w:t xml:space="preserve"> parts of Uganda around Kampala or Entebbe, and experienced some of their torrential </w:t>
      </w:r>
      <w:r w:rsidR="00F2505B" w:rsidRPr="00710E27">
        <w:rPr>
          <w:rFonts w:cstheme="minorHAnsi"/>
          <w:color w:val="1D1D1D"/>
          <w:szCs w:val="24"/>
          <w:shd w:val="clear" w:color="auto" w:fill="FFFFFF"/>
        </w:rPr>
        <w:t>rainstorms</w:t>
      </w:r>
      <w:r w:rsidRPr="00710E27">
        <w:rPr>
          <w:rFonts w:cstheme="minorHAnsi"/>
          <w:color w:val="1D1D1D"/>
          <w:szCs w:val="24"/>
          <w:shd w:val="clear" w:color="auto" w:fill="FFFFFF"/>
        </w:rPr>
        <w:t xml:space="preserve"> and the </w:t>
      </w:r>
      <w:r w:rsidR="0047265E">
        <w:rPr>
          <w:rFonts w:cstheme="minorHAnsi"/>
          <w:color w:val="1D1D1D"/>
          <w:szCs w:val="24"/>
          <w:shd w:val="clear" w:color="auto" w:fill="FFFFFF"/>
        </w:rPr>
        <w:t xml:space="preserve">resulting </w:t>
      </w:r>
      <w:r w:rsidRPr="00710E27">
        <w:rPr>
          <w:rFonts w:cstheme="minorHAnsi"/>
          <w:color w:val="1D1D1D"/>
          <w:szCs w:val="24"/>
          <w:shd w:val="clear" w:color="auto" w:fill="FFFFFF"/>
        </w:rPr>
        <w:t xml:space="preserve">ungovernable muddy roads, you might make the mistake that </w:t>
      </w:r>
      <w:r w:rsidR="00546DD9">
        <w:rPr>
          <w:rFonts w:cstheme="minorHAnsi"/>
          <w:color w:val="1D1D1D"/>
          <w:szCs w:val="24"/>
          <w:shd w:val="clear" w:color="auto" w:fill="FFFFFF"/>
        </w:rPr>
        <w:t>U</w:t>
      </w:r>
      <w:r w:rsidRPr="00710E27">
        <w:rPr>
          <w:rFonts w:cstheme="minorHAnsi"/>
          <w:color w:val="1D1D1D"/>
          <w:szCs w:val="24"/>
          <w:shd w:val="clear" w:color="auto" w:fill="FFFFFF"/>
        </w:rPr>
        <w:t xml:space="preserve">ganda does not and probably never will have water supply problems. </w:t>
      </w:r>
    </w:p>
    <w:p w14:paraId="4E0BA9BE" w14:textId="188DD229" w:rsidR="00301A57" w:rsidRDefault="00301A57" w:rsidP="00067344">
      <w:pPr>
        <w:spacing w:line="240" w:lineRule="auto"/>
        <w:jc w:val="both"/>
        <w:rPr>
          <w:rFonts w:cstheme="minorHAnsi"/>
          <w:szCs w:val="24"/>
          <w:lang w:val="en"/>
        </w:rPr>
      </w:pPr>
      <w:r w:rsidRPr="00710E27">
        <w:rPr>
          <w:rFonts w:cstheme="minorHAnsi"/>
          <w:color w:val="1D1D1D"/>
          <w:szCs w:val="24"/>
          <w:shd w:val="clear" w:color="auto" w:fill="FFFFFF"/>
        </w:rPr>
        <w:t xml:space="preserve">Even so, Uganda is also the place where the UN </w:t>
      </w:r>
      <w:r w:rsidRPr="00710E27">
        <w:rPr>
          <w:rFonts w:cstheme="minorHAnsi"/>
          <w:szCs w:val="24"/>
          <w:lang w:val="en"/>
        </w:rPr>
        <w:t xml:space="preserve">World Food Program (WFP) provided emergency food aid for more than 40 years until 2012, when it scaled back its operation to provide more targeted, voucher, and cash-based assistance. </w:t>
      </w:r>
      <w:r w:rsidR="00667DC3">
        <w:rPr>
          <w:rFonts w:cstheme="minorHAnsi"/>
          <w:szCs w:val="24"/>
          <w:lang w:val="en"/>
        </w:rPr>
        <w:t xml:space="preserve">Food shortages remain a problem to this day </w:t>
      </w:r>
      <w:r w:rsidR="00F2505B" w:rsidRPr="00710E27">
        <w:rPr>
          <w:rFonts w:cstheme="minorHAnsi"/>
          <w:szCs w:val="24"/>
          <w:lang w:val="en"/>
        </w:rPr>
        <w:t>because</w:t>
      </w:r>
      <w:r w:rsidRPr="00710E27">
        <w:rPr>
          <w:rFonts w:cstheme="minorHAnsi"/>
          <w:szCs w:val="24"/>
          <w:lang w:val="en"/>
        </w:rPr>
        <w:t xml:space="preserve"> of </w:t>
      </w:r>
      <w:r w:rsidR="00F2505B" w:rsidRPr="00710E27">
        <w:rPr>
          <w:rFonts w:cstheme="minorHAnsi"/>
          <w:szCs w:val="24"/>
          <w:lang w:val="en"/>
        </w:rPr>
        <w:t>drought-affected</w:t>
      </w:r>
      <w:r w:rsidRPr="00710E27">
        <w:rPr>
          <w:rFonts w:cstheme="minorHAnsi"/>
          <w:szCs w:val="24"/>
          <w:lang w:val="en"/>
        </w:rPr>
        <w:t xml:space="preserve"> harvests. </w:t>
      </w:r>
    </w:p>
    <w:p w14:paraId="1D47E25D" w14:textId="62603474" w:rsidR="00CA240D" w:rsidRDefault="00301A57" w:rsidP="00067344">
      <w:pPr>
        <w:spacing w:line="240" w:lineRule="auto"/>
        <w:jc w:val="both"/>
        <w:rPr>
          <w:rFonts w:cstheme="minorHAnsi"/>
          <w:szCs w:val="24"/>
          <w:lang w:val="en"/>
        </w:rPr>
      </w:pPr>
      <w:r w:rsidRPr="00710E27">
        <w:rPr>
          <w:rFonts w:cstheme="minorHAnsi"/>
          <w:szCs w:val="24"/>
          <w:lang w:val="en"/>
        </w:rPr>
        <w:t xml:space="preserve">In this </w:t>
      </w:r>
      <w:r w:rsidR="00F2505B" w:rsidRPr="00710E27">
        <w:rPr>
          <w:rFonts w:cstheme="minorHAnsi"/>
          <w:szCs w:val="24"/>
          <w:lang w:val="en"/>
        </w:rPr>
        <w:t>paper,</w:t>
      </w:r>
      <w:r w:rsidRPr="00710E27">
        <w:rPr>
          <w:rFonts w:cstheme="minorHAnsi"/>
          <w:szCs w:val="24"/>
          <w:lang w:val="en"/>
        </w:rPr>
        <w:t xml:space="preserve"> we</w:t>
      </w:r>
      <w:r w:rsidR="00667DC3">
        <w:rPr>
          <w:rFonts w:cstheme="minorHAnsi"/>
          <w:szCs w:val="24"/>
          <w:lang w:val="en"/>
        </w:rPr>
        <w:t xml:space="preserve"> examine the state of food security in Uganda and explore the effects of possible rainfall decline over the coming decades</w:t>
      </w:r>
      <w:r w:rsidR="000E7A9F">
        <w:rPr>
          <w:rFonts w:cstheme="minorHAnsi"/>
          <w:szCs w:val="24"/>
          <w:lang w:val="en"/>
        </w:rPr>
        <w:t xml:space="preserve"> through to 2050. </w:t>
      </w:r>
      <w:r w:rsidR="00CA240D">
        <w:rPr>
          <w:rFonts w:cstheme="minorHAnsi"/>
          <w:szCs w:val="24"/>
          <w:lang w:val="en"/>
        </w:rPr>
        <w:t xml:space="preserve">We conclude with possible adaptation strategies, without modelling them specifically. </w:t>
      </w:r>
    </w:p>
    <w:p w14:paraId="307BAE7F" w14:textId="589A3F19" w:rsidR="00301A57" w:rsidRPr="00710E27" w:rsidRDefault="000E7A9F" w:rsidP="00067344">
      <w:pPr>
        <w:spacing w:line="240" w:lineRule="auto"/>
        <w:jc w:val="both"/>
        <w:rPr>
          <w:rFonts w:cstheme="minorHAnsi"/>
          <w:szCs w:val="24"/>
          <w:lang w:val="en"/>
        </w:rPr>
      </w:pPr>
      <w:r>
        <w:rPr>
          <w:rFonts w:cstheme="minorHAnsi"/>
          <w:szCs w:val="24"/>
          <w:lang w:val="en"/>
        </w:rPr>
        <w:t>The remainder of this chapter is broken into six sections. Section 2 examines the current state of food security in Uganda. The effects of future water shortages due to climate change on specific crops are examined in Section 3. The Computable General Equilibrium (CGE) model used for the analysis is de</w:t>
      </w:r>
      <w:r w:rsidR="00847971">
        <w:rPr>
          <w:rFonts w:cstheme="minorHAnsi"/>
          <w:szCs w:val="24"/>
          <w:lang w:val="en"/>
        </w:rPr>
        <w:t>s</w:t>
      </w:r>
      <w:r>
        <w:rPr>
          <w:rFonts w:cstheme="minorHAnsi"/>
          <w:szCs w:val="24"/>
          <w:lang w:val="en"/>
        </w:rPr>
        <w:t>cribed in Section 4, with simulation design outlined in Section 5. Section 7 contains results from the modelling. Section 7 contains concluding remarks.</w:t>
      </w:r>
      <w:r w:rsidR="00CA240D">
        <w:rPr>
          <w:rFonts w:cstheme="minorHAnsi"/>
          <w:szCs w:val="24"/>
          <w:lang w:val="en"/>
        </w:rPr>
        <w:t xml:space="preserve"> </w:t>
      </w:r>
    </w:p>
    <w:p w14:paraId="13E21B20" w14:textId="77777777" w:rsidR="00023E8D" w:rsidRPr="00710E27" w:rsidRDefault="00710E27" w:rsidP="0060135E">
      <w:pPr>
        <w:pStyle w:val="Heading1"/>
        <w:rPr>
          <w:rFonts w:asciiTheme="minorHAnsi" w:hAnsiTheme="minorHAnsi"/>
          <w:b w:val="0"/>
        </w:rPr>
      </w:pPr>
      <w:bookmarkStart w:id="2" w:name="_Toc525042479"/>
      <w:r w:rsidRPr="00710E27">
        <w:t xml:space="preserve">Food </w:t>
      </w:r>
      <w:r w:rsidRPr="0060135E">
        <w:t>Security</w:t>
      </w:r>
      <w:r w:rsidRPr="00710E27">
        <w:t xml:space="preserve"> in Uganda</w:t>
      </w:r>
      <w:bookmarkEnd w:id="2"/>
    </w:p>
    <w:p w14:paraId="64375E0F" w14:textId="77777777" w:rsidR="00023E8D" w:rsidRPr="00710E27" w:rsidRDefault="00023E8D" w:rsidP="009C7AE5">
      <w:pPr>
        <w:pStyle w:val="Heading2"/>
      </w:pPr>
      <w:bookmarkStart w:id="3" w:name="_Toc525042480"/>
      <w:r w:rsidRPr="00710E27">
        <w:t xml:space="preserve">Defining </w:t>
      </w:r>
      <w:r w:rsidRPr="009C7AE5">
        <w:t>food</w:t>
      </w:r>
      <w:r w:rsidRPr="00710E27">
        <w:t xml:space="preserve"> security</w:t>
      </w:r>
      <w:bookmarkEnd w:id="3"/>
    </w:p>
    <w:p w14:paraId="3B205192" w14:textId="5456887F" w:rsidR="00023E8D" w:rsidRPr="00710E27" w:rsidRDefault="00023E8D" w:rsidP="00067344">
      <w:pPr>
        <w:spacing w:line="240" w:lineRule="auto"/>
        <w:jc w:val="both"/>
      </w:pPr>
      <w:r w:rsidRPr="00710E27">
        <w:t xml:space="preserve">The Food and Agricultural Organization of the United Nations (FAO) claims that by 1980 there had been more than 200 definitions of food security published in research and policy usage </w:t>
      </w:r>
      <w:sdt>
        <w:sdtPr>
          <w:id w:val="1748686361"/>
          <w:citation/>
        </w:sdtPr>
        <w:sdtContent>
          <w:r w:rsidRPr="00710E27">
            <w:fldChar w:fldCharType="begin"/>
          </w:r>
          <w:r w:rsidRPr="00710E27">
            <w:instrText xml:space="preserve"> CITATION FAO03 \l 7177 </w:instrText>
          </w:r>
          <w:r w:rsidRPr="00710E27">
            <w:fldChar w:fldCharType="separate"/>
          </w:r>
          <w:r w:rsidRPr="00710E27">
            <w:rPr>
              <w:noProof/>
            </w:rPr>
            <w:t>(FAO, 2003)</w:t>
          </w:r>
          <w:r w:rsidRPr="00710E27">
            <w:fldChar w:fldCharType="end"/>
          </w:r>
        </w:sdtContent>
      </w:sdt>
      <w:r w:rsidR="004242E0" w:rsidRPr="00710E27">
        <w:t xml:space="preserve">. The initial focus of attention was primarily on food supply problems in terms of (i) the availability of food and (ii) the price stability of basic foodstuffs nationally and </w:t>
      </w:r>
      <w:r w:rsidR="004242E0" w:rsidRPr="00710E27">
        <w:lastRenderedPageBreak/>
        <w:t xml:space="preserve">internationally. The 1974 definition of food security was given as </w:t>
      </w:r>
      <w:r w:rsidR="008234B7" w:rsidRPr="00710E27">
        <w:t>“</w:t>
      </w:r>
      <w:r w:rsidR="0025412E" w:rsidRPr="00710E27">
        <w:t xml:space="preserve">the </w:t>
      </w:r>
      <w:r w:rsidR="004242E0" w:rsidRPr="00710E27">
        <w:t xml:space="preserve">availability at all times of adequate food supplies of basic foodstuffs” (p.1). </w:t>
      </w:r>
    </w:p>
    <w:p w14:paraId="61E62BFF" w14:textId="77777777" w:rsidR="004242E0" w:rsidRPr="00710E27" w:rsidRDefault="004242E0" w:rsidP="00067344">
      <w:pPr>
        <w:spacing w:line="240" w:lineRule="auto"/>
        <w:jc w:val="both"/>
        <w:rPr>
          <w:rFonts w:cstheme="minorHAnsi"/>
          <w:szCs w:val="24"/>
        </w:rPr>
      </w:pPr>
      <w:r w:rsidRPr="00710E27">
        <w:rPr>
          <w:rFonts w:cstheme="minorHAnsi"/>
          <w:szCs w:val="24"/>
        </w:rPr>
        <w:t>The world food crisis of the mid-1970s</w:t>
      </w:r>
      <w:r w:rsidRPr="00710E27">
        <w:rPr>
          <w:rStyle w:val="FootnoteReference"/>
          <w:rFonts w:cstheme="minorHAnsi"/>
          <w:szCs w:val="24"/>
        </w:rPr>
        <w:footnoteReference w:id="1"/>
      </w:r>
      <w:r w:rsidRPr="00710E27">
        <w:rPr>
          <w:rFonts w:cstheme="minorHAnsi"/>
          <w:szCs w:val="24"/>
        </w:rPr>
        <w:t xml:space="preserve"> led to a redefinition of food security to stress the importance of potentially vulnerable and affected people as a critical aspect </w:t>
      </w:r>
      <w:sdt>
        <w:sdtPr>
          <w:rPr>
            <w:rFonts w:cstheme="minorHAnsi"/>
            <w:szCs w:val="24"/>
          </w:rPr>
          <w:id w:val="-1383171528"/>
          <w:citation/>
        </w:sdtPr>
        <w:sdtContent>
          <w:r w:rsidRPr="00710E27">
            <w:rPr>
              <w:rFonts w:cstheme="minorHAnsi"/>
              <w:szCs w:val="24"/>
            </w:rPr>
            <w:fldChar w:fldCharType="begin"/>
          </w:r>
          <w:r w:rsidRPr="00710E27">
            <w:rPr>
              <w:rFonts w:cstheme="minorHAnsi"/>
              <w:szCs w:val="24"/>
            </w:rPr>
            <w:instrText xml:space="preserve"> CITATION FAO03 \l 7177 </w:instrText>
          </w:r>
          <w:r w:rsidRPr="00710E27">
            <w:rPr>
              <w:rFonts w:cstheme="minorHAnsi"/>
              <w:szCs w:val="24"/>
            </w:rPr>
            <w:fldChar w:fldCharType="separate"/>
          </w:r>
          <w:r w:rsidRPr="00710E27">
            <w:rPr>
              <w:rFonts w:cstheme="minorHAnsi"/>
              <w:noProof/>
              <w:szCs w:val="24"/>
            </w:rPr>
            <w:t>(FAO, 2003)</w:t>
          </w:r>
          <w:r w:rsidRPr="00710E27">
            <w:rPr>
              <w:rFonts w:cstheme="minorHAnsi"/>
              <w:szCs w:val="24"/>
            </w:rPr>
            <w:fldChar w:fldCharType="end"/>
          </w:r>
        </w:sdtContent>
      </w:sdt>
      <w:r w:rsidRPr="00710E27">
        <w:rPr>
          <w:rFonts w:cstheme="minorHAnsi"/>
          <w:szCs w:val="24"/>
        </w:rPr>
        <w:t xml:space="preserve">. </w:t>
      </w:r>
      <w:r w:rsidR="002C4023" w:rsidRPr="00710E27">
        <w:rPr>
          <w:rFonts w:cstheme="minorHAnsi"/>
          <w:szCs w:val="24"/>
        </w:rPr>
        <w:t>Even if there was a sufficient supply of food</w:t>
      </w:r>
      <w:r w:rsidR="0025412E" w:rsidRPr="00710E27">
        <w:rPr>
          <w:rFonts w:cstheme="minorHAnsi"/>
          <w:szCs w:val="24"/>
        </w:rPr>
        <w:t>,</w:t>
      </w:r>
      <w:r w:rsidR="002C4023" w:rsidRPr="00710E27">
        <w:rPr>
          <w:rFonts w:cstheme="minorHAnsi"/>
          <w:szCs w:val="24"/>
        </w:rPr>
        <w:t xml:space="preserve"> there could be a lack of effective demand due to poverty and low incomes. </w:t>
      </w:r>
      <w:r w:rsidR="00934665" w:rsidRPr="00710E27">
        <w:rPr>
          <w:rFonts w:cstheme="minorHAnsi"/>
          <w:szCs w:val="24"/>
        </w:rPr>
        <w:t xml:space="preserve">The definition of food security was therefore expanded to include aspects of both supply and demand of food. Moreover, the “food” in “food security” has also been defined to include a certain level of nutritional ingredients. The definition as presented in The State of Food Insecurity 2001 was: </w:t>
      </w:r>
    </w:p>
    <w:p w14:paraId="5632CD4C" w14:textId="2A3B90D2" w:rsidR="00934665" w:rsidRPr="00710E27" w:rsidRDefault="00EA5A62" w:rsidP="00067344">
      <w:pPr>
        <w:spacing w:line="240" w:lineRule="auto"/>
        <w:jc w:val="both"/>
        <w:rPr>
          <w:rFonts w:cstheme="minorHAnsi"/>
          <w:szCs w:val="24"/>
        </w:rPr>
      </w:pPr>
      <w:r w:rsidRPr="00710E27">
        <w:rPr>
          <w:rFonts w:cstheme="minorHAnsi"/>
          <w:szCs w:val="24"/>
        </w:rPr>
        <w:t xml:space="preserve">“Food security [is] a situation that exists when all people, at all times, have physical, social and economic access to sufficient, safe and nutritious food that meets their dietary needs and food preferences for an active and healthy life” </w:t>
      </w:r>
      <w:sdt>
        <w:sdtPr>
          <w:rPr>
            <w:rFonts w:cstheme="minorHAnsi"/>
            <w:szCs w:val="24"/>
          </w:rPr>
          <w:id w:val="873502644"/>
          <w:citation/>
        </w:sdtPr>
        <w:sdtContent>
          <w:r w:rsidRPr="00710E27">
            <w:rPr>
              <w:rFonts w:cstheme="minorHAnsi"/>
              <w:szCs w:val="24"/>
            </w:rPr>
            <w:fldChar w:fldCharType="begin"/>
          </w:r>
          <w:r w:rsidRPr="00710E27">
            <w:rPr>
              <w:rFonts w:cstheme="minorHAnsi"/>
              <w:szCs w:val="24"/>
            </w:rPr>
            <w:instrText xml:space="preserve"> CITATION FAO02 \l 7177 </w:instrText>
          </w:r>
          <w:r w:rsidRPr="00710E27">
            <w:rPr>
              <w:rFonts w:cstheme="minorHAnsi"/>
              <w:szCs w:val="24"/>
            </w:rPr>
            <w:fldChar w:fldCharType="separate"/>
          </w:r>
          <w:r w:rsidRPr="00710E27">
            <w:rPr>
              <w:rFonts w:cstheme="minorHAnsi"/>
              <w:noProof/>
              <w:szCs w:val="24"/>
            </w:rPr>
            <w:t>(FAO, The State of Food Insecurity in the World, 2002)</w:t>
          </w:r>
          <w:r w:rsidRPr="00710E27">
            <w:rPr>
              <w:rFonts w:cstheme="minorHAnsi"/>
              <w:szCs w:val="24"/>
            </w:rPr>
            <w:fldChar w:fldCharType="end"/>
          </w:r>
        </w:sdtContent>
      </w:sdt>
      <w:r w:rsidRPr="00710E27">
        <w:rPr>
          <w:rFonts w:cstheme="minorHAnsi"/>
          <w:szCs w:val="24"/>
        </w:rPr>
        <w:t>.</w:t>
      </w:r>
    </w:p>
    <w:p w14:paraId="75FAB984" w14:textId="589B0844" w:rsidR="0025412E" w:rsidRPr="00710E27" w:rsidRDefault="0025412E" w:rsidP="00067344">
      <w:pPr>
        <w:spacing w:line="240" w:lineRule="auto"/>
        <w:jc w:val="both"/>
        <w:rPr>
          <w:rFonts w:cstheme="minorHAnsi"/>
          <w:szCs w:val="24"/>
        </w:rPr>
      </w:pPr>
      <w:r w:rsidRPr="00710E27">
        <w:rPr>
          <w:rFonts w:cstheme="minorHAnsi"/>
          <w:szCs w:val="24"/>
        </w:rPr>
        <w:t xml:space="preserve">This definition is clearly much more elaborate than the one on the mere </w:t>
      </w:r>
      <w:r w:rsidRPr="007E1237">
        <w:rPr>
          <w:rFonts w:cstheme="minorHAnsi"/>
          <w:i/>
          <w:szCs w:val="24"/>
        </w:rPr>
        <w:t>availability</w:t>
      </w:r>
      <w:r w:rsidRPr="00710E27">
        <w:rPr>
          <w:rFonts w:cstheme="minorHAnsi"/>
          <w:szCs w:val="24"/>
        </w:rPr>
        <w:t xml:space="preserve"> of basic foodstuffs given above. The physical and economic </w:t>
      </w:r>
      <w:r w:rsidRPr="007E1237">
        <w:rPr>
          <w:rFonts w:cstheme="minorHAnsi"/>
          <w:i/>
          <w:szCs w:val="24"/>
        </w:rPr>
        <w:t>access</w:t>
      </w:r>
      <w:r w:rsidRPr="00710E27">
        <w:rPr>
          <w:rFonts w:cstheme="minorHAnsi"/>
          <w:szCs w:val="24"/>
        </w:rPr>
        <w:t xml:space="preserve"> points towards the demand side of consumers who should have the means to buy food – food </w:t>
      </w:r>
      <w:r w:rsidR="00F24DF5" w:rsidRPr="00710E27">
        <w:rPr>
          <w:rFonts w:cstheme="minorHAnsi"/>
          <w:szCs w:val="24"/>
        </w:rPr>
        <w:t xml:space="preserve">of appropriate </w:t>
      </w:r>
      <w:r w:rsidR="00F24DF5" w:rsidRPr="007E1237">
        <w:rPr>
          <w:rFonts w:cstheme="minorHAnsi"/>
          <w:i/>
          <w:szCs w:val="24"/>
        </w:rPr>
        <w:t>quality</w:t>
      </w:r>
      <w:r w:rsidR="00F24DF5" w:rsidRPr="00710E27">
        <w:rPr>
          <w:rFonts w:cstheme="minorHAnsi"/>
          <w:szCs w:val="24"/>
        </w:rPr>
        <w:t xml:space="preserve"> </w:t>
      </w:r>
      <w:r w:rsidRPr="00710E27">
        <w:rPr>
          <w:rFonts w:cstheme="minorHAnsi"/>
          <w:szCs w:val="24"/>
        </w:rPr>
        <w:t>that is much more than basic foodstuffs: it should be sufficient, safe, nutritious, and should meet very specific dietary preferences. The goal of food security is therefore not only to survive, but also to be able to lead an active and healthy life.</w:t>
      </w:r>
      <w:r w:rsidR="00F24DF5" w:rsidRPr="00710E27">
        <w:rPr>
          <w:rFonts w:cstheme="minorHAnsi"/>
          <w:szCs w:val="24"/>
        </w:rPr>
        <w:t xml:space="preserve"> Finally, there should be </w:t>
      </w:r>
      <w:r w:rsidR="00F24DF5" w:rsidRPr="007E1237">
        <w:rPr>
          <w:rFonts w:cstheme="minorHAnsi"/>
          <w:i/>
          <w:szCs w:val="24"/>
        </w:rPr>
        <w:t>stability</w:t>
      </w:r>
      <w:r w:rsidR="00F24DF5" w:rsidRPr="00710E27">
        <w:rPr>
          <w:rFonts w:cstheme="minorHAnsi"/>
          <w:szCs w:val="24"/>
        </w:rPr>
        <w:t xml:space="preserve"> of food security </w:t>
      </w:r>
      <w:r w:rsidR="00F12260">
        <w:rPr>
          <w:rFonts w:cstheme="minorHAnsi"/>
          <w:szCs w:val="24"/>
        </w:rPr>
        <w:t>so</w:t>
      </w:r>
      <w:r w:rsidR="00F24DF5" w:rsidRPr="00710E27">
        <w:rPr>
          <w:rFonts w:cstheme="minorHAnsi"/>
          <w:szCs w:val="24"/>
        </w:rPr>
        <w:t xml:space="preserve"> that households or individuals could utilize the food at all times. </w:t>
      </w:r>
    </w:p>
    <w:p w14:paraId="103EE72E" w14:textId="3B0AF2D4" w:rsidR="00F24DF5" w:rsidRPr="00710E27" w:rsidRDefault="00C831DA" w:rsidP="008234B7">
      <w:pPr>
        <w:spacing w:line="360" w:lineRule="auto"/>
        <w:jc w:val="both"/>
        <w:rPr>
          <w:rFonts w:cstheme="minorHAnsi"/>
          <w:szCs w:val="24"/>
        </w:rPr>
      </w:pPr>
      <w:r>
        <w:rPr>
          <w:rFonts w:cstheme="minorHAnsi"/>
          <w:szCs w:val="24"/>
        </w:rPr>
        <w:t>We now discuss the four aspects of food security with respect to Uganda.</w:t>
      </w:r>
      <w:r w:rsidR="006C041C" w:rsidRPr="00710E27">
        <w:rPr>
          <w:rFonts w:cstheme="minorHAnsi"/>
          <w:strike/>
          <w:szCs w:val="24"/>
        </w:rPr>
        <w:t xml:space="preserve"> </w:t>
      </w:r>
    </w:p>
    <w:p w14:paraId="58379698" w14:textId="6E998852" w:rsidR="00301A57" w:rsidRPr="00710E27" w:rsidRDefault="00710E27" w:rsidP="00710E27">
      <w:pPr>
        <w:pStyle w:val="Heading2"/>
      </w:pPr>
      <w:bookmarkStart w:id="4" w:name="_Toc525042481"/>
      <w:r w:rsidRPr="00710E27">
        <w:t>Food availability</w:t>
      </w:r>
      <w:bookmarkEnd w:id="4"/>
    </w:p>
    <w:p w14:paraId="5E55920D" w14:textId="49AA8AC9" w:rsidR="00D420E1" w:rsidRPr="00D420E1" w:rsidRDefault="00D420E1" w:rsidP="00D420E1">
      <w:pPr>
        <w:spacing w:after="0" w:line="240" w:lineRule="auto"/>
        <w:contextualSpacing/>
        <w:jc w:val="both"/>
        <w:rPr>
          <w:rFonts w:cs="Arial"/>
        </w:rPr>
      </w:pPr>
      <w:r w:rsidRPr="00D420E1">
        <w:rPr>
          <w:rFonts w:cs="Arial"/>
        </w:rPr>
        <w:t xml:space="preserve">The literature indicates that Ugandans frequently do not have enough food to eat. A recent report by the National Planning Authority (NPA, 2017) indicates </w:t>
      </w:r>
      <w:r w:rsidR="00F12260">
        <w:rPr>
          <w:rFonts w:cs="Arial"/>
        </w:rPr>
        <w:t xml:space="preserve">that many households in Uganda have been suffering from food insecurity, due to a lack of income to buy food, or due to </w:t>
      </w:r>
      <w:r w:rsidR="00F2505B">
        <w:rPr>
          <w:rFonts w:cs="Arial"/>
        </w:rPr>
        <w:t>droughts that</w:t>
      </w:r>
      <w:r w:rsidR="00F12260">
        <w:rPr>
          <w:rFonts w:cs="Arial"/>
        </w:rPr>
        <w:t xml:space="preserve"> made it difficult to produce their own food</w:t>
      </w:r>
      <w:r w:rsidRPr="00D420E1">
        <w:rPr>
          <w:rFonts w:cs="Arial"/>
        </w:rPr>
        <w:t>:</w:t>
      </w:r>
    </w:p>
    <w:p w14:paraId="51397C27" w14:textId="7F1CD61B" w:rsidR="00D420E1" w:rsidRPr="00D420E1" w:rsidRDefault="00D420E1" w:rsidP="00D420E1">
      <w:pPr>
        <w:spacing w:after="0" w:line="240" w:lineRule="auto"/>
        <w:contextualSpacing/>
        <w:jc w:val="both"/>
        <w:rPr>
          <w:rFonts w:cs="Arial"/>
          <w:i/>
        </w:rPr>
      </w:pPr>
      <w:r w:rsidRPr="00D420E1">
        <w:rPr>
          <w:rFonts w:cs="Arial"/>
          <w:i/>
        </w:rPr>
        <w:t xml:space="preserve">“On a national level, throughout the period 2009/10-2015/2016, 16 </w:t>
      </w:r>
      <w:r w:rsidR="00BA2F9C">
        <w:rPr>
          <w:rFonts w:cs="Arial"/>
          <w:i/>
        </w:rPr>
        <w:t>per cent</w:t>
      </w:r>
      <w:r w:rsidRPr="00D420E1">
        <w:rPr>
          <w:rFonts w:cs="Arial"/>
          <w:i/>
        </w:rPr>
        <w:t xml:space="preserve"> of the households were chronically undernourished and only 4 </w:t>
      </w:r>
      <w:r w:rsidR="00BA2F9C">
        <w:rPr>
          <w:rFonts w:cs="Arial"/>
          <w:i/>
        </w:rPr>
        <w:t>per cent</w:t>
      </w:r>
      <w:r w:rsidRPr="00D420E1">
        <w:rPr>
          <w:rFonts w:cs="Arial"/>
          <w:i/>
        </w:rPr>
        <w:t xml:space="preserve"> of the households remained food secure. Of great concern is the rather high vulnerability to food insecurity, with 80 </w:t>
      </w:r>
      <w:r w:rsidR="00BA2F9C">
        <w:rPr>
          <w:rFonts w:cs="Arial"/>
          <w:i/>
        </w:rPr>
        <w:t>per cent</w:t>
      </w:r>
      <w:r w:rsidRPr="00D420E1">
        <w:rPr>
          <w:rFonts w:cs="Arial"/>
          <w:i/>
        </w:rPr>
        <w:t xml:space="preserve"> of the households having suffe</w:t>
      </w:r>
      <w:r>
        <w:rPr>
          <w:rFonts w:cs="Arial"/>
          <w:i/>
        </w:rPr>
        <w:t>red transient food insecurity.</w:t>
      </w:r>
      <w:r w:rsidRPr="00D420E1">
        <w:rPr>
          <w:rFonts w:cs="Arial"/>
          <w:i/>
        </w:rPr>
        <w:t xml:space="preserve"> At the regional level, the northern region was home to nearly 40 </w:t>
      </w:r>
      <w:r w:rsidR="00BA2F9C">
        <w:rPr>
          <w:rFonts w:cs="Arial"/>
          <w:i/>
        </w:rPr>
        <w:t>per cent</w:t>
      </w:r>
      <w:r w:rsidRPr="00D420E1">
        <w:rPr>
          <w:rFonts w:cs="Arial"/>
          <w:i/>
        </w:rPr>
        <w:t xml:space="preserve"> of the chronically food insecure households, followed by the eastern region at 27 </w:t>
      </w:r>
      <w:r w:rsidR="00BA2F9C">
        <w:rPr>
          <w:rFonts w:cs="Arial"/>
          <w:i/>
        </w:rPr>
        <w:t>per cent</w:t>
      </w:r>
      <w:r w:rsidRPr="00D420E1">
        <w:rPr>
          <w:rFonts w:cs="Arial"/>
          <w:i/>
        </w:rPr>
        <w:t>.”</w:t>
      </w:r>
    </w:p>
    <w:p w14:paraId="255CBA43" w14:textId="77777777" w:rsidR="00D420E1" w:rsidRPr="00D420E1" w:rsidRDefault="00D420E1" w:rsidP="00D420E1">
      <w:pPr>
        <w:spacing w:after="0" w:line="240" w:lineRule="auto"/>
        <w:contextualSpacing/>
        <w:jc w:val="both"/>
        <w:rPr>
          <w:rFonts w:cs="Arial"/>
        </w:rPr>
      </w:pPr>
    </w:p>
    <w:p w14:paraId="71626ADD" w14:textId="77777777" w:rsidR="00D420E1" w:rsidRPr="00D420E1" w:rsidRDefault="00D420E1" w:rsidP="00D420E1">
      <w:pPr>
        <w:spacing w:after="0" w:line="240" w:lineRule="auto"/>
        <w:contextualSpacing/>
        <w:jc w:val="both"/>
        <w:rPr>
          <w:rFonts w:cs="Arial"/>
        </w:rPr>
      </w:pPr>
      <w:r w:rsidRPr="00D420E1">
        <w:rPr>
          <w:rFonts w:cs="Arial"/>
        </w:rPr>
        <w:t>The report further notes that:</w:t>
      </w:r>
    </w:p>
    <w:p w14:paraId="67AA87E9" w14:textId="77777777" w:rsidR="00D420E1" w:rsidRPr="00D420E1" w:rsidRDefault="00D420E1" w:rsidP="00D420E1">
      <w:pPr>
        <w:spacing w:after="0" w:line="240" w:lineRule="auto"/>
        <w:contextualSpacing/>
        <w:jc w:val="both"/>
        <w:rPr>
          <w:rFonts w:cs="Arial"/>
        </w:rPr>
      </w:pPr>
    </w:p>
    <w:p w14:paraId="142CD794" w14:textId="77777777" w:rsidR="00D420E1" w:rsidRPr="00D420E1" w:rsidRDefault="00D420E1" w:rsidP="00D420E1">
      <w:pPr>
        <w:spacing w:after="0" w:line="240" w:lineRule="auto"/>
        <w:contextualSpacing/>
        <w:jc w:val="both"/>
        <w:rPr>
          <w:rFonts w:cs="Arial"/>
          <w:i/>
        </w:rPr>
      </w:pPr>
      <w:r w:rsidRPr="00D420E1">
        <w:rPr>
          <w:rFonts w:cs="Arial"/>
          <w:i/>
        </w:rPr>
        <w:t xml:space="preserve">“For some households, food shocks were recurrent but varied in severity for the different periods spanning the survey. The households reporting a high </w:t>
      </w:r>
      <w:r w:rsidRPr="00D420E1">
        <w:rPr>
          <w:rFonts w:cs="Arial"/>
          <w:i/>
        </w:rPr>
        <w:lastRenderedPageBreak/>
        <w:t xml:space="preserve">prevalence of food shocks were in rural areas and were more likely to be reliant on agricultural sources.  Such households have lower average wealth levels to act as buffers in difficult times. </w:t>
      </w:r>
    </w:p>
    <w:p w14:paraId="17570BC1" w14:textId="77777777" w:rsidR="00D420E1" w:rsidRPr="004D4D93" w:rsidRDefault="00D420E1" w:rsidP="00D420E1">
      <w:pPr>
        <w:spacing w:after="0" w:line="240" w:lineRule="auto"/>
        <w:contextualSpacing/>
        <w:jc w:val="both"/>
        <w:rPr>
          <w:rFonts w:ascii="Arial" w:hAnsi="Arial" w:cs="Arial"/>
          <w:i/>
        </w:rPr>
      </w:pPr>
    </w:p>
    <w:p w14:paraId="016AAD6E" w14:textId="4073D474" w:rsidR="00D420E1" w:rsidRPr="00D420E1" w:rsidRDefault="00D420E1" w:rsidP="00D420E1">
      <w:pPr>
        <w:spacing w:after="0" w:line="240" w:lineRule="auto"/>
        <w:contextualSpacing/>
        <w:jc w:val="both"/>
        <w:rPr>
          <w:rFonts w:cs="Arial"/>
          <w:i/>
        </w:rPr>
      </w:pPr>
      <w:r w:rsidRPr="00D420E1">
        <w:rPr>
          <w:rFonts w:cs="Arial"/>
          <w:i/>
        </w:rPr>
        <w:t>The reasons behind food shocks were primarily related to food production inadequacies due to climatic shocks. Drought/poor rains were the most cited cause, particularly for rural households. This cause is followed by income insecurity, particularly in urban areas, and high food prices, which equally affect both rural and urban households. A large portion of households also reported they did not plant enough to ensure availability of food stocks</w:t>
      </w:r>
      <w:r>
        <w:rPr>
          <w:rFonts w:cs="Arial"/>
          <w:i/>
        </w:rPr>
        <w:t>”</w:t>
      </w:r>
      <w:r w:rsidRPr="00D420E1">
        <w:rPr>
          <w:rFonts w:cs="Arial"/>
          <w:i/>
        </w:rPr>
        <w:t xml:space="preserve"> (NPA, 2017, page 59).</w:t>
      </w:r>
    </w:p>
    <w:p w14:paraId="2E289D88" w14:textId="77777777" w:rsidR="00301A57" w:rsidRPr="0090012E" w:rsidRDefault="0090012E" w:rsidP="0090012E">
      <w:pPr>
        <w:pStyle w:val="Heading2"/>
      </w:pPr>
      <w:bookmarkStart w:id="5" w:name="_Toc525042482"/>
      <w:r>
        <w:t>Utilization of food</w:t>
      </w:r>
      <w:bookmarkEnd w:id="5"/>
    </w:p>
    <w:p w14:paraId="67303914" w14:textId="6E02DBA6" w:rsidR="00301A57" w:rsidRPr="00710E27" w:rsidRDefault="00F07A38" w:rsidP="00F07A38">
      <w:pPr>
        <w:spacing w:line="240" w:lineRule="auto"/>
        <w:rPr>
          <w:rFonts w:cstheme="minorHAnsi"/>
          <w:color w:val="1D1D1D"/>
          <w:szCs w:val="24"/>
          <w:shd w:val="clear" w:color="auto" w:fill="FFFFFF"/>
        </w:rPr>
      </w:pPr>
      <w:r>
        <w:rPr>
          <w:rFonts w:cstheme="minorHAnsi"/>
          <w:color w:val="1D1D1D"/>
          <w:szCs w:val="24"/>
          <w:shd w:val="clear" w:color="auto" w:fill="FFFFFF"/>
        </w:rPr>
        <w:t xml:space="preserve">Food security was defined above as “access to safe and nutritious food”, amongst others. </w:t>
      </w:r>
      <w:r w:rsidR="00301A57" w:rsidRPr="00710E27">
        <w:rPr>
          <w:rFonts w:cstheme="minorHAnsi"/>
          <w:color w:val="1D1D1D"/>
          <w:szCs w:val="24"/>
          <w:shd w:val="clear" w:color="auto" w:fill="FFFFFF"/>
        </w:rPr>
        <w:t xml:space="preserve">  </w:t>
      </w:r>
    </w:p>
    <w:p w14:paraId="400AA9D4" w14:textId="37BE7506" w:rsidR="00301A57" w:rsidRPr="00710E27" w:rsidRDefault="00301A57" w:rsidP="00067344">
      <w:pPr>
        <w:spacing w:line="240" w:lineRule="auto"/>
        <w:jc w:val="both"/>
        <w:rPr>
          <w:rFonts w:cstheme="minorHAnsi"/>
          <w:color w:val="1D1D1D"/>
          <w:szCs w:val="24"/>
          <w:shd w:val="clear" w:color="auto" w:fill="FFFFFF"/>
        </w:rPr>
      </w:pPr>
      <w:r w:rsidRPr="00710E27">
        <w:rPr>
          <w:rFonts w:cstheme="minorHAnsi"/>
          <w:i/>
          <w:color w:val="1D1D1D"/>
          <w:szCs w:val="24"/>
          <w:shd w:val="clear" w:color="auto" w:fill="FFFFFF"/>
        </w:rPr>
        <w:t>Water.org</w:t>
      </w:r>
      <w:r w:rsidRPr="00710E27">
        <w:rPr>
          <w:rFonts w:cstheme="minorHAnsi"/>
          <w:color w:val="1D1D1D"/>
          <w:szCs w:val="24"/>
          <w:shd w:val="clear" w:color="auto" w:fill="FFFFFF"/>
        </w:rPr>
        <w:t xml:space="preserve"> claims that more than 40% of people living in the greater Kampala area live in unplanned settlements and that only 17% of them have access to piped water </w:t>
      </w:r>
      <w:sdt>
        <w:sdtPr>
          <w:rPr>
            <w:rFonts w:cstheme="minorHAnsi"/>
            <w:color w:val="1D1D1D"/>
            <w:szCs w:val="24"/>
            <w:shd w:val="clear" w:color="auto" w:fill="FFFFFF"/>
          </w:rPr>
          <w:id w:val="1434860885"/>
          <w:citation/>
        </w:sdtPr>
        <w:sdtContent>
          <w:r w:rsidRPr="00710E27">
            <w:rPr>
              <w:rFonts w:cstheme="minorHAnsi"/>
              <w:color w:val="1D1D1D"/>
              <w:szCs w:val="24"/>
              <w:shd w:val="clear" w:color="auto" w:fill="FFFFFF"/>
            </w:rPr>
            <w:fldChar w:fldCharType="begin"/>
          </w:r>
          <w:r w:rsidRPr="00710E27">
            <w:rPr>
              <w:rFonts w:cstheme="minorHAnsi"/>
              <w:color w:val="1D1D1D"/>
              <w:szCs w:val="24"/>
              <w:shd w:val="clear" w:color="auto" w:fill="FFFFFF"/>
            </w:rPr>
            <w:instrText xml:space="preserve"> CITATION Wat16 \l 7177 </w:instrText>
          </w:r>
          <w:r w:rsidRPr="00710E27">
            <w:rPr>
              <w:rFonts w:cstheme="minorHAnsi"/>
              <w:color w:val="1D1D1D"/>
              <w:szCs w:val="24"/>
              <w:shd w:val="clear" w:color="auto" w:fill="FFFFFF"/>
            </w:rPr>
            <w:fldChar w:fldCharType="separate"/>
          </w:r>
          <w:r w:rsidRPr="00710E27">
            <w:rPr>
              <w:rFonts w:cstheme="minorHAnsi"/>
              <w:noProof/>
              <w:color w:val="1D1D1D"/>
              <w:szCs w:val="24"/>
              <w:shd w:val="clear" w:color="auto" w:fill="FFFFFF"/>
            </w:rPr>
            <w:t>(Water.org, 2016)</w:t>
          </w:r>
          <w:r w:rsidRPr="00710E27">
            <w:rPr>
              <w:rFonts w:cstheme="minorHAnsi"/>
              <w:color w:val="1D1D1D"/>
              <w:szCs w:val="24"/>
              <w:shd w:val="clear" w:color="auto" w:fill="FFFFFF"/>
            </w:rPr>
            <w:fldChar w:fldCharType="end"/>
          </w:r>
        </w:sdtContent>
      </w:sdt>
      <w:r w:rsidRPr="00710E27">
        <w:rPr>
          <w:rFonts w:cstheme="minorHAnsi"/>
          <w:color w:val="1D1D1D"/>
          <w:szCs w:val="24"/>
          <w:shd w:val="clear" w:color="auto" w:fill="FFFFFF"/>
        </w:rPr>
        <w:t xml:space="preserve">. If this is true of the greater Kampala area, which is situated adjacent to the Victoria Lake, then it must be worse in the </w:t>
      </w:r>
      <w:r w:rsidR="00D420E1">
        <w:rPr>
          <w:rFonts w:cstheme="minorHAnsi"/>
          <w:color w:val="1D1D1D"/>
          <w:szCs w:val="24"/>
          <w:shd w:val="clear" w:color="auto" w:fill="FFFFFF"/>
        </w:rPr>
        <w:t>rural areas.</w:t>
      </w:r>
      <w:r w:rsidRPr="00710E27">
        <w:rPr>
          <w:rFonts w:cstheme="minorHAnsi"/>
          <w:color w:val="1D1D1D"/>
          <w:szCs w:val="24"/>
          <w:shd w:val="clear" w:color="auto" w:fill="FFFFFF"/>
        </w:rPr>
        <w:t xml:space="preserve"> Many people therefore use springs and other surface sources that are highly contaminated</w:t>
      </w:r>
      <w:r w:rsidR="00AF36BF">
        <w:rPr>
          <w:rFonts w:cstheme="minorHAnsi"/>
          <w:color w:val="1D1D1D"/>
          <w:szCs w:val="24"/>
          <w:shd w:val="clear" w:color="auto" w:fill="FFFFFF"/>
        </w:rPr>
        <w:t xml:space="preserve"> for this reason,</w:t>
      </w:r>
      <w:r w:rsidRPr="00710E27">
        <w:rPr>
          <w:rFonts w:cstheme="minorHAnsi"/>
          <w:color w:val="1D1D1D"/>
          <w:szCs w:val="24"/>
          <w:shd w:val="clear" w:color="auto" w:fill="FFFFFF"/>
        </w:rPr>
        <w:t xml:space="preserve"> and because the price of safe water is very high (three time higher </w:t>
      </w:r>
      <w:r w:rsidR="00130CC1">
        <w:rPr>
          <w:rFonts w:cstheme="minorHAnsi"/>
          <w:color w:val="1D1D1D"/>
          <w:szCs w:val="24"/>
          <w:shd w:val="clear" w:color="auto" w:fill="FFFFFF"/>
        </w:rPr>
        <w:t xml:space="preserve">than </w:t>
      </w:r>
      <w:r w:rsidRPr="00710E27">
        <w:rPr>
          <w:rFonts w:cstheme="minorHAnsi"/>
          <w:color w:val="1D1D1D"/>
          <w:szCs w:val="24"/>
          <w:shd w:val="clear" w:color="auto" w:fill="FFFFFF"/>
        </w:rPr>
        <w:t xml:space="preserve">in planned urban communities). The problem is also getting worse in Kampala because of migration by the high growing population to the informal settlements (p.1). The authors claim that “more than half of all residents in Uganda do not have access to improved sanitation, sharing overcrowded pit latrines or practicing open defecation,” which cause frequent outbreaks of waterborne diseases such as cholera and dysentery </w:t>
      </w:r>
      <w:sdt>
        <w:sdtPr>
          <w:rPr>
            <w:rFonts w:cstheme="minorHAnsi"/>
            <w:color w:val="1D1D1D"/>
            <w:szCs w:val="24"/>
            <w:shd w:val="clear" w:color="auto" w:fill="FFFFFF"/>
          </w:rPr>
          <w:id w:val="-856890195"/>
          <w:citation/>
        </w:sdtPr>
        <w:sdtContent>
          <w:r w:rsidRPr="00710E27">
            <w:rPr>
              <w:rFonts w:cstheme="minorHAnsi"/>
              <w:color w:val="1D1D1D"/>
              <w:szCs w:val="24"/>
              <w:shd w:val="clear" w:color="auto" w:fill="FFFFFF"/>
            </w:rPr>
            <w:fldChar w:fldCharType="begin"/>
          </w:r>
          <w:r w:rsidRPr="00710E27">
            <w:rPr>
              <w:rFonts w:cstheme="minorHAnsi"/>
              <w:color w:val="1D1D1D"/>
              <w:szCs w:val="24"/>
              <w:shd w:val="clear" w:color="auto" w:fill="FFFFFF"/>
            </w:rPr>
            <w:instrText xml:space="preserve"> CITATION Wat16 \l 7177 </w:instrText>
          </w:r>
          <w:r w:rsidRPr="00710E27">
            <w:rPr>
              <w:rFonts w:cstheme="minorHAnsi"/>
              <w:color w:val="1D1D1D"/>
              <w:szCs w:val="24"/>
              <w:shd w:val="clear" w:color="auto" w:fill="FFFFFF"/>
            </w:rPr>
            <w:fldChar w:fldCharType="separate"/>
          </w:r>
          <w:r w:rsidRPr="00710E27">
            <w:rPr>
              <w:rFonts w:cstheme="minorHAnsi"/>
              <w:noProof/>
              <w:color w:val="1D1D1D"/>
              <w:szCs w:val="24"/>
              <w:shd w:val="clear" w:color="auto" w:fill="FFFFFF"/>
            </w:rPr>
            <w:t>(Water.org, 2016)</w:t>
          </w:r>
          <w:r w:rsidRPr="00710E27">
            <w:rPr>
              <w:rFonts w:cstheme="minorHAnsi"/>
              <w:color w:val="1D1D1D"/>
              <w:szCs w:val="24"/>
              <w:shd w:val="clear" w:color="auto" w:fill="FFFFFF"/>
            </w:rPr>
            <w:fldChar w:fldCharType="end"/>
          </w:r>
        </w:sdtContent>
      </w:sdt>
      <w:r w:rsidRPr="00710E27">
        <w:rPr>
          <w:rFonts w:cstheme="minorHAnsi"/>
          <w:color w:val="1D1D1D"/>
          <w:szCs w:val="24"/>
          <w:shd w:val="clear" w:color="auto" w:fill="FFFFFF"/>
        </w:rPr>
        <w:t xml:space="preserve">. </w:t>
      </w:r>
    </w:p>
    <w:p w14:paraId="742203A1" w14:textId="73C92CF9" w:rsidR="00301A57" w:rsidRPr="00710E27" w:rsidRDefault="00301A57" w:rsidP="00067344">
      <w:pPr>
        <w:spacing w:line="240" w:lineRule="auto"/>
        <w:jc w:val="both"/>
        <w:rPr>
          <w:rFonts w:cstheme="minorHAnsi"/>
          <w:szCs w:val="24"/>
        </w:rPr>
      </w:pPr>
      <w:r w:rsidRPr="00710E27">
        <w:rPr>
          <w:rFonts w:cstheme="minorHAnsi"/>
          <w:color w:val="1D1D1D"/>
          <w:szCs w:val="24"/>
          <w:shd w:val="clear" w:color="auto" w:fill="FFFFFF"/>
        </w:rPr>
        <w:t xml:space="preserve">The World Bank confirms the desperate state of affairs in Uganda and claims that 13.8 million people use unsanitary or shared latrines, while 3.2 million have no latrine at all and defecate in the open </w:t>
      </w:r>
      <w:sdt>
        <w:sdtPr>
          <w:rPr>
            <w:rFonts w:cstheme="minorHAnsi"/>
            <w:color w:val="1D1D1D"/>
            <w:szCs w:val="24"/>
            <w:shd w:val="clear" w:color="auto" w:fill="FFFFFF"/>
          </w:rPr>
          <w:id w:val="2005003301"/>
          <w:citation/>
        </w:sdtPr>
        <w:sdtContent>
          <w:r w:rsidRPr="00710E27">
            <w:rPr>
              <w:rFonts w:cstheme="minorHAnsi"/>
              <w:color w:val="1D1D1D"/>
              <w:szCs w:val="24"/>
              <w:shd w:val="clear" w:color="auto" w:fill="FFFFFF"/>
            </w:rPr>
            <w:fldChar w:fldCharType="begin"/>
          </w:r>
          <w:r w:rsidRPr="00710E27">
            <w:rPr>
              <w:rFonts w:cstheme="minorHAnsi"/>
              <w:color w:val="1D1D1D"/>
              <w:szCs w:val="24"/>
              <w:shd w:val="clear" w:color="auto" w:fill="FFFFFF"/>
            </w:rPr>
            <w:instrText xml:space="preserve"> CITATION Wor12 \l 7177 </w:instrText>
          </w:r>
          <w:r w:rsidRPr="00710E27">
            <w:rPr>
              <w:rFonts w:cstheme="minorHAnsi"/>
              <w:color w:val="1D1D1D"/>
              <w:szCs w:val="24"/>
              <w:shd w:val="clear" w:color="auto" w:fill="FFFFFF"/>
            </w:rPr>
            <w:fldChar w:fldCharType="separate"/>
          </w:r>
          <w:r w:rsidRPr="00710E27">
            <w:rPr>
              <w:rFonts w:cstheme="minorHAnsi"/>
              <w:noProof/>
              <w:color w:val="1D1D1D"/>
              <w:szCs w:val="24"/>
              <w:shd w:val="clear" w:color="auto" w:fill="FFFFFF"/>
            </w:rPr>
            <w:t>(World Bank, 2012)</w:t>
          </w:r>
          <w:r w:rsidRPr="00710E27">
            <w:rPr>
              <w:rFonts w:cstheme="minorHAnsi"/>
              <w:color w:val="1D1D1D"/>
              <w:szCs w:val="24"/>
              <w:shd w:val="clear" w:color="auto" w:fill="FFFFFF"/>
            </w:rPr>
            <w:fldChar w:fldCharType="end"/>
          </w:r>
        </w:sdtContent>
      </w:sdt>
      <w:r w:rsidRPr="00710E27">
        <w:rPr>
          <w:rFonts w:cstheme="minorHAnsi"/>
          <w:color w:val="1D1D1D"/>
          <w:szCs w:val="24"/>
          <w:shd w:val="clear" w:color="auto" w:fill="FFFFFF"/>
        </w:rPr>
        <w:t>. In some districts of Uganda, the situation is very bad: a</w:t>
      </w:r>
      <w:r w:rsidRPr="00710E27">
        <w:rPr>
          <w:rFonts w:cstheme="minorHAnsi"/>
          <w:szCs w:val="24"/>
        </w:rPr>
        <w:t xml:space="preserve">ccording to Wilfred Okello, a water and sanitation specialist, </w:t>
      </w:r>
      <w:r w:rsidR="00130CC1">
        <w:rPr>
          <w:rFonts w:cstheme="minorHAnsi"/>
          <w:szCs w:val="24"/>
        </w:rPr>
        <w:t xml:space="preserve">in the </w:t>
      </w:r>
      <w:r w:rsidRPr="00710E27">
        <w:rPr>
          <w:rFonts w:cstheme="minorHAnsi"/>
          <w:szCs w:val="24"/>
        </w:rPr>
        <w:t xml:space="preserve">Karamoja sub-region, out of 128 villages in Napak District, only four have latrines. In Kaabong, out of 287 villages only six have toilets. For the case of Kotido, there are 187 villages and of </w:t>
      </w:r>
      <w:r w:rsidR="00F2505B" w:rsidRPr="00710E27">
        <w:rPr>
          <w:rFonts w:cstheme="minorHAnsi"/>
          <w:szCs w:val="24"/>
        </w:rPr>
        <w:t>these,</w:t>
      </w:r>
      <w:r w:rsidRPr="00710E27">
        <w:rPr>
          <w:rFonts w:cstheme="minorHAnsi"/>
          <w:szCs w:val="24"/>
        </w:rPr>
        <w:t xml:space="preserve"> only two have pit-latrines. Nakapiripiriti, on the other hand, has only one village that has latrines </w:t>
      </w:r>
      <w:sdt>
        <w:sdtPr>
          <w:rPr>
            <w:rFonts w:cstheme="minorHAnsi"/>
            <w:szCs w:val="24"/>
          </w:rPr>
          <w:id w:val="286864080"/>
          <w:citation/>
        </w:sdtPr>
        <w:sdtContent>
          <w:r w:rsidRPr="00710E27">
            <w:rPr>
              <w:rFonts w:cstheme="minorHAnsi"/>
              <w:szCs w:val="24"/>
            </w:rPr>
            <w:fldChar w:fldCharType="begin"/>
          </w:r>
          <w:r w:rsidRPr="00710E27">
            <w:rPr>
              <w:rFonts w:cstheme="minorHAnsi"/>
              <w:szCs w:val="24"/>
            </w:rPr>
            <w:instrText xml:space="preserve"> CITATION Bea16 \l 7177 </w:instrText>
          </w:r>
          <w:r w:rsidRPr="00710E27">
            <w:rPr>
              <w:rFonts w:cstheme="minorHAnsi"/>
              <w:szCs w:val="24"/>
            </w:rPr>
            <w:fldChar w:fldCharType="separate"/>
          </w:r>
          <w:r w:rsidRPr="00710E27">
            <w:rPr>
              <w:rFonts w:cstheme="minorHAnsi"/>
              <w:noProof/>
              <w:szCs w:val="24"/>
            </w:rPr>
            <w:t>(Nakibuuka, 2016)</w:t>
          </w:r>
          <w:r w:rsidRPr="00710E27">
            <w:rPr>
              <w:rFonts w:cstheme="minorHAnsi"/>
              <w:szCs w:val="24"/>
            </w:rPr>
            <w:fldChar w:fldCharType="end"/>
          </w:r>
        </w:sdtContent>
      </w:sdt>
      <w:r w:rsidRPr="00710E27">
        <w:rPr>
          <w:rFonts w:cstheme="minorHAnsi"/>
          <w:szCs w:val="24"/>
        </w:rPr>
        <w:t>.</w:t>
      </w:r>
    </w:p>
    <w:p w14:paraId="7DF40539" w14:textId="38B171F6" w:rsidR="00301A57" w:rsidRDefault="00301A57" w:rsidP="00067344">
      <w:pPr>
        <w:spacing w:line="240" w:lineRule="auto"/>
        <w:jc w:val="both"/>
        <w:rPr>
          <w:rFonts w:cstheme="minorHAnsi"/>
          <w:szCs w:val="24"/>
        </w:rPr>
      </w:pPr>
      <w:r w:rsidRPr="00710E27">
        <w:rPr>
          <w:rFonts w:cstheme="minorHAnsi"/>
          <w:szCs w:val="24"/>
        </w:rPr>
        <w:t xml:space="preserve">According to the WHO, “most diarrheal deaths in the world (88 </w:t>
      </w:r>
      <w:r w:rsidR="00BA2F9C">
        <w:rPr>
          <w:rFonts w:cstheme="minorHAnsi"/>
          <w:szCs w:val="24"/>
        </w:rPr>
        <w:t>per cent</w:t>
      </w:r>
      <w:r w:rsidRPr="00710E27">
        <w:rPr>
          <w:rFonts w:cstheme="minorHAnsi"/>
          <w:szCs w:val="24"/>
        </w:rPr>
        <w:t xml:space="preserve">) are caused by unsafe water, sanitation, or hygiene. More than 99% of these deaths are in developing countries, and about 8 in every 10 deaths are children” </w:t>
      </w:r>
      <w:sdt>
        <w:sdtPr>
          <w:rPr>
            <w:rFonts w:cstheme="minorHAnsi"/>
            <w:szCs w:val="24"/>
          </w:rPr>
          <w:id w:val="1021048789"/>
          <w:citation/>
        </w:sdtPr>
        <w:sdtContent>
          <w:r w:rsidRPr="00710E27">
            <w:rPr>
              <w:rFonts w:cstheme="minorHAnsi"/>
              <w:szCs w:val="24"/>
            </w:rPr>
            <w:fldChar w:fldCharType="begin"/>
          </w:r>
          <w:r w:rsidRPr="00710E27">
            <w:rPr>
              <w:rFonts w:cstheme="minorHAnsi"/>
              <w:szCs w:val="24"/>
            </w:rPr>
            <w:instrText xml:space="preserve"> CITATION WSP14 \l 7177 </w:instrText>
          </w:r>
          <w:r w:rsidRPr="00710E27">
            <w:rPr>
              <w:rFonts w:cstheme="minorHAnsi"/>
              <w:szCs w:val="24"/>
            </w:rPr>
            <w:fldChar w:fldCharType="separate"/>
          </w:r>
          <w:r w:rsidRPr="00710E27">
            <w:rPr>
              <w:rFonts w:cstheme="minorHAnsi"/>
              <w:noProof/>
              <w:szCs w:val="24"/>
            </w:rPr>
            <w:t>(WSP and UNICEF, 2014)</w:t>
          </w:r>
          <w:r w:rsidRPr="00710E27">
            <w:rPr>
              <w:rFonts w:cstheme="minorHAnsi"/>
              <w:szCs w:val="24"/>
            </w:rPr>
            <w:fldChar w:fldCharType="end"/>
          </w:r>
        </w:sdtContent>
      </w:sdt>
      <w:r w:rsidRPr="00710E27">
        <w:rPr>
          <w:rFonts w:cstheme="minorHAnsi"/>
          <w:szCs w:val="24"/>
        </w:rPr>
        <w:t xml:space="preserve"> . Diarrhoea obliges households to spend money on medicine, transportation, health facility fees, and more and can mean lost work and wages among working household members.</w:t>
      </w:r>
    </w:p>
    <w:p w14:paraId="0088F0A8" w14:textId="6223EC54" w:rsidR="001C37F3" w:rsidRDefault="001C37F3" w:rsidP="00067344">
      <w:pPr>
        <w:spacing w:line="240" w:lineRule="auto"/>
        <w:jc w:val="both"/>
        <w:rPr>
          <w:rFonts w:cstheme="minorHAnsi"/>
          <w:szCs w:val="24"/>
          <w:lang w:val="en"/>
        </w:rPr>
      </w:pPr>
      <w:r w:rsidRPr="00E6764C">
        <w:rPr>
          <w:rFonts w:cstheme="minorHAnsi"/>
          <w:szCs w:val="24"/>
          <w:lang w:val="en"/>
        </w:rPr>
        <w:t xml:space="preserve">The Water Institute at the University of North Carolina in Chapel Hill visited Uganda for a case study of community-led total sanitation (CLTS) implementation, focusing on the roles and responsibilities of local actors. They are happy that the Ugandan government has policies in place as well as </w:t>
      </w:r>
      <w:r w:rsidRPr="00E6764C">
        <w:rPr>
          <w:rFonts w:cstheme="minorHAnsi"/>
          <w:szCs w:val="24"/>
          <w:lang w:val="en"/>
        </w:rPr>
        <w:lastRenderedPageBreak/>
        <w:t xml:space="preserve">a dedicated budget to support these goals, but report that many respondents cited termites and heavy rains as reasons why toilets of poor quality construction would collapse. The Institute found that there is a large shortage of skilled masons that are able to build durable toilets and decided to identify and train 78 masons in one district. </w:t>
      </w:r>
      <w:sdt>
        <w:sdtPr>
          <w:rPr>
            <w:rFonts w:cstheme="minorHAnsi"/>
            <w:szCs w:val="24"/>
            <w:lang w:val="en"/>
          </w:rPr>
          <w:id w:val="1381129211"/>
          <w:citation/>
        </w:sdtPr>
        <w:sdtContent>
          <w:r w:rsidRPr="00E6764C">
            <w:rPr>
              <w:rFonts w:cstheme="minorHAnsi"/>
              <w:szCs w:val="24"/>
              <w:lang w:val="en"/>
            </w:rPr>
            <w:fldChar w:fldCharType="begin"/>
          </w:r>
          <w:r w:rsidRPr="00E6764C">
            <w:rPr>
              <w:rFonts w:cstheme="minorHAnsi"/>
              <w:szCs w:val="24"/>
            </w:rPr>
            <w:instrText xml:space="preserve"> CITATION Wat15 \l 7177 </w:instrText>
          </w:r>
          <w:r w:rsidRPr="00E6764C">
            <w:rPr>
              <w:rFonts w:cstheme="minorHAnsi"/>
              <w:szCs w:val="24"/>
              <w:lang w:val="en"/>
            </w:rPr>
            <w:fldChar w:fldCharType="separate"/>
          </w:r>
          <w:r w:rsidRPr="00E6764C">
            <w:rPr>
              <w:rFonts w:cstheme="minorHAnsi"/>
              <w:noProof/>
              <w:szCs w:val="24"/>
            </w:rPr>
            <w:t>(Water Institute UNC, 2015)</w:t>
          </w:r>
          <w:r w:rsidRPr="00E6764C">
            <w:rPr>
              <w:rFonts w:cstheme="minorHAnsi"/>
              <w:szCs w:val="24"/>
              <w:lang w:val="en"/>
            </w:rPr>
            <w:fldChar w:fldCharType="end"/>
          </w:r>
        </w:sdtContent>
      </w:sdt>
      <w:r w:rsidRPr="00E6764C">
        <w:rPr>
          <w:rFonts w:cstheme="minorHAnsi"/>
          <w:szCs w:val="24"/>
          <w:lang w:val="en"/>
        </w:rPr>
        <w:t>.</w:t>
      </w:r>
    </w:p>
    <w:p w14:paraId="172E4994" w14:textId="23F627A3" w:rsidR="003A45A7" w:rsidRPr="00710E27" w:rsidRDefault="003A45A7" w:rsidP="00067344">
      <w:pPr>
        <w:spacing w:line="240" w:lineRule="auto"/>
        <w:jc w:val="both"/>
        <w:rPr>
          <w:rFonts w:cstheme="minorHAnsi"/>
          <w:szCs w:val="24"/>
        </w:rPr>
      </w:pPr>
      <w:r>
        <w:rPr>
          <w:rFonts w:cstheme="minorHAnsi"/>
          <w:szCs w:val="24"/>
          <w:lang w:val="en"/>
        </w:rPr>
        <w:t>We claim that it is highly unlikely to fulfil the requirement of having access to “safe and nutritious food” under the circumstances described above</w:t>
      </w:r>
      <w:r w:rsidR="00F12260">
        <w:rPr>
          <w:rFonts w:cstheme="minorHAnsi"/>
          <w:szCs w:val="24"/>
          <w:lang w:val="en"/>
        </w:rPr>
        <w:t>, for obvious reasons</w:t>
      </w:r>
      <w:r>
        <w:rPr>
          <w:rFonts w:cstheme="minorHAnsi"/>
          <w:szCs w:val="24"/>
          <w:lang w:val="en"/>
        </w:rPr>
        <w:t>.</w:t>
      </w:r>
      <w:r w:rsidR="00F12260">
        <w:rPr>
          <w:rFonts w:cstheme="minorHAnsi"/>
          <w:szCs w:val="24"/>
          <w:lang w:val="en"/>
        </w:rPr>
        <w:t xml:space="preserve"> If people do not or cannot wash their hands, they will probably not be able to work with food in a hygienic way. If they have access to food, they are likely to contaminate the food. </w:t>
      </w:r>
    </w:p>
    <w:p w14:paraId="15795625" w14:textId="77777777" w:rsidR="00301A57" w:rsidRPr="0090012E" w:rsidRDefault="0090012E" w:rsidP="0090012E">
      <w:pPr>
        <w:pStyle w:val="Heading2"/>
      </w:pPr>
      <w:bookmarkStart w:id="6" w:name="_Toc525042483"/>
      <w:r>
        <w:t>Food stability</w:t>
      </w:r>
      <w:bookmarkEnd w:id="6"/>
    </w:p>
    <w:p w14:paraId="6AEA756C" w14:textId="77777777" w:rsidR="00301A57" w:rsidRPr="00710E27" w:rsidRDefault="00301A57" w:rsidP="00067344">
      <w:pPr>
        <w:spacing w:line="240" w:lineRule="auto"/>
        <w:jc w:val="both"/>
        <w:rPr>
          <w:rFonts w:cstheme="minorHAnsi"/>
          <w:color w:val="1D1D1D"/>
          <w:szCs w:val="24"/>
          <w:shd w:val="clear" w:color="auto" w:fill="FFFFFF"/>
        </w:rPr>
      </w:pPr>
      <w:r w:rsidRPr="00710E27">
        <w:rPr>
          <w:rFonts w:cstheme="minorHAnsi"/>
          <w:color w:val="1D1D1D"/>
          <w:szCs w:val="24"/>
          <w:shd w:val="clear" w:color="auto" w:fill="FFFFFF"/>
        </w:rPr>
        <w:t xml:space="preserve">Funk </w:t>
      </w:r>
      <w:r w:rsidRPr="00710E27">
        <w:rPr>
          <w:rFonts w:cstheme="minorHAnsi"/>
          <w:i/>
          <w:color w:val="1D1D1D"/>
          <w:szCs w:val="24"/>
          <w:shd w:val="clear" w:color="auto" w:fill="FFFFFF"/>
        </w:rPr>
        <w:t>et.al</w:t>
      </w:r>
      <w:r w:rsidRPr="00710E27">
        <w:rPr>
          <w:rFonts w:cstheme="minorHAnsi"/>
          <w:color w:val="1D1D1D"/>
          <w:szCs w:val="24"/>
          <w:shd w:val="clear" w:color="auto" w:fill="FFFFFF"/>
        </w:rPr>
        <w:t xml:space="preserve"> (2012) write a brief report in which they examine Ugandan rainfall and temperature trends for the last 110 years (1900-2009) using observations from 57 rain gauges and 5 air temperature stations for the two primary rainy periods of Uganda, namely March-June and June-September. The report itself is brief but it draws from a multi-year effort by the USAID Famine Early Warning Systems Network (FEWS NET) </w:t>
      </w:r>
      <w:sdt>
        <w:sdtPr>
          <w:rPr>
            <w:rFonts w:cstheme="minorHAnsi"/>
            <w:color w:val="1D1D1D"/>
            <w:szCs w:val="24"/>
            <w:shd w:val="clear" w:color="auto" w:fill="FFFFFF"/>
          </w:rPr>
          <w:id w:val="1916891244"/>
          <w:citation/>
        </w:sdtPr>
        <w:sdtContent>
          <w:r w:rsidRPr="00710E27">
            <w:rPr>
              <w:rFonts w:cstheme="minorHAnsi"/>
              <w:color w:val="1D1D1D"/>
              <w:szCs w:val="24"/>
              <w:shd w:val="clear" w:color="auto" w:fill="FFFFFF"/>
            </w:rPr>
            <w:fldChar w:fldCharType="begin"/>
          </w:r>
          <w:r w:rsidRPr="00710E27">
            <w:rPr>
              <w:rFonts w:cstheme="minorHAnsi"/>
              <w:color w:val="1D1D1D"/>
              <w:szCs w:val="24"/>
              <w:shd w:val="clear" w:color="auto" w:fill="FFFFFF"/>
              <w:lang w:val="en-AU"/>
            </w:rPr>
            <w:instrText xml:space="preserve">CITATION Fun12 \l 3081 </w:instrText>
          </w:r>
          <w:r w:rsidRPr="00710E27">
            <w:rPr>
              <w:rFonts w:cstheme="minorHAnsi"/>
              <w:color w:val="1D1D1D"/>
              <w:szCs w:val="24"/>
              <w:shd w:val="clear" w:color="auto" w:fill="FFFFFF"/>
            </w:rPr>
            <w:fldChar w:fldCharType="separate"/>
          </w:r>
          <w:r w:rsidRPr="00710E27">
            <w:rPr>
              <w:rFonts w:cstheme="minorHAnsi"/>
              <w:noProof/>
              <w:color w:val="1D1D1D"/>
              <w:szCs w:val="24"/>
              <w:shd w:val="clear" w:color="auto" w:fill="FFFFFF"/>
              <w:lang w:val="en-AU"/>
            </w:rPr>
            <w:t>(Funk, 2012)</w:t>
          </w:r>
          <w:r w:rsidRPr="00710E27">
            <w:rPr>
              <w:rFonts w:cstheme="minorHAnsi"/>
              <w:color w:val="1D1D1D"/>
              <w:szCs w:val="24"/>
              <w:shd w:val="clear" w:color="auto" w:fill="FFFFFF"/>
            </w:rPr>
            <w:fldChar w:fldCharType="end"/>
          </w:r>
        </w:sdtContent>
      </w:sdt>
      <w:r w:rsidRPr="00710E27">
        <w:rPr>
          <w:rFonts w:cstheme="minorHAnsi"/>
          <w:color w:val="1D1D1D"/>
          <w:szCs w:val="24"/>
          <w:shd w:val="clear" w:color="auto" w:fill="FFFFFF"/>
        </w:rPr>
        <w:t xml:space="preserve">. They conclude that (i) “Both spring and summer rains have decreased in Uganda during the past 25 years” and (ii) “The magnitude of observed warming, especially since the early 1980s, is large and unprecedented within the past 110 years, representing a large (2+ standard deviations) change from the climatic norm” (p.1). </w:t>
      </w:r>
    </w:p>
    <w:p w14:paraId="2B4A73EB" w14:textId="77777777" w:rsidR="0060135E" w:rsidRDefault="0060135E">
      <w:pPr>
        <w:rPr>
          <w:rFonts w:cstheme="minorHAnsi"/>
          <w:b/>
          <w:i/>
          <w:iCs/>
          <w:color w:val="44546A" w:themeColor="text2"/>
          <w:szCs w:val="24"/>
        </w:rPr>
      </w:pPr>
      <w:bookmarkStart w:id="7" w:name="_Ref466572984"/>
      <w:r>
        <w:rPr>
          <w:rFonts w:cstheme="minorHAnsi"/>
          <w:b/>
          <w:szCs w:val="24"/>
        </w:rPr>
        <w:br w:type="page"/>
      </w:r>
    </w:p>
    <w:p w14:paraId="3FA7A1FA" w14:textId="178ABE3A" w:rsidR="00301A57" w:rsidRPr="009D7074" w:rsidRDefault="00301A57" w:rsidP="00301A57">
      <w:pPr>
        <w:pStyle w:val="Caption"/>
        <w:rPr>
          <w:rFonts w:cstheme="minorHAnsi"/>
          <w:color w:val="1D1D1D"/>
          <w:sz w:val="24"/>
          <w:szCs w:val="24"/>
          <w:shd w:val="clear" w:color="auto" w:fill="FFFFFF"/>
        </w:rPr>
      </w:pPr>
      <w:r w:rsidRPr="009D7074">
        <w:rPr>
          <w:rFonts w:cstheme="minorHAnsi"/>
          <w:sz w:val="24"/>
          <w:szCs w:val="24"/>
        </w:rPr>
        <w:lastRenderedPageBreak/>
        <w:t xml:space="preserve">Figure </w:t>
      </w:r>
      <w:r w:rsidRPr="009D7074">
        <w:rPr>
          <w:rFonts w:cstheme="minorHAnsi"/>
          <w:sz w:val="24"/>
          <w:szCs w:val="24"/>
        </w:rPr>
        <w:fldChar w:fldCharType="begin"/>
      </w:r>
      <w:r w:rsidRPr="009D7074">
        <w:rPr>
          <w:rFonts w:cstheme="minorHAnsi"/>
          <w:sz w:val="24"/>
          <w:szCs w:val="24"/>
        </w:rPr>
        <w:instrText xml:space="preserve"> SEQ Figure \* ARABIC </w:instrText>
      </w:r>
      <w:r w:rsidRPr="009D7074">
        <w:rPr>
          <w:rFonts w:cstheme="minorHAnsi"/>
          <w:sz w:val="24"/>
          <w:szCs w:val="24"/>
        </w:rPr>
        <w:fldChar w:fldCharType="separate"/>
      </w:r>
      <w:r w:rsidR="00875DA8">
        <w:rPr>
          <w:rFonts w:cstheme="minorHAnsi"/>
          <w:noProof/>
          <w:sz w:val="24"/>
          <w:szCs w:val="24"/>
        </w:rPr>
        <w:t>1</w:t>
      </w:r>
      <w:r w:rsidRPr="009D7074">
        <w:rPr>
          <w:rFonts w:cstheme="minorHAnsi"/>
          <w:sz w:val="24"/>
          <w:szCs w:val="24"/>
        </w:rPr>
        <w:fldChar w:fldCharType="end"/>
      </w:r>
      <w:bookmarkEnd w:id="7"/>
      <w:r w:rsidRPr="009D7074">
        <w:rPr>
          <w:rFonts w:cstheme="minorHAnsi"/>
          <w:sz w:val="24"/>
          <w:szCs w:val="24"/>
        </w:rPr>
        <w:t xml:space="preserve">. Observed (1960-2009) changes in March-June and June-September rainfall and temperature in Uganda. </w:t>
      </w:r>
    </w:p>
    <w:p w14:paraId="1CFDC379" w14:textId="77777777" w:rsidR="00301A57" w:rsidRPr="00710E27" w:rsidRDefault="00301A57" w:rsidP="00301A57">
      <w:pPr>
        <w:spacing w:line="360" w:lineRule="auto"/>
        <w:jc w:val="both"/>
        <w:rPr>
          <w:rFonts w:cstheme="minorHAnsi"/>
          <w:color w:val="1D1D1D"/>
          <w:szCs w:val="24"/>
          <w:shd w:val="clear" w:color="auto" w:fill="FFFFFF"/>
        </w:rPr>
      </w:pPr>
      <w:r w:rsidRPr="00710E27">
        <w:rPr>
          <w:rFonts w:cstheme="minorHAnsi"/>
          <w:noProof/>
          <w:color w:val="1D1D1D"/>
          <w:szCs w:val="24"/>
          <w:shd w:val="clear" w:color="auto" w:fill="FFFFFF"/>
          <w:lang w:eastAsia="en-ZA"/>
        </w:rPr>
        <mc:AlternateContent>
          <mc:Choice Requires="wps">
            <w:drawing>
              <wp:anchor distT="45720" distB="45720" distL="114300" distR="114300" simplePos="0" relativeHeight="251658240" behindDoc="0" locked="0" layoutInCell="1" allowOverlap="1" wp14:anchorId="0C31AB4B" wp14:editId="68850754">
                <wp:simplePos x="0" y="0"/>
                <wp:positionH relativeFrom="column">
                  <wp:posOffset>3315052</wp:posOffset>
                </wp:positionH>
                <wp:positionV relativeFrom="paragraph">
                  <wp:posOffset>8578</wp:posOffset>
                </wp:positionV>
                <wp:extent cx="2360930" cy="1404620"/>
                <wp:effectExtent l="0" t="0" r="22860" b="114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31FBF3EB" w14:textId="6E4FAC53" w:rsidR="008A30A9" w:rsidRDefault="008A30A9" w:rsidP="00301A57">
                            <w:r w:rsidRPr="007538A9">
                              <w:rPr>
                                <w:b/>
                                <w:szCs w:val="24"/>
                              </w:rPr>
                              <w:fldChar w:fldCharType="begin"/>
                            </w:r>
                            <w:r w:rsidRPr="005C4484">
                              <w:rPr>
                                <w:b/>
                                <w:szCs w:val="24"/>
                              </w:rPr>
                              <w:instrText xml:space="preserve"> REF _Ref466572984 \h  \* MERGEFORMAT </w:instrText>
                            </w:r>
                            <w:r w:rsidRPr="007538A9">
                              <w:rPr>
                                <w:b/>
                                <w:szCs w:val="24"/>
                              </w:rPr>
                            </w:r>
                            <w:r w:rsidRPr="007538A9">
                              <w:rPr>
                                <w:b/>
                                <w:szCs w:val="24"/>
                              </w:rPr>
                              <w:fldChar w:fldCharType="separate"/>
                            </w:r>
                            <w:r w:rsidRPr="005C4484">
                              <w:rPr>
                                <w:szCs w:val="24"/>
                              </w:rPr>
                              <w:t>Figure</w:t>
                            </w:r>
                            <w:r w:rsidRPr="007538A9">
                              <w:rPr>
                                <w:sz w:val="20"/>
                                <w:szCs w:val="20"/>
                              </w:rPr>
                              <w:t xml:space="preserve"> </w:t>
                            </w:r>
                            <w:r w:rsidRPr="007538A9">
                              <w:rPr>
                                <w:noProof/>
                                <w:sz w:val="20"/>
                                <w:szCs w:val="20"/>
                              </w:rPr>
                              <w:t>1</w:t>
                            </w:r>
                            <w:r w:rsidRPr="007538A9">
                              <w:rPr>
                                <w:b/>
                              </w:rPr>
                              <w:fldChar w:fldCharType="end"/>
                            </w:r>
                            <w:r>
                              <w:t xml:space="preserve"> shows how rainfall and temperature have changed during the past 50 years in Uganda. The dark brown area in the bottom left map is receiving 100mm less rain than before, while the reddish area in the north-east of the bottom right map is experiencing 1.5 degrees C increase in temperature, etc.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0C31AB4B" id="_x0000_t202" coordsize="21600,21600" o:spt="202" path="m,l,21600r21600,l21600,xe">
                <v:stroke joinstyle="miter"/>
                <v:path gradientshapeok="t" o:connecttype="rect"/>
              </v:shapetype>
              <v:shape id="Text Box 2" o:spid="_x0000_s1026" type="#_x0000_t202" style="position:absolute;left:0;text-align:left;margin-left:261.05pt;margin-top:.7pt;width:185.9pt;height:110.6pt;z-index:25165824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">
                <v:textbox style="mso-fit-shape-to-text:t">
                  <w:txbxContent>
                    <w:p w14:paraId="31FBF3EB" w14:textId="6E4FAC53" w:rsidR="008A30A9" w:rsidRDefault="008A30A9" w:rsidP="00301A57">
                      <w:r w:rsidRPr="007538A9">
                        <w:rPr>
                          <w:b/>
                          <w:szCs w:val="24"/>
                        </w:rPr>
                        <w:fldChar w:fldCharType="begin"/>
                      </w:r>
                      <w:r w:rsidRPr="005C4484">
                        <w:rPr>
                          <w:b/>
                          <w:szCs w:val="24"/>
                        </w:rPr>
                        <w:instrText xml:space="preserve"> REF _Ref466572984 \h  \* MERGEFORMAT </w:instrText>
                      </w:r>
                      <w:r w:rsidRPr="007538A9">
                        <w:rPr>
                          <w:b/>
                          <w:szCs w:val="24"/>
                        </w:rPr>
                      </w:r>
                      <w:r w:rsidRPr="007538A9">
                        <w:rPr>
                          <w:b/>
                          <w:szCs w:val="24"/>
                        </w:rPr>
                        <w:fldChar w:fldCharType="separate"/>
                      </w:r>
                      <w:r w:rsidRPr="005C4484">
                        <w:rPr>
                          <w:szCs w:val="24"/>
                        </w:rPr>
                        <w:t>Figure</w:t>
                      </w:r>
                      <w:r w:rsidRPr="007538A9">
                        <w:rPr>
                          <w:sz w:val="20"/>
                          <w:szCs w:val="20"/>
                        </w:rPr>
                        <w:t xml:space="preserve"> </w:t>
                      </w:r>
                      <w:r w:rsidRPr="007538A9">
                        <w:rPr>
                          <w:noProof/>
                          <w:sz w:val="20"/>
                          <w:szCs w:val="20"/>
                        </w:rPr>
                        <w:t>1</w:t>
                      </w:r>
                      <w:r w:rsidRPr="007538A9">
                        <w:rPr>
                          <w:b/>
                        </w:rPr>
                        <w:fldChar w:fldCharType="end"/>
                      </w:r>
                      <w:r>
                        <w:t xml:space="preserve"> shows how rainfall and temperature have changed during the past 50 years in Uganda. The dark brown area in the bottom left map is receiving 100mm less rain than before, while the reddish area in the north-east of the bottom right map is experiencing 1.5 degrees C increase in temperature, etc. </w:t>
                      </w:r>
                    </w:p>
                  </w:txbxContent>
                </v:textbox>
                <w10:wrap type="square"/>
              </v:shape>
            </w:pict>
          </mc:Fallback>
        </mc:AlternateContent>
      </w:r>
      <w:r w:rsidRPr="00710E27">
        <w:rPr>
          <w:rFonts w:eastAsia="Times New Roman" w:cstheme="minorHAnsi"/>
          <w:noProof/>
          <w:szCs w:val="24"/>
          <w:lang w:eastAsia="en-ZA"/>
        </w:rPr>
        <w:drawing>
          <wp:inline distT="0" distB="0" distL="0" distR="0" wp14:anchorId="52770C5D" wp14:editId="3C222660">
            <wp:extent cx="2848911" cy="3396376"/>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60326" cy="3409985"/>
                    </a:xfrm>
                    <a:prstGeom prst="rect">
                      <a:avLst/>
                    </a:prstGeom>
                    <a:noFill/>
                    <a:ln>
                      <a:noFill/>
                    </a:ln>
                  </pic:spPr>
                </pic:pic>
              </a:graphicData>
            </a:graphic>
          </wp:inline>
        </w:drawing>
      </w:r>
    </w:p>
    <w:p w14:paraId="4E40AFA7" w14:textId="77777777" w:rsidR="00301A57" w:rsidRPr="00710E27" w:rsidRDefault="00301A57" w:rsidP="00301A57">
      <w:pPr>
        <w:spacing w:line="360" w:lineRule="auto"/>
        <w:jc w:val="both"/>
        <w:rPr>
          <w:rFonts w:cstheme="minorHAnsi"/>
          <w:color w:val="1D1D1D"/>
          <w:szCs w:val="24"/>
          <w:shd w:val="clear" w:color="auto" w:fill="FFFFFF"/>
        </w:rPr>
      </w:pPr>
      <w:r w:rsidRPr="00710E27">
        <w:rPr>
          <w:rFonts w:cstheme="minorHAnsi"/>
          <w:color w:val="1D1D1D"/>
          <w:szCs w:val="24"/>
          <w:shd w:val="clear" w:color="auto" w:fill="FFFFFF"/>
        </w:rPr>
        <w:t xml:space="preserve">Source: </w:t>
      </w:r>
      <w:sdt>
        <w:sdtPr>
          <w:rPr>
            <w:rFonts w:cstheme="minorHAnsi"/>
            <w:color w:val="1D1D1D"/>
            <w:szCs w:val="24"/>
            <w:shd w:val="clear" w:color="auto" w:fill="FFFFFF"/>
          </w:rPr>
          <w:id w:val="1166209607"/>
          <w:citation/>
        </w:sdtPr>
        <w:sdtContent>
          <w:r w:rsidRPr="00710E27">
            <w:rPr>
              <w:rFonts w:cstheme="minorHAnsi"/>
              <w:color w:val="1D1D1D"/>
              <w:szCs w:val="24"/>
              <w:shd w:val="clear" w:color="auto" w:fill="FFFFFF"/>
            </w:rPr>
            <w:fldChar w:fldCharType="begin"/>
          </w:r>
          <w:r w:rsidRPr="00710E27">
            <w:rPr>
              <w:rFonts w:cstheme="minorHAnsi"/>
              <w:color w:val="1D1D1D"/>
              <w:szCs w:val="24"/>
              <w:shd w:val="clear" w:color="auto" w:fill="FFFFFF"/>
            </w:rPr>
            <w:instrText xml:space="preserve"> CITATION Fun12 \l 7177 </w:instrText>
          </w:r>
          <w:r w:rsidRPr="00710E27">
            <w:rPr>
              <w:rFonts w:cstheme="minorHAnsi"/>
              <w:color w:val="1D1D1D"/>
              <w:szCs w:val="24"/>
              <w:shd w:val="clear" w:color="auto" w:fill="FFFFFF"/>
            </w:rPr>
            <w:fldChar w:fldCharType="separate"/>
          </w:r>
          <w:r w:rsidRPr="00710E27">
            <w:rPr>
              <w:rFonts w:cstheme="minorHAnsi"/>
              <w:noProof/>
              <w:color w:val="1D1D1D"/>
              <w:szCs w:val="24"/>
              <w:shd w:val="clear" w:color="auto" w:fill="FFFFFF"/>
            </w:rPr>
            <w:t>(Funk, 2012)</w:t>
          </w:r>
          <w:r w:rsidRPr="00710E27">
            <w:rPr>
              <w:rFonts w:cstheme="minorHAnsi"/>
              <w:color w:val="1D1D1D"/>
              <w:szCs w:val="24"/>
              <w:shd w:val="clear" w:color="auto" w:fill="FFFFFF"/>
            </w:rPr>
            <w:fldChar w:fldCharType="end"/>
          </w:r>
        </w:sdtContent>
      </w:sdt>
    </w:p>
    <w:p w14:paraId="229F8A70" w14:textId="7712669D" w:rsidR="00301A57" w:rsidRPr="00710E27" w:rsidRDefault="00301A57" w:rsidP="00067344">
      <w:pPr>
        <w:spacing w:line="240" w:lineRule="auto"/>
        <w:jc w:val="both"/>
        <w:rPr>
          <w:rFonts w:cstheme="minorHAnsi"/>
          <w:color w:val="1D1D1D"/>
          <w:szCs w:val="24"/>
          <w:shd w:val="clear" w:color="auto" w:fill="FFFFFF"/>
        </w:rPr>
      </w:pPr>
      <w:r w:rsidRPr="009D7074">
        <w:rPr>
          <w:rFonts w:cstheme="minorHAnsi"/>
          <w:color w:val="1D1D1D"/>
          <w:szCs w:val="24"/>
          <w:shd w:val="clear" w:color="auto" w:fill="FFFFFF"/>
        </w:rPr>
        <w:fldChar w:fldCharType="begin"/>
      </w:r>
      <w:r w:rsidRPr="009D7074">
        <w:rPr>
          <w:rFonts w:cstheme="minorHAnsi"/>
          <w:color w:val="1D1D1D"/>
          <w:szCs w:val="24"/>
          <w:shd w:val="clear" w:color="auto" w:fill="FFFFFF"/>
        </w:rPr>
        <w:instrText xml:space="preserve"> REF _Ref466569660 \h </w:instrText>
      </w:r>
      <w:r w:rsidR="00710E27" w:rsidRPr="009D7074">
        <w:rPr>
          <w:rFonts w:cstheme="minorHAnsi"/>
          <w:color w:val="1D1D1D"/>
          <w:szCs w:val="24"/>
          <w:shd w:val="clear" w:color="auto" w:fill="FFFFFF"/>
        </w:rPr>
        <w:instrText xml:space="preserve"> \* MERGEFORMAT </w:instrText>
      </w:r>
      <w:r w:rsidRPr="009D7074">
        <w:rPr>
          <w:rFonts w:cstheme="minorHAnsi"/>
          <w:color w:val="1D1D1D"/>
          <w:szCs w:val="24"/>
          <w:shd w:val="clear" w:color="auto" w:fill="FFFFFF"/>
        </w:rPr>
      </w:r>
      <w:r w:rsidRPr="009D7074">
        <w:rPr>
          <w:rFonts w:cstheme="minorHAnsi"/>
          <w:color w:val="1D1D1D"/>
          <w:szCs w:val="24"/>
          <w:shd w:val="clear" w:color="auto" w:fill="FFFFFF"/>
        </w:rPr>
        <w:fldChar w:fldCharType="separate"/>
      </w:r>
      <w:r w:rsidRPr="009D7074">
        <w:rPr>
          <w:rFonts w:cstheme="minorHAnsi"/>
          <w:i/>
          <w:szCs w:val="24"/>
        </w:rPr>
        <w:t xml:space="preserve">Figure </w:t>
      </w:r>
      <w:r w:rsidRPr="009D7074">
        <w:rPr>
          <w:rFonts w:cstheme="minorHAnsi"/>
          <w:i/>
          <w:noProof/>
          <w:szCs w:val="24"/>
        </w:rPr>
        <w:t>2</w:t>
      </w:r>
      <w:r w:rsidRPr="009D7074">
        <w:rPr>
          <w:rFonts w:cstheme="minorHAnsi"/>
          <w:color w:val="1D1D1D"/>
          <w:szCs w:val="24"/>
          <w:shd w:val="clear" w:color="auto" w:fill="FFFFFF"/>
        </w:rPr>
        <w:fldChar w:fldCharType="end"/>
      </w:r>
      <w:r w:rsidRPr="009D7074">
        <w:rPr>
          <w:rFonts w:cstheme="minorHAnsi"/>
          <w:color w:val="1D1D1D"/>
          <w:szCs w:val="24"/>
          <w:shd w:val="clear" w:color="auto" w:fill="FFFFFF"/>
        </w:rPr>
        <w:t xml:space="preserve"> tells the story very clearly in times series form. The 2000-2009</w:t>
      </w:r>
      <w:r w:rsidRPr="00710E27">
        <w:rPr>
          <w:rFonts w:cstheme="minorHAnsi"/>
          <w:color w:val="1D1D1D"/>
          <w:szCs w:val="24"/>
          <w:shd w:val="clear" w:color="auto" w:fill="FFFFFF"/>
        </w:rPr>
        <w:t xml:space="preserve"> rainfall has been, on average, about 8 </w:t>
      </w:r>
      <w:r w:rsidR="00BA2F9C">
        <w:rPr>
          <w:rFonts w:cstheme="minorHAnsi"/>
          <w:color w:val="1D1D1D"/>
          <w:szCs w:val="24"/>
          <w:shd w:val="clear" w:color="auto" w:fill="FFFFFF"/>
        </w:rPr>
        <w:t>per cent</w:t>
      </w:r>
      <w:r w:rsidRPr="00710E27">
        <w:rPr>
          <w:rFonts w:cstheme="minorHAnsi"/>
          <w:color w:val="1D1D1D"/>
          <w:szCs w:val="24"/>
          <w:shd w:val="clear" w:color="auto" w:fill="FFFFFF"/>
        </w:rPr>
        <w:t xml:space="preserve"> lower than rainfall between 1920 and 1969, with the June-September rainfall declining for more than two decades now, while the March-June decline starting a bit later. </w:t>
      </w:r>
    </w:p>
    <w:p w14:paraId="5D8EAC53" w14:textId="4FF61F65" w:rsidR="00301A57" w:rsidRPr="009D7074" w:rsidRDefault="00301A57" w:rsidP="00301A57">
      <w:pPr>
        <w:autoSpaceDE w:val="0"/>
        <w:autoSpaceDN w:val="0"/>
        <w:adjustRightInd w:val="0"/>
        <w:spacing w:after="0" w:line="240" w:lineRule="auto"/>
        <w:rPr>
          <w:rFonts w:cstheme="minorHAnsi"/>
          <w:i/>
          <w:szCs w:val="24"/>
        </w:rPr>
      </w:pPr>
      <w:bookmarkStart w:id="8" w:name="_Ref466569660"/>
      <w:r w:rsidRPr="009D7074">
        <w:rPr>
          <w:rFonts w:cstheme="minorHAnsi"/>
          <w:i/>
          <w:szCs w:val="24"/>
        </w:rPr>
        <w:t xml:space="preserve">Figure </w:t>
      </w:r>
      <w:r w:rsidRPr="009D7074">
        <w:rPr>
          <w:rFonts w:cstheme="minorHAnsi"/>
          <w:i/>
          <w:szCs w:val="24"/>
        </w:rPr>
        <w:fldChar w:fldCharType="begin"/>
      </w:r>
      <w:r w:rsidRPr="009D7074">
        <w:rPr>
          <w:rFonts w:cstheme="minorHAnsi"/>
          <w:i/>
          <w:szCs w:val="24"/>
        </w:rPr>
        <w:instrText xml:space="preserve"> SEQ Figure \* ARABIC </w:instrText>
      </w:r>
      <w:r w:rsidRPr="009D7074">
        <w:rPr>
          <w:rFonts w:cstheme="minorHAnsi"/>
          <w:i/>
          <w:szCs w:val="24"/>
        </w:rPr>
        <w:fldChar w:fldCharType="separate"/>
      </w:r>
      <w:r w:rsidR="00875DA8">
        <w:rPr>
          <w:rFonts w:cstheme="minorHAnsi"/>
          <w:i/>
          <w:noProof/>
          <w:szCs w:val="24"/>
        </w:rPr>
        <w:t>2</w:t>
      </w:r>
      <w:r w:rsidRPr="009D7074">
        <w:rPr>
          <w:rFonts w:cstheme="minorHAnsi"/>
          <w:i/>
          <w:szCs w:val="24"/>
        </w:rPr>
        <w:fldChar w:fldCharType="end"/>
      </w:r>
      <w:bookmarkEnd w:id="8"/>
      <w:r w:rsidRPr="009D7074">
        <w:rPr>
          <w:rFonts w:cstheme="minorHAnsi"/>
          <w:i/>
          <w:szCs w:val="24"/>
        </w:rPr>
        <w:t>. Smoothed 1900–2009 March–June and June–September rainfall and air temperature time series for crop-growing regions.</w:t>
      </w:r>
    </w:p>
    <w:p w14:paraId="4575CA7D" w14:textId="77777777" w:rsidR="00301A57" w:rsidRPr="00710E27" w:rsidRDefault="00301A57" w:rsidP="00301A57">
      <w:pPr>
        <w:autoSpaceDE w:val="0"/>
        <w:autoSpaceDN w:val="0"/>
        <w:adjustRightInd w:val="0"/>
        <w:spacing w:after="0" w:line="240" w:lineRule="auto"/>
        <w:rPr>
          <w:rFonts w:cstheme="minorHAnsi"/>
          <w:szCs w:val="24"/>
          <w:shd w:val="clear" w:color="auto" w:fill="FFFFFF"/>
        </w:rPr>
      </w:pPr>
      <w:r w:rsidRPr="00710E27">
        <w:rPr>
          <w:rFonts w:cstheme="minorHAnsi"/>
          <w:noProof/>
          <w:szCs w:val="24"/>
          <w:lang w:eastAsia="en-ZA"/>
        </w:rPr>
        <w:drawing>
          <wp:inline distT="0" distB="0" distL="0" distR="0" wp14:anchorId="0526FB82" wp14:editId="438B5A68">
            <wp:extent cx="4211926" cy="266920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29553" cy="2680372"/>
                    </a:xfrm>
                    <a:prstGeom prst="rect">
                      <a:avLst/>
                    </a:prstGeom>
                    <a:noFill/>
                    <a:ln>
                      <a:noFill/>
                    </a:ln>
                  </pic:spPr>
                </pic:pic>
              </a:graphicData>
            </a:graphic>
          </wp:inline>
        </w:drawing>
      </w:r>
    </w:p>
    <w:p w14:paraId="52E5EB2F" w14:textId="77777777" w:rsidR="00301A57" w:rsidRPr="00710E27" w:rsidRDefault="00301A57" w:rsidP="00301A57">
      <w:pPr>
        <w:spacing w:line="360" w:lineRule="auto"/>
        <w:jc w:val="both"/>
        <w:rPr>
          <w:rFonts w:cstheme="minorHAnsi"/>
          <w:color w:val="1D1D1D"/>
          <w:szCs w:val="24"/>
          <w:shd w:val="clear" w:color="auto" w:fill="FFFFFF"/>
        </w:rPr>
      </w:pPr>
      <w:r w:rsidRPr="00710E27">
        <w:rPr>
          <w:rFonts w:cstheme="minorHAnsi"/>
          <w:color w:val="1D1D1D"/>
          <w:szCs w:val="24"/>
          <w:shd w:val="clear" w:color="auto" w:fill="FFFFFF"/>
        </w:rPr>
        <w:t xml:space="preserve">Source: </w:t>
      </w:r>
      <w:sdt>
        <w:sdtPr>
          <w:rPr>
            <w:rFonts w:cstheme="minorHAnsi"/>
            <w:color w:val="1D1D1D"/>
            <w:szCs w:val="24"/>
            <w:shd w:val="clear" w:color="auto" w:fill="FFFFFF"/>
          </w:rPr>
          <w:id w:val="1893382178"/>
          <w:citation/>
        </w:sdtPr>
        <w:sdtContent>
          <w:r w:rsidRPr="00710E27">
            <w:rPr>
              <w:rFonts w:cstheme="minorHAnsi"/>
              <w:color w:val="1D1D1D"/>
              <w:szCs w:val="24"/>
              <w:shd w:val="clear" w:color="auto" w:fill="FFFFFF"/>
            </w:rPr>
            <w:fldChar w:fldCharType="begin"/>
          </w:r>
          <w:r w:rsidRPr="00710E27">
            <w:rPr>
              <w:rFonts w:cstheme="minorHAnsi"/>
              <w:color w:val="1D1D1D"/>
              <w:szCs w:val="24"/>
              <w:shd w:val="clear" w:color="auto" w:fill="FFFFFF"/>
            </w:rPr>
            <w:instrText xml:space="preserve">CITATION Fun12 \l 7177 </w:instrText>
          </w:r>
          <w:r w:rsidRPr="00710E27">
            <w:rPr>
              <w:rFonts w:cstheme="minorHAnsi"/>
              <w:color w:val="1D1D1D"/>
              <w:szCs w:val="24"/>
              <w:shd w:val="clear" w:color="auto" w:fill="FFFFFF"/>
            </w:rPr>
            <w:fldChar w:fldCharType="separate"/>
          </w:r>
          <w:r w:rsidRPr="00710E27">
            <w:rPr>
              <w:rFonts w:cstheme="minorHAnsi"/>
              <w:noProof/>
              <w:color w:val="1D1D1D"/>
              <w:szCs w:val="24"/>
              <w:shd w:val="clear" w:color="auto" w:fill="FFFFFF"/>
            </w:rPr>
            <w:t>(Funk, 2012)</w:t>
          </w:r>
          <w:r w:rsidRPr="00710E27">
            <w:rPr>
              <w:rFonts w:cstheme="minorHAnsi"/>
              <w:color w:val="1D1D1D"/>
              <w:szCs w:val="24"/>
              <w:shd w:val="clear" w:color="auto" w:fill="FFFFFF"/>
            </w:rPr>
            <w:fldChar w:fldCharType="end"/>
          </w:r>
        </w:sdtContent>
      </w:sdt>
      <w:r w:rsidRPr="00710E27">
        <w:rPr>
          <w:rFonts w:cstheme="minorHAnsi"/>
          <w:color w:val="1D1D1D"/>
          <w:szCs w:val="24"/>
          <w:shd w:val="clear" w:color="auto" w:fill="FFFFFF"/>
        </w:rPr>
        <w:t>.</w:t>
      </w:r>
    </w:p>
    <w:p w14:paraId="597C58BE" w14:textId="77777777" w:rsidR="00301A57" w:rsidRPr="00710E27" w:rsidRDefault="00301A57" w:rsidP="00067344">
      <w:pPr>
        <w:spacing w:line="240" w:lineRule="auto"/>
        <w:jc w:val="both"/>
        <w:rPr>
          <w:rFonts w:cstheme="minorHAnsi"/>
          <w:color w:val="1D1D1D"/>
          <w:szCs w:val="24"/>
          <w:shd w:val="clear" w:color="auto" w:fill="FFFFFF"/>
        </w:rPr>
      </w:pPr>
      <w:r w:rsidRPr="00710E27">
        <w:rPr>
          <w:rFonts w:cstheme="minorHAnsi"/>
          <w:color w:val="1D1D1D"/>
          <w:szCs w:val="24"/>
          <w:shd w:val="clear" w:color="auto" w:fill="FFFFFF"/>
        </w:rPr>
        <w:lastRenderedPageBreak/>
        <w:t xml:space="preserve">The temperature in Uganda increased by more than 0.8 degrees Celsius (°C) on average, and up to 1.5 °C in the north east of the country. </w:t>
      </w:r>
    </w:p>
    <w:p w14:paraId="126555BB" w14:textId="0599509B" w:rsidR="00301A57" w:rsidRPr="00710E27" w:rsidRDefault="00301A57" w:rsidP="00067344">
      <w:pPr>
        <w:spacing w:line="240" w:lineRule="auto"/>
        <w:jc w:val="both"/>
        <w:rPr>
          <w:rFonts w:cstheme="minorHAnsi"/>
          <w:color w:val="1D1D1D"/>
          <w:szCs w:val="24"/>
          <w:shd w:val="clear" w:color="auto" w:fill="FFFFFF"/>
        </w:rPr>
      </w:pPr>
      <w:r w:rsidRPr="00710E27">
        <w:rPr>
          <w:rFonts w:cstheme="minorHAnsi"/>
          <w:color w:val="1D1D1D"/>
          <w:szCs w:val="24"/>
          <w:shd w:val="clear" w:color="auto" w:fill="FFFFFF"/>
        </w:rPr>
        <w:t xml:space="preserve">The authors of the report </w:t>
      </w:r>
      <w:r w:rsidR="00F2505B" w:rsidRPr="00710E27">
        <w:rPr>
          <w:rFonts w:cstheme="minorHAnsi"/>
          <w:color w:val="1D1D1D"/>
          <w:szCs w:val="24"/>
          <w:shd w:val="clear" w:color="auto" w:fill="FFFFFF"/>
        </w:rPr>
        <w:t>argue</w:t>
      </w:r>
      <w:r w:rsidR="00F06364">
        <w:rPr>
          <w:rFonts w:cstheme="minorHAnsi"/>
          <w:color w:val="1D1D1D"/>
          <w:szCs w:val="24"/>
          <w:shd w:val="clear" w:color="auto" w:fill="FFFFFF"/>
        </w:rPr>
        <w:t xml:space="preserve"> that</w:t>
      </w:r>
      <w:r w:rsidRPr="00710E27">
        <w:rPr>
          <w:rFonts w:cstheme="minorHAnsi"/>
          <w:color w:val="1D1D1D"/>
          <w:szCs w:val="24"/>
          <w:shd w:val="clear" w:color="auto" w:fill="FFFFFF"/>
        </w:rPr>
        <w:t xml:space="preserve"> “a decrease in locally produced food because of reduced crop harvests and pastures will have a significant impact on food security” (p.2). In particular, they are concerned that the warming temperatures may adversely affect coffee production, which is an important cash commodity in Uganda. </w:t>
      </w:r>
      <w:r w:rsidR="005C4484">
        <w:rPr>
          <w:rFonts w:cstheme="minorHAnsi"/>
          <w:color w:val="1D1D1D"/>
          <w:szCs w:val="24"/>
          <w:shd w:val="clear" w:color="auto" w:fill="FFFFFF"/>
        </w:rPr>
        <w:t>They argue that</w:t>
      </w:r>
      <w:r w:rsidRPr="00710E27">
        <w:rPr>
          <w:rFonts w:cstheme="minorHAnsi"/>
          <w:color w:val="1D1D1D"/>
          <w:szCs w:val="24"/>
          <w:shd w:val="clear" w:color="auto" w:fill="FFFFFF"/>
        </w:rPr>
        <w:t xml:space="preserve"> “coffee plants fare poorly in areas with average air temperatures greater than 24°C” (p.2). Moreover, they are alarmed at the high population growth rate of 3.2 </w:t>
      </w:r>
      <w:r w:rsidR="00BA2F9C">
        <w:rPr>
          <w:rFonts w:cstheme="minorHAnsi"/>
          <w:color w:val="1D1D1D"/>
          <w:szCs w:val="24"/>
          <w:shd w:val="clear" w:color="auto" w:fill="FFFFFF"/>
        </w:rPr>
        <w:t>per cent</w:t>
      </w:r>
      <w:r w:rsidRPr="00710E27">
        <w:rPr>
          <w:rFonts w:cstheme="minorHAnsi"/>
          <w:color w:val="1D1D1D"/>
          <w:szCs w:val="24"/>
          <w:shd w:val="clear" w:color="auto" w:fill="FFFFFF"/>
        </w:rPr>
        <w:t xml:space="preserve"> of Uganda </w:t>
      </w:r>
      <w:sdt>
        <w:sdtPr>
          <w:rPr>
            <w:rFonts w:cstheme="minorHAnsi"/>
            <w:color w:val="1D1D1D"/>
            <w:szCs w:val="24"/>
            <w:shd w:val="clear" w:color="auto" w:fill="FFFFFF"/>
          </w:rPr>
          <w:id w:val="933942014"/>
          <w:citation/>
        </w:sdtPr>
        <w:sdtContent>
          <w:r w:rsidRPr="00710E27">
            <w:rPr>
              <w:rFonts w:cstheme="minorHAnsi"/>
              <w:color w:val="1D1D1D"/>
              <w:szCs w:val="24"/>
              <w:shd w:val="clear" w:color="auto" w:fill="FFFFFF"/>
            </w:rPr>
            <w:fldChar w:fldCharType="begin"/>
          </w:r>
          <w:r w:rsidRPr="00710E27">
            <w:rPr>
              <w:rFonts w:cstheme="minorHAnsi"/>
              <w:color w:val="1D1D1D"/>
              <w:szCs w:val="24"/>
              <w:shd w:val="clear" w:color="auto" w:fill="FFFFFF"/>
              <w:lang w:val="en-AU"/>
            </w:rPr>
            <w:instrText xml:space="preserve"> CITATION CIA16 \l 3081 </w:instrText>
          </w:r>
          <w:r w:rsidRPr="00710E27">
            <w:rPr>
              <w:rFonts w:cstheme="minorHAnsi"/>
              <w:color w:val="1D1D1D"/>
              <w:szCs w:val="24"/>
              <w:shd w:val="clear" w:color="auto" w:fill="FFFFFF"/>
            </w:rPr>
            <w:fldChar w:fldCharType="separate"/>
          </w:r>
          <w:r w:rsidRPr="00710E27">
            <w:rPr>
              <w:rFonts w:cstheme="minorHAnsi"/>
              <w:noProof/>
              <w:color w:val="1D1D1D"/>
              <w:szCs w:val="24"/>
              <w:shd w:val="clear" w:color="auto" w:fill="FFFFFF"/>
              <w:lang w:val="en-AU"/>
            </w:rPr>
            <w:t>(CIA, 2016)</w:t>
          </w:r>
          <w:r w:rsidRPr="00710E27">
            <w:rPr>
              <w:rFonts w:cstheme="minorHAnsi"/>
              <w:color w:val="1D1D1D"/>
              <w:szCs w:val="24"/>
              <w:shd w:val="clear" w:color="auto" w:fill="FFFFFF"/>
            </w:rPr>
            <w:fldChar w:fldCharType="end"/>
          </w:r>
        </w:sdtContent>
      </w:sdt>
      <w:r w:rsidRPr="00710E27">
        <w:rPr>
          <w:rFonts w:cstheme="minorHAnsi"/>
          <w:color w:val="1D1D1D"/>
          <w:szCs w:val="24"/>
          <w:shd w:val="clear" w:color="auto" w:fill="FFFFFF"/>
        </w:rPr>
        <w:t xml:space="preserve">, which might lead to a “per capita decline in cereal production of 35 </w:t>
      </w:r>
      <w:r w:rsidR="00BA2F9C">
        <w:rPr>
          <w:rFonts w:cstheme="minorHAnsi"/>
          <w:color w:val="1D1D1D"/>
          <w:szCs w:val="24"/>
          <w:shd w:val="clear" w:color="auto" w:fill="FFFFFF"/>
        </w:rPr>
        <w:t>per cent</w:t>
      </w:r>
      <w:r w:rsidRPr="00710E27">
        <w:rPr>
          <w:rFonts w:cstheme="minorHAnsi"/>
          <w:color w:val="1D1D1D"/>
          <w:szCs w:val="24"/>
          <w:shd w:val="clear" w:color="auto" w:fill="FFFFFF"/>
        </w:rPr>
        <w:t xml:space="preserve"> by 2025” </w:t>
      </w:r>
      <w:sdt>
        <w:sdtPr>
          <w:rPr>
            <w:rFonts w:cstheme="minorHAnsi"/>
            <w:color w:val="1D1D1D"/>
            <w:szCs w:val="24"/>
            <w:shd w:val="clear" w:color="auto" w:fill="FFFFFF"/>
          </w:rPr>
          <w:id w:val="825474104"/>
          <w:citation/>
        </w:sdtPr>
        <w:sdtContent>
          <w:r w:rsidRPr="00710E27">
            <w:rPr>
              <w:rFonts w:cstheme="minorHAnsi"/>
              <w:color w:val="1D1D1D"/>
              <w:szCs w:val="24"/>
              <w:shd w:val="clear" w:color="auto" w:fill="FFFFFF"/>
            </w:rPr>
            <w:fldChar w:fldCharType="begin"/>
          </w:r>
          <w:r w:rsidRPr="00710E27">
            <w:rPr>
              <w:rFonts w:cstheme="minorHAnsi"/>
              <w:color w:val="1D1D1D"/>
              <w:szCs w:val="24"/>
              <w:shd w:val="clear" w:color="auto" w:fill="FFFFFF"/>
              <w:lang w:val="en-AU"/>
            </w:rPr>
            <w:instrText xml:space="preserve">CITATION Fun12 \l 3081 </w:instrText>
          </w:r>
          <w:r w:rsidRPr="00710E27">
            <w:rPr>
              <w:rFonts w:cstheme="minorHAnsi"/>
              <w:color w:val="1D1D1D"/>
              <w:szCs w:val="24"/>
              <w:shd w:val="clear" w:color="auto" w:fill="FFFFFF"/>
            </w:rPr>
            <w:fldChar w:fldCharType="separate"/>
          </w:r>
          <w:r w:rsidRPr="00710E27">
            <w:rPr>
              <w:rFonts w:cstheme="minorHAnsi"/>
              <w:noProof/>
              <w:color w:val="1D1D1D"/>
              <w:szCs w:val="24"/>
              <w:shd w:val="clear" w:color="auto" w:fill="FFFFFF"/>
              <w:lang w:val="en-AU"/>
            </w:rPr>
            <w:t>(Funk, 2012)</w:t>
          </w:r>
          <w:r w:rsidRPr="00710E27">
            <w:rPr>
              <w:rFonts w:cstheme="minorHAnsi"/>
              <w:color w:val="1D1D1D"/>
              <w:szCs w:val="24"/>
              <w:shd w:val="clear" w:color="auto" w:fill="FFFFFF"/>
            </w:rPr>
            <w:fldChar w:fldCharType="end"/>
          </w:r>
        </w:sdtContent>
      </w:sdt>
      <w:r w:rsidRPr="00710E27">
        <w:rPr>
          <w:rFonts w:cstheme="minorHAnsi"/>
          <w:color w:val="1D1D1D"/>
          <w:szCs w:val="24"/>
          <w:shd w:val="clear" w:color="auto" w:fill="FFFFFF"/>
        </w:rPr>
        <w:t>.</w:t>
      </w:r>
    </w:p>
    <w:p w14:paraId="54969F34" w14:textId="1A891F6F" w:rsidR="00301A57" w:rsidRDefault="00301A57" w:rsidP="00067344">
      <w:pPr>
        <w:spacing w:line="240" w:lineRule="auto"/>
        <w:jc w:val="both"/>
        <w:rPr>
          <w:rFonts w:cstheme="minorHAnsi"/>
          <w:color w:val="1D1D1D"/>
          <w:szCs w:val="24"/>
          <w:shd w:val="clear" w:color="auto" w:fill="FFFFFF"/>
        </w:rPr>
      </w:pPr>
      <w:r w:rsidRPr="00710E27">
        <w:rPr>
          <w:rFonts w:cstheme="minorHAnsi"/>
          <w:color w:val="1D1D1D"/>
          <w:szCs w:val="24"/>
          <w:shd w:val="clear" w:color="auto" w:fill="FFFFFF"/>
        </w:rPr>
        <w:t xml:space="preserve">Food stability means that people must have access to adequate food at all times and not risk losing access to food as a consequence of sudden shocks (e.g. an economic or climatic crisis) or cyclical events (e.g. seasonal food insecurity). The trends described here convince us that Uganda does not have food stability now and that the situation may worsen in the near future. </w:t>
      </w:r>
    </w:p>
    <w:p w14:paraId="19879E1F" w14:textId="738E1CCA" w:rsidR="00C22236" w:rsidRDefault="00C22236" w:rsidP="00067344">
      <w:pPr>
        <w:spacing w:line="240" w:lineRule="auto"/>
        <w:jc w:val="both"/>
        <w:rPr>
          <w:rFonts w:cstheme="minorHAnsi"/>
          <w:color w:val="1D1D1D"/>
          <w:szCs w:val="24"/>
          <w:shd w:val="clear" w:color="auto" w:fill="FFFFFF"/>
        </w:rPr>
      </w:pPr>
      <w:r>
        <w:rPr>
          <w:rFonts w:cstheme="minorHAnsi"/>
          <w:color w:val="1D1D1D"/>
          <w:szCs w:val="24"/>
          <w:shd w:val="clear" w:color="auto" w:fill="FFFFFF"/>
        </w:rPr>
        <w:t xml:space="preserve">Statistics provided by UBOS on (i) population growth in Uganda and (ii) the </w:t>
      </w:r>
      <w:r w:rsidR="00137BB8">
        <w:rPr>
          <w:rFonts w:cstheme="minorHAnsi"/>
          <w:color w:val="1D1D1D"/>
          <w:szCs w:val="24"/>
          <w:shd w:val="clear" w:color="auto" w:fill="FFFFFF"/>
        </w:rPr>
        <w:t>prevalence</w:t>
      </w:r>
      <w:r>
        <w:rPr>
          <w:rFonts w:cstheme="minorHAnsi"/>
          <w:color w:val="1D1D1D"/>
          <w:szCs w:val="24"/>
          <w:shd w:val="clear" w:color="auto" w:fill="FFFFFF"/>
        </w:rPr>
        <w:t xml:space="preserve"> of food shocks among the people of Uganda confirm the notion that food provision would become more unstable in the near future. </w:t>
      </w:r>
    </w:p>
    <w:p w14:paraId="64B6993C" w14:textId="0D06BF69" w:rsidR="00C22236" w:rsidRPr="00137BB8" w:rsidRDefault="00C22236" w:rsidP="00C22236">
      <w:pPr>
        <w:pStyle w:val="Caption"/>
        <w:rPr>
          <w:rFonts w:cstheme="minorHAnsi"/>
          <w:color w:val="1D1D1D"/>
          <w:sz w:val="24"/>
          <w:szCs w:val="24"/>
          <w:shd w:val="clear" w:color="auto" w:fill="FFFFFF"/>
        </w:rPr>
      </w:pPr>
      <w:bookmarkStart w:id="9" w:name="_Ref503514814"/>
      <w:r w:rsidRPr="00137BB8">
        <w:rPr>
          <w:sz w:val="24"/>
          <w:szCs w:val="24"/>
        </w:rPr>
        <w:t xml:space="preserve">Table </w:t>
      </w:r>
      <w:r w:rsidRPr="00137BB8">
        <w:rPr>
          <w:sz w:val="24"/>
          <w:szCs w:val="24"/>
        </w:rPr>
        <w:fldChar w:fldCharType="begin"/>
      </w:r>
      <w:r w:rsidRPr="00137BB8">
        <w:rPr>
          <w:sz w:val="24"/>
          <w:szCs w:val="24"/>
        </w:rPr>
        <w:instrText xml:space="preserve"> SEQ Table \* ARABIC </w:instrText>
      </w:r>
      <w:r w:rsidRPr="00137BB8">
        <w:rPr>
          <w:sz w:val="24"/>
          <w:szCs w:val="24"/>
        </w:rPr>
        <w:fldChar w:fldCharType="separate"/>
      </w:r>
      <w:r w:rsidR="00692D91">
        <w:rPr>
          <w:noProof/>
          <w:sz w:val="24"/>
          <w:szCs w:val="24"/>
        </w:rPr>
        <w:t>1</w:t>
      </w:r>
      <w:r w:rsidRPr="00137BB8">
        <w:rPr>
          <w:sz w:val="24"/>
          <w:szCs w:val="24"/>
        </w:rPr>
        <w:fldChar w:fldCharType="end"/>
      </w:r>
      <w:bookmarkEnd w:id="9"/>
      <w:r w:rsidR="00137BB8" w:rsidRPr="00137BB8">
        <w:rPr>
          <w:sz w:val="24"/>
          <w:szCs w:val="24"/>
        </w:rPr>
        <w:t xml:space="preserve"> Ugandan population size and annual growth rates</w:t>
      </w:r>
    </w:p>
    <w:tbl>
      <w:tblPr>
        <w:tblStyle w:val="TableGrid"/>
        <w:tblW w:w="0" w:type="auto"/>
        <w:tblLook w:val="04A0" w:firstRow="1" w:lastRow="0" w:firstColumn="1" w:lastColumn="0" w:noHBand="0" w:noVBand="1"/>
      </w:tblPr>
      <w:tblGrid>
        <w:gridCol w:w="3005"/>
        <w:gridCol w:w="3005"/>
        <w:gridCol w:w="3006"/>
      </w:tblGrid>
      <w:tr w:rsidR="00C22236" w14:paraId="528A619A" w14:textId="77777777" w:rsidTr="00C22236">
        <w:tc>
          <w:tcPr>
            <w:tcW w:w="3005" w:type="dxa"/>
          </w:tcPr>
          <w:p w14:paraId="09F9610B" w14:textId="6DA0AF20" w:rsidR="00C22236" w:rsidRDefault="00C22236" w:rsidP="00C22236">
            <w:pPr>
              <w:jc w:val="center"/>
              <w:rPr>
                <w:rFonts w:cstheme="minorHAnsi"/>
                <w:color w:val="1D1D1D"/>
                <w:szCs w:val="24"/>
                <w:shd w:val="clear" w:color="auto" w:fill="FFFFFF"/>
              </w:rPr>
            </w:pPr>
            <w:r>
              <w:rPr>
                <w:rFonts w:cstheme="minorHAnsi"/>
                <w:color w:val="1D1D1D"/>
                <w:szCs w:val="24"/>
                <w:shd w:val="clear" w:color="auto" w:fill="FFFFFF"/>
              </w:rPr>
              <w:t>Census year</w:t>
            </w:r>
          </w:p>
        </w:tc>
        <w:tc>
          <w:tcPr>
            <w:tcW w:w="3005" w:type="dxa"/>
          </w:tcPr>
          <w:p w14:paraId="3F0CA250" w14:textId="164796DC" w:rsidR="00C22236" w:rsidRDefault="00C22236" w:rsidP="00C22236">
            <w:pPr>
              <w:jc w:val="center"/>
              <w:rPr>
                <w:rFonts w:cstheme="minorHAnsi"/>
                <w:color w:val="1D1D1D"/>
                <w:szCs w:val="24"/>
                <w:shd w:val="clear" w:color="auto" w:fill="FFFFFF"/>
              </w:rPr>
            </w:pPr>
            <w:r>
              <w:rPr>
                <w:rFonts w:cstheme="minorHAnsi"/>
                <w:color w:val="1D1D1D"/>
                <w:szCs w:val="24"/>
                <w:shd w:val="clear" w:color="auto" w:fill="FFFFFF"/>
              </w:rPr>
              <w:t>Total population</w:t>
            </w:r>
          </w:p>
        </w:tc>
        <w:tc>
          <w:tcPr>
            <w:tcW w:w="3006" w:type="dxa"/>
          </w:tcPr>
          <w:p w14:paraId="62BB9D32" w14:textId="39055C16" w:rsidR="00C22236" w:rsidRDefault="00C22236" w:rsidP="00C22236">
            <w:pPr>
              <w:jc w:val="center"/>
              <w:rPr>
                <w:rFonts w:cstheme="minorHAnsi"/>
                <w:color w:val="1D1D1D"/>
                <w:szCs w:val="24"/>
                <w:shd w:val="clear" w:color="auto" w:fill="FFFFFF"/>
              </w:rPr>
            </w:pPr>
            <w:r>
              <w:rPr>
                <w:rFonts w:cstheme="minorHAnsi"/>
                <w:color w:val="1D1D1D"/>
                <w:szCs w:val="24"/>
                <w:shd w:val="clear" w:color="auto" w:fill="FFFFFF"/>
              </w:rPr>
              <w:t>Average annual growth rate</w:t>
            </w:r>
          </w:p>
        </w:tc>
      </w:tr>
      <w:tr w:rsidR="00C22236" w14:paraId="1DFBA278" w14:textId="77777777" w:rsidTr="00B47E5D">
        <w:tc>
          <w:tcPr>
            <w:tcW w:w="3005" w:type="dxa"/>
            <w:vAlign w:val="bottom"/>
          </w:tcPr>
          <w:p w14:paraId="21CF3401" w14:textId="2FD68C63" w:rsidR="00C22236" w:rsidRPr="005C4484" w:rsidRDefault="00C22236" w:rsidP="00C22236">
            <w:pPr>
              <w:jc w:val="center"/>
              <w:rPr>
                <w:rFonts w:cstheme="minorHAnsi"/>
                <w:color w:val="1D1D1D"/>
                <w:sz w:val="20"/>
                <w:szCs w:val="20"/>
                <w:shd w:val="clear" w:color="auto" w:fill="FFFFFF"/>
              </w:rPr>
            </w:pPr>
            <w:r w:rsidRPr="005C4484">
              <w:rPr>
                <w:rFonts w:cs="Courier New"/>
                <w:color w:val="000000"/>
                <w:sz w:val="20"/>
                <w:szCs w:val="20"/>
              </w:rPr>
              <w:t>1911</w:t>
            </w:r>
          </w:p>
        </w:tc>
        <w:tc>
          <w:tcPr>
            <w:tcW w:w="3005" w:type="dxa"/>
            <w:vAlign w:val="bottom"/>
          </w:tcPr>
          <w:p w14:paraId="250AC2C9" w14:textId="4DA6B25B" w:rsidR="00C22236" w:rsidRPr="005C4484" w:rsidRDefault="00C22236" w:rsidP="00C22236">
            <w:pPr>
              <w:jc w:val="center"/>
              <w:rPr>
                <w:rFonts w:cstheme="minorHAnsi"/>
                <w:color w:val="1D1D1D"/>
                <w:sz w:val="20"/>
                <w:szCs w:val="20"/>
                <w:shd w:val="clear" w:color="auto" w:fill="FFFFFF"/>
              </w:rPr>
            </w:pPr>
            <w:r w:rsidRPr="005C4484">
              <w:rPr>
                <w:rFonts w:cs="Courier New"/>
                <w:color w:val="000000"/>
                <w:sz w:val="20"/>
                <w:szCs w:val="20"/>
              </w:rPr>
              <w:t>2466325</w:t>
            </w:r>
          </w:p>
        </w:tc>
        <w:tc>
          <w:tcPr>
            <w:tcW w:w="3006" w:type="dxa"/>
          </w:tcPr>
          <w:p w14:paraId="28DF6A3E" w14:textId="77777777" w:rsidR="00C22236" w:rsidRPr="005C4484" w:rsidRDefault="00C22236" w:rsidP="00C22236">
            <w:pPr>
              <w:jc w:val="both"/>
              <w:rPr>
                <w:rFonts w:cstheme="minorHAnsi"/>
                <w:color w:val="1D1D1D"/>
                <w:sz w:val="20"/>
                <w:szCs w:val="20"/>
                <w:shd w:val="clear" w:color="auto" w:fill="FFFFFF"/>
              </w:rPr>
            </w:pPr>
          </w:p>
        </w:tc>
      </w:tr>
      <w:tr w:rsidR="00C22236" w14:paraId="342ACC70" w14:textId="77777777" w:rsidTr="00B47E5D">
        <w:tc>
          <w:tcPr>
            <w:tcW w:w="3005" w:type="dxa"/>
            <w:vAlign w:val="bottom"/>
          </w:tcPr>
          <w:p w14:paraId="5994962E" w14:textId="54D47852" w:rsidR="00C22236" w:rsidRPr="005C4484" w:rsidRDefault="00C22236" w:rsidP="00C22236">
            <w:pPr>
              <w:jc w:val="center"/>
              <w:rPr>
                <w:rFonts w:cstheme="minorHAnsi"/>
                <w:color w:val="1D1D1D"/>
                <w:sz w:val="20"/>
                <w:szCs w:val="20"/>
                <w:shd w:val="clear" w:color="auto" w:fill="FFFFFF"/>
              </w:rPr>
            </w:pPr>
            <w:r w:rsidRPr="005C4484">
              <w:rPr>
                <w:rFonts w:cs="Courier New"/>
                <w:color w:val="000000"/>
                <w:sz w:val="20"/>
                <w:szCs w:val="20"/>
              </w:rPr>
              <w:t>1921</w:t>
            </w:r>
          </w:p>
        </w:tc>
        <w:tc>
          <w:tcPr>
            <w:tcW w:w="3005" w:type="dxa"/>
            <w:vAlign w:val="bottom"/>
          </w:tcPr>
          <w:p w14:paraId="34525294" w14:textId="0F152494" w:rsidR="00C22236" w:rsidRPr="005C4484" w:rsidRDefault="00C22236" w:rsidP="00C22236">
            <w:pPr>
              <w:jc w:val="center"/>
              <w:rPr>
                <w:rFonts w:cstheme="minorHAnsi"/>
                <w:color w:val="1D1D1D"/>
                <w:sz w:val="20"/>
                <w:szCs w:val="20"/>
                <w:shd w:val="clear" w:color="auto" w:fill="FFFFFF"/>
              </w:rPr>
            </w:pPr>
            <w:r w:rsidRPr="005C4484">
              <w:rPr>
                <w:rFonts w:cs="Courier New"/>
                <w:color w:val="000000"/>
                <w:sz w:val="20"/>
                <w:szCs w:val="20"/>
              </w:rPr>
              <w:t>2854608</w:t>
            </w:r>
          </w:p>
        </w:tc>
        <w:tc>
          <w:tcPr>
            <w:tcW w:w="3006" w:type="dxa"/>
            <w:vAlign w:val="bottom"/>
          </w:tcPr>
          <w:p w14:paraId="5536D8DF" w14:textId="1E8A34F4" w:rsidR="00C22236" w:rsidRPr="005C4484" w:rsidRDefault="00C22236" w:rsidP="00C22236">
            <w:pPr>
              <w:jc w:val="center"/>
              <w:rPr>
                <w:rFonts w:cstheme="minorHAnsi"/>
                <w:color w:val="1D1D1D"/>
                <w:sz w:val="20"/>
                <w:szCs w:val="20"/>
                <w:shd w:val="clear" w:color="auto" w:fill="FFFFFF"/>
              </w:rPr>
            </w:pPr>
            <w:r w:rsidRPr="005C4484">
              <w:rPr>
                <w:rFonts w:cs="Courier New"/>
                <w:color w:val="000000"/>
                <w:sz w:val="20"/>
                <w:szCs w:val="20"/>
              </w:rPr>
              <w:t>1.5</w:t>
            </w:r>
          </w:p>
        </w:tc>
      </w:tr>
      <w:tr w:rsidR="00C22236" w14:paraId="44232F6D" w14:textId="77777777" w:rsidTr="00B47E5D">
        <w:tc>
          <w:tcPr>
            <w:tcW w:w="3005" w:type="dxa"/>
            <w:vAlign w:val="bottom"/>
          </w:tcPr>
          <w:p w14:paraId="68F1ADF7" w14:textId="7618D121" w:rsidR="00C22236" w:rsidRPr="005C4484" w:rsidRDefault="00C22236" w:rsidP="00C22236">
            <w:pPr>
              <w:jc w:val="center"/>
              <w:rPr>
                <w:rFonts w:cstheme="minorHAnsi"/>
                <w:color w:val="1D1D1D"/>
                <w:sz w:val="20"/>
                <w:szCs w:val="20"/>
                <w:shd w:val="clear" w:color="auto" w:fill="FFFFFF"/>
              </w:rPr>
            </w:pPr>
            <w:r w:rsidRPr="005C4484">
              <w:rPr>
                <w:rFonts w:cs="Courier New"/>
                <w:color w:val="000000"/>
                <w:sz w:val="20"/>
                <w:szCs w:val="20"/>
              </w:rPr>
              <w:t>1931</w:t>
            </w:r>
          </w:p>
        </w:tc>
        <w:tc>
          <w:tcPr>
            <w:tcW w:w="3005" w:type="dxa"/>
            <w:vAlign w:val="bottom"/>
          </w:tcPr>
          <w:p w14:paraId="1AABCF4C" w14:textId="3928FB3D" w:rsidR="00C22236" w:rsidRPr="005C4484" w:rsidRDefault="00C22236" w:rsidP="00C22236">
            <w:pPr>
              <w:jc w:val="center"/>
              <w:rPr>
                <w:rFonts w:cstheme="minorHAnsi"/>
                <w:color w:val="1D1D1D"/>
                <w:sz w:val="20"/>
                <w:szCs w:val="20"/>
                <w:shd w:val="clear" w:color="auto" w:fill="FFFFFF"/>
              </w:rPr>
            </w:pPr>
            <w:r w:rsidRPr="005C4484">
              <w:rPr>
                <w:rFonts w:cs="Courier New"/>
                <w:color w:val="000000"/>
                <w:sz w:val="20"/>
                <w:szCs w:val="20"/>
              </w:rPr>
              <w:t>3542281</w:t>
            </w:r>
          </w:p>
        </w:tc>
        <w:tc>
          <w:tcPr>
            <w:tcW w:w="3006" w:type="dxa"/>
            <w:vAlign w:val="bottom"/>
          </w:tcPr>
          <w:p w14:paraId="4C3C6608" w14:textId="371E2E7C" w:rsidR="00C22236" w:rsidRPr="005C4484" w:rsidRDefault="00C22236" w:rsidP="00C22236">
            <w:pPr>
              <w:jc w:val="center"/>
              <w:rPr>
                <w:rFonts w:cstheme="minorHAnsi"/>
                <w:color w:val="1D1D1D"/>
                <w:sz w:val="20"/>
                <w:szCs w:val="20"/>
                <w:shd w:val="clear" w:color="auto" w:fill="FFFFFF"/>
              </w:rPr>
            </w:pPr>
            <w:r w:rsidRPr="005C4484">
              <w:rPr>
                <w:rFonts w:cs="Courier New"/>
                <w:color w:val="000000"/>
                <w:sz w:val="20"/>
                <w:szCs w:val="20"/>
              </w:rPr>
              <w:t>2.2</w:t>
            </w:r>
          </w:p>
        </w:tc>
      </w:tr>
      <w:tr w:rsidR="00C22236" w14:paraId="25882F7A" w14:textId="77777777" w:rsidTr="00B47E5D">
        <w:tc>
          <w:tcPr>
            <w:tcW w:w="3005" w:type="dxa"/>
            <w:vAlign w:val="bottom"/>
          </w:tcPr>
          <w:p w14:paraId="14DF3F5E" w14:textId="311BDC0B" w:rsidR="00C22236" w:rsidRPr="005C4484" w:rsidRDefault="00C22236" w:rsidP="00C22236">
            <w:pPr>
              <w:jc w:val="center"/>
              <w:rPr>
                <w:rFonts w:cstheme="minorHAnsi"/>
                <w:color w:val="1D1D1D"/>
                <w:sz w:val="20"/>
                <w:szCs w:val="20"/>
                <w:shd w:val="clear" w:color="auto" w:fill="FFFFFF"/>
              </w:rPr>
            </w:pPr>
            <w:r w:rsidRPr="005C4484">
              <w:rPr>
                <w:rFonts w:cs="Courier New"/>
                <w:color w:val="000000"/>
                <w:sz w:val="20"/>
                <w:szCs w:val="20"/>
              </w:rPr>
              <w:t>1948</w:t>
            </w:r>
          </w:p>
        </w:tc>
        <w:tc>
          <w:tcPr>
            <w:tcW w:w="3005" w:type="dxa"/>
            <w:vAlign w:val="bottom"/>
          </w:tcPr>
          <w:p w14:paraId="538EB9A9" w14:textId="743B12D9" w:rsidR="00C22236" w:rsidRPr="005C4484" w:rsidRDefault="00C22236" w:rsidP="00C22236">
            <w:pPr>
              <w:jc w:val="center"/>
              <w:rPr>
                <w:rFonts w:cstheme="minorHAnsi"/>
                <w:color w:val="1D1D1D"/>
                <w:sz w:val="20"/>
                <w:szCs w:val="20"/>
                <w:shd w:val="clear" w:color="auto" w:fill="FFFFFF"/>
              </w:rPr>
            </w:pPr>
            <w:r w:rsidRPr="005C4484">
              <w:rPr>
                <w:rFonts w:cs="Courier New"/>
                <w:color w:val="000000"/>
                <w:sz w:val="20"/>
                <w:szCs w:val="20"/>
              </w:rPr>
              <w:t>4958520</w:t>
            </w:r>
          </w:p>
        </w:tc>
        <w:tc>
          <w:tcPr>
            <w:tcW w:w="3006" w:type="dxa"/>
            <w:vAlign w:val="bottom"/>
          </w:tcPr>
          <w:p w14:paraId="2575714C" w14:textId="1BEA2D95" w:rsidR="00C22236" w:rsidRPr="005C4484" w:rsidRDefault="00C22236" w:rsidP="00C22236">
            <w:pPr>
              <w:jc w:val="center"/>
              <w:rPr>
                <w:rFonts w:cstheme="minorHAnsi"/>
                <w:color w:val="1D1D1D"/>
                <w:sz w:val="20"/>
                <w:szCs w:val="20"/>
                <w:shd w:val="clear" w:color="auto" w:fill="FFFFFF"/>
              </w:rPr>
            </w:pPr>
            <w:r w:rsidRPr="005C4484">
              <w:rPr>
                <w:rFonts w:cs="Courier New"/>
                <w:color w:val="000000"/>
                <w:sz w:val="20"/>
                <w:szCs w:val="20"/>
              </w:rPr>
              <w:t>2</w:t>
            </w:r>
          </w:p>
        </w:tc>
      </w:tr>
      <w:tr w:rsidR="00C22236" w14:paraId="18415E9F" w14:textId="77777777" w:rsidTr="00B47E5D">
        <w:tc>
          <w:tcPr>
            <w:tcW w:w="3005" w:type="dxa"/>
            <w:vAlign w:val="bottom"/>
          </w:tcPr>
          <w:p w14:paraId="74921E01" w14:textId="14D571FB" w:rsidR="00C22236" w:rsidRPr="005C4484" w:rsidRDefault="00C22236" w:rsidP="00C22236">
            <w:pPr>
              <w:jc w:val="center"/>
              <w:rPr>
                <w:rFonts w:cstheme="minorHAnsi"/>
                <w:color w:val="1D1D1D"/>
                <w:sz w:val="20"/>
                <w:szCs w:val="20"/>
                <w:shd w:val="clear" w:color="auto" w:fill="FFFFFF"/>
              </w:rPr>
            </w:pPr>
            <w:r w:rsidRPr="005C4484">
              <w:rPr>
                <w:rFonts w:cs="Courier New"/>
                <w:color w:val="000000"/>
                <w:sz w:val="20"/>
                <w:szCs w:val="20"/>
              </w:rPr>
              <w:t>1959</w:t>
            </w:r>
          </w:p>
        </w:tc>
        <w:tc>
          <w:tcPr>
            <w:tcW w:w="3005" w:type="dxa"/>
            <w:vAlign w:val="bottom"/>
          </w:tcPr>
          <w:p w14:paraId="2495FF88" w14:textId="194EF7CF" w:rsidR="00C22236" w:rsidRPr="005C4484" w:rsidRDefault="00C22236" w:rsidP="00C22236">
            <w:pPr>
              <w:jc w:val="center"/>
              <w:rPr>
                <w:rFonts w:cstheme="minorHAnsi"/>
                <w:color w:val="1D1D1D"/>
                <w:sz w:val="20"/>
                <w:szCs w:val="20"/>
                <w:shd w:val="clear" w:color="auto" w:fill="FFFFFF"/>
              </w:rPr>
            </w:pPr>
            <w:r w:rsidRPr="005C4484">
              <w:rPr>
                <w:rFonts w:cs="Courier New"/>
                <w:color w:val="000000"/>
                <w:sz w:val="20"/>
                <w:szCs w:val="20"/>
              </w:rPr>
              <w:t>6536616</w:t>
            </w:r>
          </w:p>
        </w:tc>
        <w:tc>
          <w:tcPr>
            <w:tcW w:w="3006" w:type="dxa"/>
            <w:vAlign w:val="bottom"/>
          </w:tcPr>
          <w:p w14:paraId="2978BEED" w14:textId="01E35B24" w:rsidR="00C22236" w:rsidRPr="005C4484" w:rsidRDefault="00C22236" w:rsidP="00C22236">
            <w:pPr>
              <w:jc w:val="center"/>
              <w:rPr>
                <w:rFonts w:cstheme="minorHAnsi"/>
                <w:color w:val="1D1D1D"/>
                <w:sz w:val="20"/>
                <w:szCs w:val="20"/>
                <w:shd w:val="clear" w:color="auto" w:fill="FFFFFF"/>
              </w:rPr>
            </w:pPr>
            <w:r w:rsidRPr="005C4484">
              <w:rPr>
                <w:rFonts w:cs="Courier New"/>
                <w:color w:val="000000"/>
                <w:sz w:val="20"/>
                <w:szCs w:val="20"/>
              </w:rPr>
              <w:t>2.5</w:t>
            </w:r>
          </w:p>
        </w:tc>
      </w:tr>
      <w:tr w:rsidR="00C22236" w14:paraId="5C50BA6F" w14:textId="77777777" w:rsidTr="00B47E5D">
        <w:tc>
          <w:tcPr>
            <w:tcW w:w="3005" w:type="dxa"/>
            <w:vAlign w:val="bottom"/>
          </w:tcPr>
          <w:p w14:paraId="1ED7A90B" w14:textId="5B8277CF" w:rsidR="00C22236" w:rsidRPr="005C4484" w:rsidRDefault="00C22236" w:rsidP="00C22236">
            <w:pPr>
              <w:jc w:val="center"/>
              <w:rPr>
                <w:rFonts w:cstheme="minorHAnsi"/>
                <w:color w:val="1D1D1D"/>
                <w:sz w:val="20"/>
                <w:szCs w:val="20"/>
                <w:shd w:val="clear" w:color="auto" w:fill="FFFFFF"/>
              </w:rPr>
            </w:pPr>
            <w:r w:rsidRPr="005C4484">
              <w:rPr>
                <w:rFonts w:cs="Courier New"/>
                <w:color w:val="000000"/>
                <w:sz w:val="20"/>
                <w:szCs w:val="20"/>
              </w:rPr>
              <w:t>1969</w:t>
            </w:r>
          </w:p>
        </w:tc>
        <w:tc>
          <w:tcPr>
            <w:tcW w:w="3005" w:type="dxa"/>
            <w:vAlign w:val="bottom"/>
          </w:tcPr>
          <w:p w14:paraId="527CD613" w14:textId="0585861C" w:rsidR="00C22236" w:rsidRPr="005C4484" w:rsidRDefault="00C22236" w:rsidP="00C22236">
            <w:pPr>
              <w:jc w:val="center"/>
              <w:rPr>
                <w:rFonts w:cstheme="minorHAnsi"/>
                <w:color w:val="1D1D1D"/>
                <w:sz w:val="20"/>
                <w:szCs w:val="20"/>
                <w:shd w:val="clear" w:color="auto" w:fill="FFFFFF"/>
              </w:rPr>
            </w:pPr>
            <w:r w:rsidRPr="005C4484">
              <w:rPr>
                <w:rFonts w:cs="Courier New"/>
                <w:color w:val="000000"/>
                <w:sz w:val="20"/>
                <w:szCs w:val="20"/>
              </w:rPr>
              <w:t>9535051</w:t>
            </w:r>
          </w:p>
        </w:tc>
        <w:tc>
          <w:tcPr>
            <w:tcW w:w="3006" w:type="dxa"/>
            <w:vAlign w:val="bottom"/>
          </w:tcPr>
          <w:p w14:paraId="1A2D70E5" w14:textId="0A2C156D" w:rsidR="00C22236" w:rsidRPr="005C4484" w:rsidRDefault="00C22236" w:rsidP="00C22236">
            <w:pPr>
              <w:jc w:val="center"/>
              <w:rPr>
                <w:rFonts w:cstheme="minorHAnsi"/>
                <w:color w:val="1D1D1D"/>
                <w:sz w:val="20"/>
                <w:szCs w:val="20"/>
                <w:shd w:val="clear" w:color="auto" w:fill="FFFFFF"/>
              </w:rPr>
            </w:pPr>
            <w:r w:rsidRPr="005C4484">
              <w:rPr>
                <w:rFonts w:cs="Courier New"/>
                <w:color w:val="000000"/>
                <w:sz w:val="20"/>
                <w:szCs w:val="20"/>
              </w:rPr>
              <w:t>3.9</w:t>
            </w:r>
          </w:p>
        </w:tc>
      </w:tr>
      <w:tr w:rsidR="00C22236" w14:paraId="682962B7" w14:textId="77777777" w:rsidTr="00B47E5D">
        <w:tc>
          <w:tcPr>
            <w:tcW w:w="3005" w:type="dxa"/>
            <w:vAlign w:val="bottom"/>
          </w:tcPr>
          <w:p w14:paraId="200D2BD6" w14:textId="373B20EF" w:rsidR="00C22236" w:rsidRPr="005C4484" w:rsidRDefault="00C22236" w:rsidP="00C22236">
            <w:pPr>
              <w:jc w:val="center"/>
              <w:rPr>
                <w:rFonts w:cstheme="minorHAnsi"/>
                <w:color w:val="1D1D1D"/>
                <w:sz w:val="20"/>
                <w:szCs w:val="20"/>
                <w:shd w:val="clear" w:color="auto" w:fill="FFFFFF"/>
              </w:rPr>
            </w:pPr>
            <w:r w:rsidRPr="005C4484">
              <w:rPr>
                <w:rFonts w:cs="Courier New"/>
                <w:color w:val="000000"/>
                <w:sz w:val="20"/>
                <w:szCs w:val="20"/>
              </w:rPr>
              <w:t>1980</w:t>
            </w:r>
          </w:p>
        </w:tc>
        <w:tc>
          <w:tcPr>
            <w:tcW w:w="3005" w:type="dxa"/>
            <w:vAlign w:val="bottom"/>
          </w:tcPr>
          <w:p w14:paraId="34577FB8" w14:textId="6E76A5B4" w:rsidR="00C22236" w:rsidRPr="005C4484" w:rsidRDefault="00C22236" w:rsidP="00C22236">
            <w:pPr>
              <w:jc w:val="center"/>
              <w:rPr>
                <w:rFonts w:cstheme="minorHAnsi"/>
                <w:color w:val="1D1D1D"/>
                <w:sz w:val="20"/>
                <w:szCs w:val="20"/>
                <w:shd w:val="clear" w:color="auto" w:fill="FFFFFF"/>
              </w:rPr>
            </w:pPr>
            <w:r w:rsidRPr="005C4484">
              <w:rPr>
                <w:rFonts w:cs="Courier New"/>
                <w:color w:val="000000"/>
                <w:sz w:val="20"/>
                <w:szCs w:val="20"/>
              </w:rPr>
              <w:t>12636179</w:t>
            </w:r>
          </w:p>
        </w:tc>
        <w:tc>
          <w:tcPr>
            <w:tcW w:w="3006" w:type="dxa"/>
            <w:vAlign w:val="bottom"/>
          </w:tcPr>
          <w:p w14:paraId="1BCB7A8E" w14:textId="583EA38E" w:rsidR="00C22236" w:rsidRPr="005C4484" w:rsidRDefault="00C22236" w:rsidP="00C22236">
            <w:pPr>
              <w:jc w:val="center"/>
              <w:rPr>
                <w:rFonts w:cstheme="minorHAnsi"/>
                <w:color w:val="1D1D1D"/>
                <w:sz w:val="20"/>
                <w:szCs w:val="20"/>
                <w:shd w:val="clear" w:color="auto" w:fill="FFFFFF"/>
              </w:rPr>
            </w:pPr>
            <w:r w:rsidRPr="005C4484">
              <w:rPr>
                <w:rFonts w:cs="Courier New"/>
                <w:color w:val="000000"/>
                <w:sz w:val="20"/>
                <w:szCs w:val="20"/>
              </w:rPr>
              <w:t>2.7</w:t>
            </w:r>
          </w:p>
        </w:tc>
      </w:tr>
      <w:tr w:rsidR="00C22236" w14:paraId="6DA0CA66" w14:textId="77777777" w:rsidTr="00B47E5D">
        <w:tc>
          <w:tcPr>
            <w:tcW w:w="3005" w:type="dxa"/>
            <w:vAlign w:val="bottom"/>
          </w:tcPr>
          <w:p w14:paraId="16BCEB1D" w14:textId="726B3767" w:rsidR="00C22236" w:rsidRPr="005C4484" w:rsidRDefault="00C22236" w:rsidP="00C22236">
            <w:pPr>
              <w:jc w:val="center"/>
              <w:rPr>
                <w:rFonts w:cstheme="minorHAnsi"/>
                <w:color w:val="1D1D1D"/>
                <w:sz w:val="20"/>
                <w:szCs w:val="20"/>
                <w:shd w:val="clear" w:color="auto" w:fill="FFFFFF"/>
              </w:rPr>
            </w:pPr>
            <w:r w:rsidRPr="005C4484">
              <w:rPr>
                <w:rFonts w:cs="Courier New"/>
                <w:color w:val="000000"/>
                <w:sz w:val="20"/>
                <w:szCs w:val="20"/>
              </w:rPr>
              <w:t>1991</w:t>
            </w:r>
          </w:p>
        </w:tc>
        <w:tc>
          <w:tcPr>
            <w:tcW w:w="3005" w:type="dxa"/>
            <w:vAlign w:val="bottom"/>
          </w:tcPr>
          <w:p w14:paraId="689468D6" w14:textId="58BFD9CF" w:rsidR="00C22236" w:rsidRPr="005C4484" w:rsidRDefault="00C22236" w:rsidP="00C22236">
            <w:pPr>
              <w:jc w:val="center"/>
              <w:rPr>
                <w:rFonts w:cstheme="minorHAnsi"/>
                <w:color w:val="1D1D1D"/>
                <w:sz w:val="20"/>
                <w:szCs w:val="20"/>
                <w:shd w:val="clear" w:color="auto" w:fill="FFFFFF"/>
              </w:rPr>
            </w:pPr>
            <w:r w:rsidRPr="005C4484">
              <w:rPr>
                <w:rFonts w:cs="Courier New"/>
                <w:color w:val="000000"/>
                <w:sz w:val="20"/>
                <w:szCs w:val="20"/>
              </w:rPr>
              <w:t>16671705</w:t>
            </w:r>
          </w:p>
        </w:tc>
        <w:tc>
          <w:tcPr>
            <w:tcW w:w="3006" w:type="dxa"/>
            <w:vAlign w:val="bottom"/>
          </w:tcPr>
          <w:p w14:paraId="2086C784" w14:textId="76156ED1" w:rsidR="00C22236" w:rsidRPr="005C4484" w:rsidRDefault="00C22236" w:rsidP="00C22236">
            <w:pPr>
              <w:jc w:val="center"/>
              <w:rPr>
                <w:rFonts w:cstheme="minorHAnsi"/>
                <w:color w:val="1D1D1D"/>
                <w:sz w:val="20"/>
                <w:szCs w:val="20"/>
                <w:shd w:val="clear" w:color="auto" w:fill="FFFFFF"/>
              </w:rPr>
            </w:pPr>
            <w:r w:rsidRPr="005C4484">
              <w:rPr>
                <w:rFonts w:cs="Courier New"/>
                <w:color w:val="000000"/>
                <w:sz w:val="20"/>
                <w:szCs w:val="20"/>
              </w:rPr>
              <w:t>2.5</w:t>
            </w:r>
          </w:p>
        </w:tc>
      </w:tr>
      <w:tr w:rsidR="00C22236" w14:paraId="72BF90F2" w14:textId="77777777" w:rsidTr="00B47E5D">
        <w:tc>
          <w:tcPr>
            <w:tcW w:w="3005" w:type="dxa"/>
            <w:vAlign w:val="bottom"/>
          </w:tcPr>
          <w:p w14:paraId="4C8194C7" w14:textId="16396EAB" w:rsidR="00C22236" w:rsidRPr="005C4484" w:rsidRDefault="00C22236" w:rsidP="00C22236">
            <w:pPr>
              <w:jc w:val="center"/>
              <w:rPr>
                <w:rFonts w:cstheme="minorHAnsi"/>
                <w:color w:val="1D1D1D"/>
                <w:sz w:val="20"/>
                <w:szCs w:val="20"/>
                <w:shd w:val="clear" w:color="auto" w:fill="FFFFFF"/>
              </w:rPr>
            </w:pPr>
            <w:r w:rsidRPr="005C4484">
              <w:rPr>
                <w:rFonts w:cs="Courier New"/>
                <w:color w:val="000000"/>
                <w:sz w:val="20"/>
                <w:szCs w:val="20"/>
              </w:rPr>
              <w:t>2002</w:t>
            </w:r>
          </w:p>
        </w:tc>
        <w:tc>
          <w:tcPr>
            <w:tcW w:w="3005" w:type="dxa"/>
            <w:vAlign w:val="bottom"/>
          </w:tcPr>
          <w:p w14:paraId="22357B86" w14:textId="5313B7EF" w:rsidR="00C22236" w:rsidRPr="005C4484" w:rsidRDefault="00C22236" w:rsidP="00C22236">
            <w:pPr>
              <w:jc w:val="center"/>
              <w:rPr>
                <w:rFonts w:cstheme="minorHAnsi"/>
                <w:color w:val="1D1D1D"/>
                <w:sz w:val="20"/>
                <w:szCs w:val="20"/>
                <w:shd w:val="clear" w:color="auto" w:fill="FFFFFF"/>
              </w:rPr>
            </w:pPr>
            <w:r w:rsidRPr="005C4484">
              <w:rPr>
                <w:rFonts w:cs="Courier New"/>
                <w:color w:val="000000"/>
                <w:sz w:val="20"/>
                <w:szCs w:val="20"/>
              </w:rPr>
              <w:t>24227297</w:t>
            </w:r>
          </w:p>
        </w:tc>
        <w:tc>
          <w:tcPr>
            <w:tcW w:w="3006" w:type="dxa"/>
            <w:vAlign w:val="bottom"/>
          </w:tcPr>
          <w:p w14:paraId="78D0865D" w14:textId="2F493C97" w:rsidR="00C22236" w:rsidRPr="005C4484" w:rsidRDefault="00C22236" w:rsidP="00C22236">
            <w:pPr>
              <w:jc w:val="center"/>
              <w:rPr>
                <w:rFonts w:cstheme="minorHAnsi"/>
                <w:color w:val="1D1D1D"/>
                <w:sz w:val="20"/>
                <w:szCs w:val="20"/>
                <w:shd w:val="clear" w:color="auto" w:fill="FFFFFF"/>
              </w:rPr>
            </w:pPr>
            <w:r w:rsidRPr="005C4484">
              <w:rPr>
                <w:rFonts w:cs="Courier New"/>
                <w:color w:val="000000"/>
                <w:sz w:val="20"/>
                <w:szCs w:val="20"/>
              </w:rPr>
              <w:t>3.2</w:t>
            </w:r>
          </w:p>
        </w:tc>
      </w:tr>
      <w:tr w:rsidR="00C22236" w14:paraId="4DB56D23" w14:textId="77777777" w:rsidTr="00B47E5D">
        <w:tc>
          <w:tcPr>
            <w:tcW w:w="3005" w:type="dxa"/>
            <w:vAlign w:val="bottom"/>
          </w:tcPr>
          <w:p w14:paraId="3A289B29" w14:textId="34576087" w:rsidR="00C22236" w:rsidRPr="005C4484" w:rsidRDefault="00C22236" w:rsidP="00C22236">
            <w:pPr>
              <w:jc w:val="center"/>
              <w:rPr>
                <w:rFonts w:cstheme="minorHAnsi"/>
                <w:color w:val="1D1D1D"/>
                <w:sz w:val="20"/>
                <w:szCs w:val="20"/>
                <w:shd w:val="clear" w:color="auto" w:fill="FFFFFF"/>
              </w:rPr>
            </w:pPr>
            <w:r w:rsidRPr="005C4484">
              <w:rPr>
                <w:rFonts w:cs="Courier New"/>
                <w:color w:val="000000"/>
                <w:sz w:val="20"/>
                <w:szCs w:val="20"/>
              </w:rPr>
              <w:t>2014</w:t>
            </w:r>
          </w:p>
        </w:tc>
        <w:tc>
          <w:tcPr>
            <w:tcW w:w="3005" w:type="dxa"/>
            <w:vAlign w:val="bottom"/>
          </w:tcPr>
          <w:p w14:paraId="42D5487D" w14:textId="36842E95" w:rsidR="00C22236" w:rsidRPr="005C4484" w:rsidRDefault="00C22236" w:rsidP="00C22236">
            <w:pPr>
              <w:jc w:val="center"/>
              <w:rPr>
                <w:rFonts w:cstheme="minorHAnsi"/>
                <w:color w:val="1D1D1D"/>
                <w:sz w:val="20"/>
                <w:szCs w:val="20"/>
                <w:shd w:val="clear" w:color="auto" w:fill="FFFFFF"/>
              </w:rPr>
            </w:pPr>
            <w:r w:rsidRPr="005C4484">
              <w:rPr>
                <w:rFonts w:cs="Courier New"/>
                <w:color w:val="000000"/>
                <w:sz w:val="20"/>
                <w:szCs w:val="20"/>
              </w:rPr>
              <w:t>34634650</w:t>
            </w:r>
          </w:p>
        </w:tc>
        <w:tc>
          <w:tcPr>
            <w:tcW w:w="3006" w:type="dxa"/>
            <w:vAlign w:val="bottom"/>
          </w:tcPr>
          <w:p w14:paraId="0B4AC006" w14:textId="27A63FA7" w:rsidR="00C22236" w:rsidRPr="005C4484" w:rsidRDefault="00C22236" w:rsidP="00C22236">
            <w:pPr>
              <w:jc w:val="center"/>
              <w:rPr>
                <w:rFonts w:cstheme="minorHAnsi"/>
                <w:color w:val="1D1D1D"/>
                <w:sz w:val="20"/>
                <w:szCs w:val="20"/>
                <w:shd w:val="clear" w:color="auto" w:fill="FFFFFF"/>
              </w:rPr>
            </w:pPr>
            <w:r w:rsidRPr="005C4484">
              <w:rPr>
                <w:rFonts w:cs="Courier New"/>
                <w:color w:val="000000"/>
                <w:sz w:val="20"/>
                <w:szCs w:val="20"/>
              </w:rPr>
              <w:t>3</w:t>
            </w:r>
          </w:p>
        </w:tc>
      </w:tr>
    </w:tbl>
    <w:p w14:paraId="3A31B0CD" w14:textId="73F1BDE3" w:rsidR="00C22236" w:rsidRDefault="00C22236" w:rsidP="00067344">
      <w:pPr>
        <w:spacing w:line="240" w:lineRule="auto"/>
        <w:jc w:val="both"/>
        <w:rPr>
          <w:rFonts w:cstheme="minorHAnsi"/>
          <w:color w:val="1D1D1D"/>
          <w:sz w:val="20"/>
          <w:szCs w:val="20"/>
          <w:shd w:val="clear" w:color="auto" w:fill="FFFFFF"/>
        </w:rPr>
      </w:pPr>
      <w:r>
        <w:rPr>
          <w:rFonts w:cstheme="minorHAnsi"/>
          <w:color w:val="1D1D1D"/>
          <w:sz w:val="20"/>
          <w:szCs w:val="20"/>
          <w:shd w:val="clear" w:color="auto" w:fill="FFFFFF"/>
        </w:rPr>
        <w:t>Source: Uganda Bureau of Statistics</w:t>
      </w:r>
    </w:p>
    <w:p w14:paraId="1C0E9C83" w14:textId="6B5E4D6F" w:rsidR="009442CF" w:rsidRDefault="009442CF" w:rsidP="00067344">
      <w:pPr>
        <w:spacing w:line="240" w:lineRule="auto"/>
        <w:jc w:val="both"/>
        <w:rPr>
          <w:rFonts w:cstheme="minorHAnsi"/>
          <w:color w:val="1D1D1D"/>
          <w:sz w:val="20"/>
          <w:szCs w:val="20"/>
          <w:shd w:val="clear" w:color="auto" w:fill="FFFFFF"/>
        </w:rPr>
      </w:pPr>
    </w:p>
    <w:p w14:paraId="3A0DD934" w14:textId="73087B08" w:rsidR="009442CF" w:rsidRDefault="009442CF" w:rsidP="009442CF">
      <w:pPr>
        <w:spacing w:line="240" w:lineRule="auto"/>
        <w:jc w:val="both"/>
        <w:rPr>
          <w:rFonts w:cstheme="minorHAnsi"/>
          <w:color w:val="1D1D1D"/>
          <w:szCs w:val="24"/>
          <w:shd w:val="clear" w:color="auto" w:fill="FFFFFF"/>
        </w:rPr>
      </w:pPr>
      <w:r>
        <w:rPr>
          <w:rFonts w:cstheme="minorHAnsi"/>
          <w:color w:val="1D1D1D"/>
          <w:szCs w:val="24"/>
          <w:shd w:val="clear" w:color="auto" w:fill="FFFFFF"/>
        </w:rPr>
        <w:fldChar w:fldCharType="begin"/>
      </w:r>
      <w:r>
        <w:rPr>
          <w:rFonts w:cstheme="minorHAnsi"/>
          <w:color w:val="1D1D1D"/>
          <w:szCs w:val="24"/>
          <w:shd w:val="clear" w:color="auto" w:fill="FFFFFF"/>
        </w:rPr>
        <w:instrText xml:space="preserve"> REF _Ref503514814 \h </w:instrText>
      </w:r>
      <w:r>
        <w:rPr>
          <w:rFonts w:cstheme="minorHAnsi"/>
          <w:color w:val="1D1D1D"/>
          <w:szCs w:val="24"/>
          <w:shd w:val="clear" w:color="auto" w:fill="FFFFFF"/>
        </w:rPr>
      </w:r>
      <w:r>
        <w:rPr>
          <w:rFonts w:cstheme="minorHAnsi"/>
          <w:color w:val="1D1D1D"/>
          <w:szCs w:val="24"/>
          <w:shd w:val="clear" w:color="auto" w:fill="FFFFFF"/>
        </w:rPr>
        <w:fldChar w:fldCharType="separate"/>
      </w:r>
      <w:r w:rsidRPr="00137BB8">
        <w:rPr>
          <w:szCs w:val="24"/>
        </w:rPr>
        <w:t xml:space="preserve">Table </w:t>
      </w:r>
      <w:r>
        <w:rPr>
          <w:noProof/>
          <w:szCs w:val="24"/>
        </w:rPr>
        <w:t>1</w:t>
      </w:r>
      <w:r>
        <w:rPr>
          <w:rFonts w:cstheme="minorHAnsi"/>
          <w:color w:val="1D1D1D"/>
          <w:szCs w:val="24"/>
          <w:shd w:val="clear" w:color="auto" w:fill="FFFFFF"/>
        </w:rPr>
        <w:fldChar w:fldCharType="end"/>
      </w:r>
      <w:r w:rsidR="00233297">
        <w:rPr>
          <w:rFonts w:cstheme="minorHAnsi"/>
          <w:color w:val="1D1D1D"/>
          <w:szCs w:val="24"/>
          <w:shd w:val="clear" w:color="auto" w:fill="FFFFFF"/>
        </w:rPr>
        <w:t xml:space="preserve"> </w:t>
      </w:r>
      <w:r>
        <w:rPr>
          <w:rFonts w:cstheme="minorHAnsi"/>
          <w:color w:val="1D1D1D"/>
          <w:szCs w:val="24"/>
          <w:shd w:val="clear" w:color="auto" w:fill="FFFFFF"/>
        </w:rPr>
        <w:t xml:space="preserve">shows the population size and growth rates over time, while </w:t>
      </w:r>
      <w:r>
        <w:rPr>
          <w:rFonts w:cstheme="minorHAnsi"/>
          <w:color w:val="1D1D1D"/>
          <w:szCs w:val="24"/>
          <w:shd w:val="clear" w:color="auto" w:fill="FFFFFF"/>
        </w:rPr>
        <w:fldChar w:fldCharType="begin"/>
      </w:r>
      <w:r>
        <w:rPr>
          <w:rFonts w:cstheme="minorHAnsi"/>
          <w:color w:val="1D1D1D"/>
          <w:szCs w:val="24"/>
          <w:shd w:val="clear" w:color="auto" w:fill="FFFFFF"/>
        </w:rPr>
        <w:instrText xml:space="preserve"> REF _Ref503514878 \h </w:instrText>
      </w:r>
      <w:r>
        <w:rPr>
          <w:rFonts w:cstheme="minorHAnsi"/>
          <w:color w:val="1D1D1D"/>
          <w:szCs w:val="24"/>
          <w:shd w:val="clear" w:color="auto" w:fill="FFFFFF"/>
        </w:rPr>
      </w:r>
      <w:r>
        <w:rPr>
          <w:rFonts w:cstheme="minorHAnsi"/>
          <w:color w:val="1D1D1D"/>
          <w:szCs w:val="24"/>
          <w:shd w:val="clear" w:color="auto" w:fill="FFFFFF"/>
        </w:rPr>
        <w:fldChar w:fldCharType="separate"/>
      </w:r>
      <w:r w:rsidRPr="00137BB8">
        <w:rPr>
          <w:szCs w:val="24"/>
        </w:rPr>
        <w:t xml:space="preserve">Table </w:t>
      </w:r>
      <w:r w:rsidRPr="00137BB8">
        <w:rPr>
          <w:noProof/>
          <w:szCs w:val="24"/>
        </w:rPr>
        <w:t>2</w:t>
      </w:r>
      <w:r>
        <w:rPr>
          <w:rFonts w:cstheme="minorHAnsi"/>
          <w:color w:val="1D1D1D"/>
          <w:szCs w:val="24"/>
          <w:shd w:val="clear" w:color="auto" w:fill="FFFFFF"/>
        </w:rPr>
        <w:fldChar w:fldCharType="end"/>
      </w:r>
      <w:r>
        <w:rPr>
          <w:rFonts w:cstheme="minorHAnsi"/>
          <w:color w:val="1D1D1D"/>
          <w:szCs w:val="24"/>
          <w:shd w:val="clear" w:color="auto" w:fill="FFFFFF"/>
        </w:rPr>
        <w:t xml:space="preserve"> shows the </w:t>
      </w:r>
      <w:r w:rsidR="00233297">
        <w:rPr>
          <w:rFonts w:cstheme="minorHAnsi"/>
          <w:color w:val="1D1D1D"/>
          <w:szCs w:val="24"/>
          <w:shd w:val="clear" w:color="auto" w:fill="FFFFFF"/>
        </w:rPr>
        <w:t>per</w:t>
      </w:r>
      <w:r w:rsidR="00BA2F9C">
        <w:rPr>
          <w:rFonts w:cstheme="minorHAnsi"/>
          <w:color w:val="1D1D1D"/>
          <w:szCs w:val="24"/>
          <w:shd w:val="clear" w:color="auto" w:fill="FFFFFF"/>
        </w:rPr>
        <w:t>cent</w:t>
      </w:r>
      <w:r>
        <w:rPr>
          <w:rFonts w:cstheme="minorHAnsi"/>
          <w:color w:val="1D1D1D"/>
          <w:szCs w:val="24"/>
          <w:shd w:val="clear" w:color="auto" w:fill="FFFFFF"/>
        </w:rPr>
        <w:t xml:space="preserve">age of all households in all regions that have been experiencing food shocks. </w:t>
      </w:r>
    </w:p>
    <w:p w14:paraId="1BCD9D07" w14:textId="77777777" w:rsidR="009442CF" w:rsidRDefault="009442CF" w:rsidP="00067344">
      <w:pPr>
        <w:spacing w:line="240" w:lineRule="auto"/>
        <w:jc w:val="both"/>
        <w:rPr>
          <w:rFonts w:cstheme="minorHAnsi"/>
          <w:color w:val="1D1D1D"/>
          <w:sz w:val="20"/>
          <w:szCs w:val="20"/>
          <w:shd w:val="clear" w:color="auto" w:fill="FFFFFF"/>
        </w:rPr>
      </w:pPr>
    </w:p>
    <w:p w14:paraId="5FDF5C1D" w14:textId="77777777" w:rsidR="0060135E" w:rsidRDefault="0060135E" w:rsidP="00137BB8">
      <w:pPr>
        <w:pStyle w:val="Caption"/>
        <w:rPr>
          <w:sz w:val="24"/>
          <w:szCs w:val="24"/>
        </w:rPr>
      </w:pPr>
      <w:bookmarkStart w:id="10" w:name="_Ref503514878"/>
    </w:p>
    <w:p w14:paraId="530B2CC4" w14:textId="77777777" w:rsidR="0060135E" w:rsidRDefault="0060135E" w:rsidP="00137BB8">
      <w:pPr>
        <w:pStyle w:val="Caption"/>
        <w:rPr>
          <w:sz w:val="24"/>
          <w:szCs w:val="24"/>
        </w:rPr>
      </w:pPr>
    </w:p>
    <w:p w14:paraId="04E33B42" w14:textId="77777777" w:rsidR="0060135E" w:rsidRDefault="0060135E" w:rsidP="00137BB8">
      <w:pPr>
        <w:pStyle w:val="Caption"/>
        <w:rPr>
          <w:sz w:val="24"/>
          <w:szCs w:val="24"/>
        </w:rPr>
      </w:pPr>
    </w:p>
    <w:p w14:paraId="6B845880" w14:textId="77777777" w:rsidR="0060135E" w:rsidRDefault="0060135E" w:rsidP="00137BB8">
      <w:pPr>
        <w:pStyle w:val="Caption"/>
        <w:rPr>
          <w:sz w:val="24"/>
          <w:szCs w:val="24"/>
        </w:rPr>
      </w:pPr>
    </w:p>
    <w:p w14:paraId="6DA46CE5" w14:textId="7E80A4EC" w:rsidR="00137BB8" w:rsidRPr="00137BB8" w:rsidRDefault="00137BB8" w:rsidP="00137BB8">
      <w:pPr>
        <w:pStyle w:val="Caption"/>
        <w:rPr>
          <w:rFonts w:cstheme="minorHAnsi"/>
          <w:color w:val="1D1D1D"/>
          <w:sz w:val="24"/>
          <w:szCs w:val="24"/>
          <w:shd w:val="clear" w:color="auto" w:fill="FFFFFF"/>
        </w:rPr>
      </w:pPr>
      <w:r w:rsidRPr="00137BB8">
        <w:rPr>
          <w:sz w:val="24"/>
          <w:szCs w:val="24"/>
        </w:rPr>
        <w:t xml:space="preserve">Table </w:t>
      </w:r>
      <w:r w:rsidRPr="00137BB8">
        <w:rPr>
          <w:sz w:val="24"/>
          <w:szCs w:val="24"/>
        </w:rPr>
        <w:fldChar w:fldCharType="begin"/>
      </w:r>
      <w:r w:rsidRPr="00137BB8">
        <w:rPr>
          <w:sz w:val="24"/>
          <w:szCs w:val="24"/>
        </w:rPr>
        <w:instrText xml:space="preserve"> SEQ Table \* ARABIC </w:instrText>
      </w:r>
      <w:r w:rsidRPr="00137BB8">
        <w:rPr>
          <w:sz w:val="24"/>
          <w:szCs w:val="24"/>
        </w:rPr>
        <w:fldChar w:fldCharType="separate"/>
      </w:r>
      <w:r w:rsidR="00692D91">
        <w:rPr>
          <w:noProof/>
          <w:sz w:val="24"/>
          <w:szCs w:val="24"/>
        </w:rPr>
        <w:t>2</w:t>
      </w:r>
      <w:r w:rsidRPr="00137BB8">
        <w:rPr>
          <w:sz w:val="24"/>
          <w:szCs w:val="24"/>
        </w:rPr>
        <w:fldChar w:fldCharType="end"/>
      </w:r>
      <w:bookmarkEnd w:id="10"/>
      <w:r w:rsidRPr="00137BB8">
        <w:rPr>
          <w:sz w:val="24"/>
          <w:szCs w:val="24"/>
        </w:rPr>
        <w:t xml:space="preserve"> Prevalence of food shock experiences among households (%)</w:t>
      </w:r>
    </w:p>
    <w:tbl>
      <w:tblPr>
        <w:tblStyle w:val="TableGrid"/>
        <w:tblW w:w="0" w:type="auto"/>
        <w:tblLook w:val="04A0" w:firstRow="1" w:lastRow="0" w:firstColumn="1" w:lastColumn="0" w:noHBand="0" w:noVBand="1"/>
      </w:tblPr>
      <w:tblGrid>
        <w:gridCol w:w="1502"/>
        <w:gridCol w:w="1502"/>
        <w:gridCol w:w="1503"/>
        <w:gridCol w:w="1503"/>
        <w:gridCol w:w="1503"/>
        <w:gridCol w:w="1503"/>
      </w:tblGrid>
      <w:tr w:rsidR="00137BB8" w14:paraId="57D01BEC" w14:textId="77777777" w:rsidTr="00B47E5D">
        <w:tc>
          <w:tcPr>
            <w:tcW w:w="1502" w:type="dxa"/>
            <w:vAlign w:val="bottom"/>
          </w:tcPr>
          <w:p w14:paraId="0470074C" w14:textId="786C09C3" w:rsidR="00137BB8" w:rsidRPr="005C4484" w:rsidRDefault="00137BB8" w:rsidP="00137BB8">
            <w:pPr>
              <w:jc w:val="both"/>
              <w:rPr>
                <w:rFonts w:cstheme="minorHAnsi"/>
                <w:color w:val="1D1D1D"/>
                <w:sz w:val="20"/>
                <w:szCs w:val="20"/>
                <w:shd w:val="clear" w:color="auto" w:fill="FFFFFF"/>
              </w:rPr>
            </w:pPr>
          </w:p>
        </w:tc>
        <w:tc>
          <w:tcPr>
            <w:tcW w:w="1502" w:type="dxa"/>
            <w:vAlign w:val="bottom"/>
          </w:tcPr>
          <w:p w14:paraId="58D48E74" w14:textId="4605A06D" w:rsidR="00137BB8" w:rsidRPr="005C4484" w:rsidRDefault="00137BB8" w:rsidP="00137BB8">
            <w:pPr>
              <w:jc w:val="both"/>
              <w:rPr>
                <w:rFonts w:cstheme="minorHAnsi"/>
                <w:b/>
                <w:color w:val="1D1D1D"/>
                <w:sz w:val="20"/>
                <w:szCs w:val="20"/>
                <w:shd w:val="clear" w:color="auto" w:fill="FFFFFF"/>
              </w:rPr>
            </w:pPr>
            <w:r w:rsidRPr="005C4484">
              <w:rPr>
                <w:rFonts w:cs="Courier New"/>
                <w:b/>
                <w:color w:val="000000"/>
                <w:sz w:val="20"/>
                <w:szCs w:val="20"/>
              </w:rPr>
              <w:t>2009/10</w:t>
            </w:r>
          </w:p>
        </w:tc>
        <w:tc>
          <w:tcPr>
            <w:tcW w:w="1503" w:type="dxa"/>
            <w:vAlign w:val="bottom"/>
          </w:tcPr>
          <w:p w14:paraId="6D69D98C" w14:textId="60E85521" w:rsidR="00137BB8" w:rsidRPr="005C4484" w:rsidRDefault="00137BB8" w:rsidP="00137BB8">
            <w:pPr>
              <w:jc w:val="both"/>
              <w:rPr>
                <w:rFonts w:cstheme="minorHAnsi"/>
                <w:b/>
                <w:color w:val="1D1D1D"/>
                <w:sz w:val="20"/>
                <w:szCs w:val="20"/>
                <w:shd w:val="clear" w:color="auto" w:fill="FFFFFF"/>
              </w:rPr>
            </w:pPr>
            <w:r w:rsidRPr="005C4484">
              <w:rPr>
                <w:rFonts w:cs="Courier New"/>
                <w:b/>
                <w:color w:val="000000"/>
                <w:sz w:val="20"/>
                <w:szCs w:val="20"/>
              </w:rPr>
              <w:t>2010/11</w:t>
            </w:r>
          </w:p>
        </w:tc>
        <w:tc>
          <w:tcPr>
            <w:tcW w:w="1503" w:type="dxa"/>
            <w:vAlign w:val="bottom"/>
          </w:tcPr>
          <w:p w14:paraId="10CBAECC" w14:textId="4C16C388" w:rsidR="00137BB8" w:rsidRPr="005C4484" w:rsidRDefault="00137BB8" w:rsidP="00137BB8">
            <w:pPr>
              <w:jc w:val="both"/>
              <w:rPr>
                <w:rFonts w:cstheme="minorHAnsi"/>
                <w:b/>
                <w:color w:val="1D1D1D"/>
                <w:sz w:val="20"/>
                <w:szCs w:val="20"/>
                <w:shd w:val="clear" w:color="auto" w:fill="FFFFFF"/>
              </w:rPr>
            </w:pPr>
            <w:r w:rsidRPr="005C4484">
              <w:rPr>
                <w:rFonts w:cs="Courier New"/>
                <w:b/>
                <w:color w:val="000000"/>
                <w:sz w:val="20"/>
                <w:szCs w:val="20"/>
              </w:rPr>
              <w:t>2011/12</w:t>
            </w:r>
          </w:p>
        </w:tc>
        <w:tc>
          <w:tcPr>
            <w:tcW w:w="1503" w:type="dxa"/>
            <w:vAlign w:val="bottom"/>
          </w:tcPr>
          <w:p w14:paraId="70FD80FA" w14:textId="20580B81" w:rsidR="00137BB8" w:rsidRPr="005C4484" w:rsidRDefault="00137BB8" w:rsidP="00137BB8">
            <w:pPr>
              <w:jc w:val="both"/>
              <w:rPr>
                <w:rFonts w:cstheme="minorHAnsi"/>
                <w:b/>
                <w:color w:val="1D1D1D"/>
                <w:sz w:val="20"/>
                <w:szCs w:val="20"/>
                <w:shd w:val="clear" w:color="auto" w:fill="FFFFFF"/>
              </w:rPr>
            </w:pPr>
            <w:r w:rsidRPr="005C4484">
              <w:rPr>
                <w:rFonts w:cs="Courier New"/>
                <w:b/>
                <w:color w:val="000000"/>
                <w:sz w:val="20"/>
                <w:szCs w:val="20"/>
              </w:rPr>
              <w:t>2013/14</w:t>
            </w:r>
          </w:p>
        </w:tc>
        <w:tc>
          <w:tcPr>
            <w:tcW w:w="1503" w:type="dxa"/>
            <w:vAlign w:val="bottom"/>
          </w:tcPr>
          <w:p w14:paraId="4849F1DA" w14:textId="6CBE1832" w:rsidR="00137BB8" w:rsidRPr="005C4484" w:rsidRDefault="00137BB8" w:rsidP="00137BB8">
            <w:pPr>
              <w:jc w:val="both"/>
              <w:rPr>
                <w:rFonts w:cstheme="minorHAnsi"/>
                <w:b/>
                <w:color w:val="1D1D1D"/>
                <w:sz w:val="20"/>
                <w:szCs w:val="20"/>
                <w:shd w:val="clear" w:color="auto" w:fill="FFFFFF"/>
              </w:rPr>
            </w:pPr>
            <w:r w:rsidRPr="005C4484">
              <w:rPr>
                <w:rFonts w:cs="Courier New"/>
                <w:b/>
                <w:color w:val="000000"/>
                <w:sz w:val="20"/>
                <w:szCs w:val="20"/>
              </w:rPr>
              <w:t>2015/16</w:t>
            </w:r>
          </w:p>
        </w:tc>
      </w:tr>
      <w:tr w:rsidR="00137BB8" w14:paraId="6D2798FE" w14:textId="77777777" w:rsidTr="00B47E5D">
        <w:tc>
          <w:tcPr>
            <w:tcW w:w="1502" w:type="dxa"/>
            <w:vAlign w:val="bottom"/>
          </w:tcPr>
          <w:p w14:paraId="65CC23DE" w14:textId="1696F4E3" w:rsidR="00137BB8" w:rsidRPr="005C4484" w:rsidRDefault="00137BB8" w:rsidP="00137BB8">
            <w:pPr>
              <w:jc w:val="both"/>
              <w:rPr>
                <w:rFonts w:cstheme="minorHAnsi"/>
                <w:color w:val="1D1D1D"/>
                <w:sz w:val="20"/>
                <w:szCs w:val="20"/>
                <w:shd w:val="clear" w:color="auto" w:fill="FFFFFF"/>
              </w:rPr>
            </w:pPr>
            <w:r w:rsidRPr="005C4484">
              <w:rPr>
                <w:rFonts w:cs="Courier New"/>
                <w:b/>
                <w:bCs/>
                <w:color w:val="000000"/>
                <w:sz w:val="20"/>
                <w:szCs w:val="20"/>
              </w:rPr>
              <w:t xml:space="preserve">National </w:t>
            </w:r>
          </w:p>
        </w:tc>
        <w:tc>
          <w:tcPr>
            <w:tcW w:w="1502" w:type="dxa"/>
            <w:vAlign w:val="bottom"/>
          </w:tcPr>
          <w:p w14:paraId="6388F482" w14:textId="383D7903" w:rsidR="00137BB8" w:rsidRPr="005C4484" w:rsidRDefault="00137BB8" w:rsidP="00137BB8">
            <w:pPr>
              <w:jc w:val="both"/>
              <w:rPr>
                <w:rFonts w:cstheme="minorHAnsi"/>
                <w:color w:val="1D1D1D"/>
                <w:sz w:val="20"/>
                <w:szCs w:val="20"/>
                <w:shd w:val="clear" w:color="auto" w:fill="FFFFFF"/>
              </w:rPr>
            </w:pPr>
            <w:r w:rsidRPr="005C4484">
              <w:rPr>
                <w:rFonts w:cs="Courier New"/>
                <w:color w:val="000000"/>
                <w:sz w:val="20"/>
                <w:szCs w:val="20"/>
              </w:rPr>
              <w:t>54.9</w:t>
            </w:r>
          </w:p>
        </w:tc>
        <w:tc>
          <w:tcPr>
            <w:tcW w:w="1503" w:type="dxa"/>
            <w:vAlign w:val="bottom"/>
          </w:tcPr>
          <w:p w14:paraId="1818F88B" w14:textId="29584C0C" w:rsidR="00137BB8" w:rsidRPr="005C4484" w:rsidRDefault="00137BB8" w:rsidP="00137BB8">
            <w:pPr>
              <w:jc w:val="both"/>
              <w:rPr>
                <w:rFonts w:cstheme="minorHAnsi"/>
                <w:color w:val="1D1D1D"/>
                <w:sz w:val="20"/>
                <w:szCs w:val="20"/>
                <w:shd w:val="clear" w:color="auto" w:fill="FFFFFF"/>
              </w:rPr>
            </w:pPr>
            <w:r w:rsidRPr="005C4484">
              <w:rPr>
                <w:rFonts w:cs="Courier New"/>
                <w:color w:val="000000"/>
                <w:sz w:val="20"/>
                <w:szCs w:val="20"/>
              </w:rPr>
              <w:t>38.6</w:t>
            </w:r>
          </w:p>
        </w:tc>
        <w:tc>
          <w:tcPr>
            <w:tcW w:w="1503" w:type="dxa"/>
            <w:vAlign w:val="bottom"/>
          </w:tcPr>
          <w:p w14:paraId="1103B3C2" w14:textId="3B6A27AD" w:rsidR="00137BB8" w:rsidRPr="005C4484" w:rsidRDefault="00137BB8" w:rsidP="00137BB8">
            <w:pPr>
              <w:jc w:val="both"/>
              <w:rPr>
                <w:rFonts w:cstheme="minorHAnsi"/>
                <w:color w:val="1D1D1D"/>
                <w:sz w:val="20"/>
                <w:szCs w:val="20"/>
                <w:shd w:val="clear" w:color="auto" w:fill="FFFFFF"/>
              </w:rPr>
            </w:pPr>
            <w:r w:rsidRPr="005C4484">
              <w:rPr>
                <w:rFonts w:cs="Courier New"/>
                <w:color w:val="000000"/>
                <w:sz w:val="20"/>
                <w:szCs w:val="20"/>
              </w:rPr>
              <w:t>32.3</w:t>
            </w:r>
          </w:p>
        </w:tc>
        <w:tc>
          <w:tcPr>
            <w:tcW w:w="1503" w:type="dxa"/>
            <w:vAlign w:val="bottom"/>
          </w:tcPr>
          <w:p w14:paraId="5613C2FC" w14:textId="7280DDFA" w:rsidR="00137BB8" w:rsidRPr="005C4484" w:rsidRDefault="00137BB8" w:rsidP="00137BB8">
            <w:pPr>
              <w:jc w:val="both"/>
              <w:rPr>
                <w:rFonts w:cstheme="minorHAnsi"/>
                <w:color w:val="1D1D1D"/>
                <w:sz w:val="20"/>
                <w:szCs w:val="20"/>
                <w:shd w:val="clear" w:color="auto" w:fill="FFFFFF"/>
              </w:rPr>
            </w:pPr>
            <w:r w:rsidRPr="005C4484">
              <w:rPr>
                <w:rFonts w:cs="Courier New"/>
                <w:color w:val="000000"/>
                <w:sz w:val="20"/>
                <w:szCs w:val="20"/>
              </w:rPr>
              <w:t>39.8</w:t>
            </w:r>
          </w:p>
        </w:tc>
        <w:tc>
          <w:tcPr>
            <w:tcW w:w="1503" w:type="dxa"/>
            <w:vAlign w:val="bottom"/>
          </w:tcPr>
          <w:p w14:paraId="4F2C2F83" w14:textId="54D0C09F" w:rsidR="00137BB8" w:rsidRPr="005C4484" w:rsidRDefault="00137BB8" w:rsidP="00137BB8">
            <w:pPr>
              <w:jc w:val="both"/>
              <w:rPr>
                <w:rFonts w:cstheme="minorHAnsi"/>
                <w:color w:val="1D1D1D"/>
                <w:sz w:val="20"/>
                <w:szCs w:val="20"/>
                <w:shd w:val="clear" w:color="auto" w:fill="FFFFFF"/>
              </w:rPr>
            </w:pPr>
            <w:r w:rsidRPr="005C4484">
              <w:rPr>
                <w:rFonts w:cs="Courier New"/>
                <w:color w:val="000000"/>
                <w:sz w:val="20"/>
                <w:szCs w:val="20"/>
              </w:rPr>
              <w:t>26.3</w:t>
            </w:r>
          </w:p>
        </w:tc>
      </w:tr>
      <w:tr w:rsidR="00137BB8" w14:paraId="782B4F7D" w14:textId="77777777" w:rsidTr="00B47E5D">
        <w:tc>
          <w:tcPr>
            <w:tcW w:w="1502" w:type="dxa"/>
            <w:vAlign w:val="bottom"/>
          </w:tcPr>
          <w:p w14:paraId="23253166" w14:textId="677A76E4" w:rsidR="00137BB8" w:rsidRPr="005C4484" w:rsidRDefault="00137BB8" w:rsidP="00137BB8">
            <w:pPr>
              <w:jc w:val="both"/>
              <w:rPr>
                <w:rFonts w:cstheme="minorHAnsi"/>
                <w:color w:val="1D1D1D"/>
                <w:sz w:val="20"/>
                <w:szCs w:val="20"/>
                <w:shd w:val="clear" w:color="auto" w:fill="FFFFFF"/>
              </w:rPr>
            </w:pPr>
            <w:r w:rsidRPr="005C4484">
              <w:rPr>
                <w:rFonts w:cs="Courier New"/>
                <w:b/>
                <w:bCs/>
                <w:color w:val="000000"/>
                <w:sz w:val="20"/>
                <w:szCs w:val="20"/>
              </w:rPr>
              <w:t>Urban-Rural</w:t>
            </w:r>
          </w:p>
        </w:tc>
        <w:tc>
          <w:tcPr>
            <w:tcW w:w="1502" w:type="dxa"/>
            <w:vAlign w:val="bottom"/>
          </w:tcPr>
          <w:p w14:paraId="64E4E9E6" w14:textId="77777777" w:rsidR="00137BB8" w:rsidRPr="005C4484" w:rsidRDefault="00137BB8" w:rsidP="00137BB8">
            <w:pPr>
              <w:jc w:val="both"/>
              <w:rPr>
                <w:rFonts w:cstheme="minorHAnsi"/>
                <w:color w:val="1D1D1D"/>
                <w:sz w:val="20"/>
                <w:szCs w:val="20"/>
                <w:shd w:val="clear" w:color="auto" w:fill="FFFFFF"/>
              </w:rPr>
            </w:pPr>
          </w:p>
        </w:tc>
        <w:tc>
          <w:tcPr>
            <w:tcW w:w="1503" w:type="dxa"/>
            <w:vAlign w:val="bottom"/>
          </w:tcPr>
          <w:p w14:paraId="3CEE0036" w14:textId="77777777" w:rsidR="00137BB8" w:rsidRPr="005C4484" w:rsidRDefault="00137BB8" w:rsidP="00137BB8">
            <w:pPr>
              <w:jc w:val="both"/>
              <w:rPr>
                <w:rFonts w:cstheme="minorHAnsi"/>
                <w:color w:val="1D1D1D"/>
                <w:sz w:val="20"/>
                <w:szCs w:val="20"/>
                <w:shd w:val="clear" w:color="auto" w:fill="FFFFFF"/>
              </w:rPr>
            </w:pPr>
          </w:p>
        </w:tc>
        <w:tc>
          <w:tcPr>
            <w:tcW w:w="1503" w:type="dxa"/>
            <w:vAlign w:val="bottom"/>
          </w:tcPr>
          <w:p w14:paraId="118AE16D" w14:textId="77777777" w:rsidR="00137BB8" w:rsidRPr="005C4484" w:rsidRDefault="00137BB8" w:rsidP="00137BB8">
            <w:pPr>
              <w:jc w:val="both"/>
              <w:rPr>
                <w:rFonts w:cstheme="minorHAnsi"/>
                <w:color w:val="1D1D1D"/>
                <w:sz w:val="20"/>
                <w:szCs w:val="20"/>
                <w:shd w:val="clear" w:color="auto" w:fill="FFFFFF"/>
              </w:rPr>
            </w:pPr>
          </w:p>
        </w:tc>
        <w:tc>
          <w:tcPr>
            <w:tcW w:w="1503" w:type="dxa"/>
            <w:vAlign w:val="bottom"/>
          </w:tcPr>
          <w:p w14:paraId="17F6C2DB" w14:textId="77777777" w:rsidR="00137BB8" w:rsidRPr="005C4484" w:rsidRDefault="00137BB8" w:rsidP="00137BB8">
            <w:pPr>
              <w:jc w:val="both"/>
              <w:rPr>
                <w:rFonts w:cstheme="minorHAnsi"/>
                <w:color w:val="1D1D1D"/>
                <w:sz w:val="20"/>
                <w:szCs w:val="20"/>
                <w:shd w:val="clear" w:color="auto" w:fill="FFFFFF"/>
              </w:rPr>
            </w:pPr>
          </w:p>
        </w:tc>
        <w:tc>
          <w:tcPr>
            <w:tcW w:w="1503" w:type="dxa"/>
            <w:vAlign w:val="bottom"/>
          </w:tcPr>
          <w:p w14:paraId="709DFE22" w14:textId="77777777" w:rsidR="00137BB8" w:rsidRPr="005C4484" w:rsidRDefault="00137BB8" w:rsidP="00137BB8">
            <w:pPr>
              <w:jc w:val="both"/>
              <w:rPr>
                <w:rFonts w:cstheme="minorHAnsi"/>
                <w:color w:val="1D1D1D"/>
                <w:sz w:val="20"/>
                <w:szCs w:val="20"/>
                <w:shd w:val="clear" w:color="auto" w:fill="FFFFFF"/>
              </w:rPr>
            </w:pPr>
          </w:p>
        </w:tc>
      </w:tr>
      <w:tr w:rsidR="00137BB8" w14:paraId="60CCC906" w14:textId="77777777" w:rsidTr="00B47E5D">
        <w:tc>
          <w:tcPr>
            <w:tcW w:w="1502" w:type="dxa"/>
            <w:vAlign w:val="bottom"/>
          </w:tcPr>
          <w:p w14:paraId="30957967" w14:textId="602FEE94" w:rsidR="00137BB8" w:rsidRPr="005C4484" w:rsidRDefault="00137BB8" w:rsidP="00137BB8">
            <w:pPr>
              <w:jc w:val="both"/>
              <w:rPr>
                <w:rFonts w:cstheme="minorHAnsi"/>
                <w:color w:val="1D1D1D"/>
                <w:sz w:val="20"/>
                <w:szCs w:val="20"/>
                <w:shd w:val="clear" w:color="auto" w:fill="FFFFFF"/>
              </w:rPr>
            </w:pPr>
            <w:r w:rsidRPr="005C4484">
              <w:rPr>
                <w:rFonts w:cs="Courier New"/>
                <w:color w:val="000000"/>
                <w:sz w:val="20"/>
                <w:szCs w:val="20"/>
              </w:rPr>
              <w:t>Rural</w:t>
            </w:r>
          </w:p>
        </w:tc>
        <w:tc>
          <w:tcPr>
            <w:tcW w:w="1502" w:type="dxa"/>
            <w:vAlign w:val="bottom"/>
          </w:tcPr>
          <w:p w14:paraId="715F3C28" w14:textId="29E0973B" w:rsidR="00137BB8" w:rsidRPr="005C4484" w:rsidRDefault="00137BB8" w:rsidP="00137BB8">
            <w:pPr>
              <w:jc w:val="both"/>
              <w:rPr>
                <w:rFonts w:cstheme="minorHAnsi"/>
                <w:color w:val="1D1D1D"/>
                <w:sz w:val="20"/>
                <w:szCs w:val="20"/>
                <w:shd w:val="clear" w:color="auto" w:fill="FFFFFF"/>
              </w:rPr>
            </w:pPr>
            <w:r w:rsidRPr="005C4484">
              <w:rPr>
                <w:rFonts w:cs="Courier New"/>
                <w:color w:val="000000"/>
                <w:sz w:val="20"/>
                <w:szCs w:val="20"/>
              </w:rPr>
              <w:t>6.1</w:t>
            </w:r>
          </w:p>
        </w:tc>
        <w:tc>
          <w:tcPr>
            <w:tcW w:w="1503" w:type="dxa"/>
            <w:vAlign w:val="bottom"/>
          </w:tcPr>
          <w:p w14:paraId="6D93BF44" w14:textId="281688C1" w:rsidR="00137BB8" w:rsidRPr="005C4484" w:rsidRDefault="00137BB8" w:rsidP="00137BB8">
            <w:pPr>
              <w:jc w:val="both"/>
              <w:rPr>
                <w:rFonts w:cstheme="minorHAnsi"/>
                <w:color w:val="1D1D1D"/>
                <w:sz w:val="20"/>
                <w:szCs w:val="20"/>
                <w:shd w:val="clear" w:color="auto" w:fill="FFFFFF"/>
              </w:rPr>
            </w:pPr>
            <w:r w:rsidRPr="005C4484">
              <w:rPr>
                <w:rFonts w:cs="Courier New"/>
                <w:color w:val="000000"/>
                <w:sz w:val="20"/>
                <w:szCs w:val="20"/>
              </w:rPr>
              <w:t>41.8</w:t>
            </w:r>
          </w:p>
        </w:tc>
        <w:tc>
          <w:tcPr>
            <w:tcW w:w="1503" w:type="dxa"/>
            <w:vAlign w:val="bottom"/>
          </w:tcPr>
          <w:p w14:paraId="581D93E7" w14:textId="0389112F" w:rsidR="00137BB8" w:rsidRPr="005C4484" w:rsidRDefault="00137BB8" w:rsidP="00137BB8">
            <w:pPr>
              <w:jc w:val="both"/>
              <w:rPr>
                <w:rFonts w:cstheme="minorHAnsi"/>
                <w:color w:val="1D1D1D"/>
                <w:sz w:val="20"/>
                <w:szCs w:val="20"/>
                <w:shd w:val="clear" w:color="auto" w:fill="FFFFFF"/>
              </w:rPr>
            </w:pPr>
            <w:r w:rsidRPr="005C4484">
              <w:rPr>
                <w:rFonts w:cs="Courier New"/>
                <w:color w:val="000000"/>
                <w:sz w:val="20"/>
                <w:szCs w:val="20"/>
              </w:rPr>
              <w:t>32.7</w:t>
            </w:r>
          </w:p>
        </w:tc>
        <w:tc>
          <w:tcPr>
            <w:tcW w:w="1503" w:type="dxa"/>
            <w:vAlign w:val="bottom"/>
          </w:tcPr>
          <w:p w14:paraId="01BFFD08" w14:textId="3C64ECF9" w:rsidR="00137BB8" w:rsidRPr="005C4484" w:rsidRDefault="00137BB8" w:rsidP="00137BB8">
            <w:pPr>
              <w:jc w:val="both"/>
              <w:rPr>
                <w:rFonts w:cstheme="minorHAnsi"/>
                <w:color w:val="1D1D1D"/>
                <w:sz w:val="20"/>
                <w:szCs w:val="20"/>
                <w:shd w:val="clear" w:color="auto" w:fill="FFFFFF"/>
              </w:rPr>
            </w:pPr>
            <w:r w:rsidRPr="005C4484">
              <w:rPr>
                <w:rFonts w:cs="Courier New"/>
                <w:color w:val="000000"/>
                <w:sz w:val="20"/>
                <w:szCs w:val="20"/>
              </w:rPr>
              <w:t>45.2</w:t>
            </w:r>
          </w:p>
        </w:tc>
        <w:tc>
          <w:tcPr>
            <w:tcW w:w="1503" w:type="dxa"/>
            <w:vAlign w:val="bottom"/>
          </w:tcPr>
          <w:p w14:paraId="3D5AD5E7" w14:textId="06E3EF71" w:rsidR="00137BB8" w:rsidRPr="005C4484" w:rsidRDefault="00137BB8" w:rsidP="00137BB8">
            <w:pPr>
              <w:jc w:val="both"/>
              <w:rPr>
                <w:rFonts w:cstheme="minorHAnsi"/>
                <w:color w:val="1D1D1D"/>
                <w:sz w:val="20"/>
                <w:szCs w:val="20"/>
                <w:shd w:val="clear" w:color="auto" w:fill="FFFFFF"/>
              </w:rPr>
            </w:pPr>
            <w:r w:rsidRPr="005C4484">
              <w:rPr>
                <w:rFonts w:cs="Courier New"/>
                <w:color w:val="000000"/>
                <w:sz w:val="20"/>
                <w:szCs w:val="20"/>
              </w:rPr>
              <w:t>29.2</w:t>
            </w:r>
          </w:p>
        </w:tc>
      </w:tr>
      <w:tr w:rsidR="00137BB8" w14:paraId="7BA868E2" w14:textId="77777777" w:rsidTr="00B47E5D">
        <w:tc>
          <w:tcPr>
            <w:tcW w:w="1502" w:type="dxa"/>
            <w:vAlign w:val="bottom"/>
          </w:tcPr>
          <w:p w14:paraId="2B48CE50" w14:textId="71657380" w:rsidR="00137BB8" w:rsidRPr="005C4484" w:rsidRDefault="00137BB8" w:rsidP="00137BB8">
            <w:pPr>
              <w:jc w:val="both"/>
              <w:rPr>
                <w:rFonts w:cstheme="minorHAnsi"/>
                <w:color w:val="1D1D1D"/>
                <w:sz w:val="20"/>
                <w:szCs w:val="20"/>
                <w:shd w:val="clear" w:color="auto" w:fill="FFFFFF"/>
              </w:rPr>
            </w:pPr>
            <w:r w:rsidRPr="005C4484">
              <w:rPr>
                <w:rFonts w:cs="Courier New"/>
                <w:color w:val="000000"/>
                <w:sz w:val="20"/>
                <w:szCs w:val="20"/>
              </w:rPr>
              <w:t>Urban</w:t>
            </w:r>
          </w:p>
        </w:tc>
        <w:tc>
          <w:tcPr>
            <w:tcW w:w="1502" w:type="dxa"/>
            <w:vAlign w:val="bottom"/>
          </w:tcPr>
          <w:p w14:paraId="231F9274" w14:textId="5C0CF135" w:rsidR="00137BB8" w:rsidRPr="005C4484" w:rsidRDefault="00137BB8" w:rsidP="00137BB8">
            <w:pPr>
              <w:jc w:val="both"/>
              <w:rPr>
                <w:rFonts w:cstheme="minorHAnsi"/>
                <w:color w:val="1D1D1D"/>
                <w:sz w:val="20"/>
                <w:szCs w:val="20"/>
                <w:shd w:val="clear" w:color="auto" w:fill="FFFFFF"/>
              </w:rPr>
            </w:pPr>
            <w:r w:rsidRPr="005C4484">
              <w:rPr>
                <w:rFonts w:cs="Courier New"/>
                <w:color w:val="000000"/>
                <w:sz w:val="20"/>
                <w:szCs w:val="20"/>
              </w:rPr>
              <w:t>36.5</w:t>
            </w:r>
          </w:p>
        </w:tc>
        <w:tc>
          <w:tcPr>
            <w:tcW w:w="1503" w:type="dxa"/>
            <w:vAlign w:val="bottom"/>
          </w:tcPr>
          <w:p w14:paraId="0D42393F" w14:textId="778E53E5" w:rsidR="00137BB8" w:rsidRPr="005C4484" w:rsidRDefault="00137BB8" w:rsidP="00137BB8">
            <w:pPr>
              <w:jc w:val="both"/>
              <w:rPr>
                <w:rFonts w:cstheme="minorHAnsi"/>
                <w:color w:val="1D1D1D"/>
                <w:sz w:val="20"/>
                <w:szCs w:val="20"/>
                <w:shd w:val="clear" w:color="auto" w:fill="FFFFFF"/>
              </w:rPr>
            </w:pPr>
            <w:r w:rsidRPr="005C4484">
              <w:rPr>
                <w:rFonts w:cs="Courier New"/>
                <w:color w:val="000000"/>
                <w:sz w:val="20"/>
                <w:szCs w:val="20"/>
              </w:rPr>
              <w:t>22.4</w:t>
            </w:r>
          </w:p>
        </w:tc>
        <w:tc>
          <w:tcPr>
            <w:tcW w:w="1503" w:type="dxa"/>
            <w:vAlign w:val="bottom"/>
          </w:tcPr>
          <w:p w14:paraId="409AD5D7" w14:textId="2A3569A2" w:rsidR="00137BB8" w:rsidRPr="005C4484" w:rsidRDefault="00137BB8" w:rsidP="00137BB8">
            <w:pPr>
              <w:jc w:val="both"/>
              <w:rPr>
                <w:rFonts w:cstheme="minorHAnsi"/>
                <w:color w:val="1D1D1D"/>
                <w:sz w:val="20"/>
                <w:szCs w:val="20"/>
                <w:shd w:val="clear" w:color="auto" w:fill="FFFFFF"/>
              </w:rPr>
            </w:pPr>
            <w:r w:rsidRPr="005C4484">
              <w:rPr>
                <w:rFonts w:cs="Courier New"/>
                <w:color w:val="000000"/>
                <w:sz w:val="20"/>
                <w:szCs w:val="20"/>
              </w:rPr>
              <w:t>30.7</w:t>
            </w:r>
          </w:p>
        </w:tc>
        <w:tc>
          <w:tcPr>
            <w:tcW w:w="1503" w:type="dxa"/>
            <w:vAlign w:val="bottom"/>
          </w:tcPr>
          <w:p w14:paraId="0F0A7C8A" w14:textId="5E2245FD" w:rsidR="00137BB8" w:rsidRPr="005C4484" w:rsidRDefault="00137BB8" w:rsidP="00137BB8">
            <w:pPr>
              <w:jc w:val="both"/>
              <w:rPr>
                <w:rFonts w:cstheme="minorHAnsi"/>
                <w:color w:val="1D1D1D"/>
                <w:sz w:val="20"/>
                <w:szCs w:val="20"/>
                <w:shd w:val="clear" w:color="auto" w:fill="FFFFFF"/>
              </w:rPr>
            </w:pPr>
            <w:r w:rsidRPr="005C4484">
              <w:rPr>
                <w:rFonts w:cs="Courier New"/>
                <w:color w:val="000000"/>
                <w:sz w:val="20"/>
                <w:szCs w:val="20"/>
              </w:rPr>
              <w:t>24.2</w:t>
            </w:r>
          </w:p>
        </w:tc>
        <w:tc>
          <w:tcPr>
            <w:tcW w:w="1503" w:type="dxa"/>
            <w:vAlign w:val="bottom"/>
          </w:tcPr>
          <w:p w14:paraId="20586F09" w14:textId="63E3E874" w:rsidR="00137BB8" w:rsidRPr="005C4484" w:rsidRDefault="00137BB8" w:rsidP="00137BB8">
            <w:pPr>
              <w:jc w:val="both"/>
              <w:rPr>
                <w:rFonts w:cstheme="minorHAnsi"/>
                <w:color w:val="1D1D1D"/>
                <w:sz w:val="20"/>
                <w:szCs w:val="20"/>
                <w:shd w:val="clear" w:color="auto" w:fill="FFFFFF"/>
              </w:rPr>
            </w:pPr>
            <w:r w:rsidRPr="005C4484">
              <w:rPr>
                <w:rFonts w:cs="Courier New"/>
                <w:color w:val="000000"/>
                <w:sz w:val="20"/>
                <w:szCs w:val="20"/>
              </w:rPr>
              <w:t>17.7</w:t>
            </w:r>
          </w:p>
        </w:tc>
      </w:tr>
      <w:tr w:rsidR="00137BB8" w14:paraId="36DD0219" w14:textId="77777777" w:rsidTr="00B47E5D">
        <w:tc>
          <w:tcPr>
            <w:tcW w:w="1502" w:type="dxa"/>
            <w:vAlign w:val="bottom"/>
          </w:tcPr>
          <w:p w14:paraId="06CCA449" w14:textId="39599969" w:rsidR="00137BB8" w:rsidRPr="005C4484" w:rsidRDefault="00137BB8" w:rsidP="00137BB8">
            <w:pPr>
              <w:jc w:val="both"/>
              <w:rPr>
                <w:rFonts w:cstheme="minorHAnsi"/>
                <w:color w:val="1D1D1D"/>
                <w:sz w:val="20"/>
                <w:szCs w:val="20"/>
                <w:shd w:val="clear" w:color="auto" w:fill="FFFFFF"/>
              </w:rPr>
            </w:pPr>
            <w:r w:rsidRPr="005C4484">
              <w:rPr>
                <w:rFonts w:cs="Courier New"/>
                <w:b/>
                <w:bCs/>
                <w:color w:val="000000"/>
                <w:sz w:val="20"/>
                <w:szCs w:val="20"/>
              </w:rPr>
              <w:t>Region</w:t>
            </w:r>
          </w:p>
        </w:tc>
        <w:tc>
          <w:tcPr>
            <w:tcW w:w="1502" w:type="dxa"/>
            <w:vAlign w:val="bottom"/>
          </w:tcPr>
          <w:p w14:paraId="73C7337F" w14:textId="77777777" w:rsidR="00137BB8" w:rsidRPr="005C4484" w:rsidRDefault="00137BB8" w:rsidP="00137BB8">
            <w:pPr>
              <w:jc w:val="both"/>
              <w:rPr>
                <w:rFonts w:cstheme="minorHAnsi"/>
                <w:color w:val="1D1D1D"/>
                <w:sz w:val="20"/>
                <w:szCs w:val="20"/>
                <w:shd w:val="clear" w:color="auto" w:fill="FFFFFF"/>
              </w:rPr>
            </w:pPr>
          </w:p>
        </w:tc>
        <w:tc>
          <w:tcPr>
            <w:tcW w:w="1503" w:type="dxa"/>
            <w:vAlign w:val="bottom"/>
          </w:tcPr>
          <w:p w14:paraId="3C0F8B12" w14:textId="77777777" w:rsidR="00137BB8" w:rsidRPr="005C4484" w:rsidRDefault="00137BB8" w:rsidP="00137BB8">
            <w:pPr>
              <w:jc w:val="both"/>
              <w:rPr>
                <w:rFonts w:cstheme="minorHAnsi"/>
                <w:color w:val="1D1D1D"/>
                <w:sz w:val="20"/>
                <w:szCs w:val="20"/>
                <w:shd w:val="clear" w:color="auto" w:fill="FFFFFF"/>
              </w:rPr>
            </w:pPr>
          </w:p>
        </w:tc>
        <w:tc>
          <w:tcPr>
            <w:tcW w:w="1503" w:type="dxa"/>
            <w:vAlign w:val="bottom"/>
          </w:tcPr>
          <w:p w14:paraId="3B56F5CD" w14:textId="77777777" w:rsidR="00137BB8" w:rsidRPr="005C4484" w:rsidRDefault="00137BB8" w:rsidP="00137BB8">
            <w:pPr>
              <w:jc w:val="both"/>
              <w:rPr>
                <w:rFonts w:cstheme="minorHAnsi"/>
                <w:color w:val="1D1D1D"/>
                <w:sz w:val="20"/>
                <w:szCs w:val="20"/>
                <w:shd w:val="clear" w:color="auto" w:fill="FFFFFF"/>
              </w:rPr>
            </w:pPr>
          </w:p>
        </w:tc>
        <w:tc>
          <w:tcPr>
            <w:tcW w:w="1503" w:type="dxa"/>
            <w:vAlign w:val="bottom"/>
          </w:tcPr>
          <w:p w14:paraId="12207F29" w14:textId="77777777" w:rsidR="00137BB8" w:rsidRPr="005C4484" w:rsidRDefault="00137BB8" w:rsidP="00137BB8">
            <w:pPr>
              <w:jc w:val="both"/>
              <w:rPr>
                <w:rFonts w:cstheme="minorHAnsi"/>
                <w:color w:val="1D1D1D"/>
                <w:sz w:val="20"/>
                <w:szCs w:val="20"/>
                <w:shd w:val="clear" w:color="auto" w:fill="FFFFFF"/>
              </w:rPr>
            </w:pPr>
          </w:p>
        </w:tc>
        <w:tc>
          <w:tcPr>
            <w:tcW w:w="1503" w:type="dxa"/>
            <w:vAlign w:val="bottom"/>
          </w:tcPr>
          <w:p w14:paraId="03BAF887" w14:textId="77777777" w:rsidR="00137BB8" w:rsidRPr="005C4484" w:rsidRDefault="00137BB8" w:rsidP="00137BB8">
            <w:pPr>
              <w:jc w:val="both"/>
              <w:rPr>
                <w:rFonts w:cstheme="minorHAnsi"/>
                <w:color w:val="1D1D1D"/>
                <w:sz w:val="20"/>
                <w:szCs w:val="20"/>
                <w:shd w:val="clear" w:color="auto" w:fill="FFFFFF"/>
              </w:rPr>
            </w:pPr>
          </w:p>
        </w:tc>
      </w:tr>
      <w:tr w:rsidR="00137BB8" w14:paraId="51F7E701" w14:textId="77777777" w:rsidTr="00B47E5D">
        <w:tc>
          <w:tcPr>
            <w:tcW w:w="1502" w:type="dxa"/>
            <w:vAlign w:val="bottom"/>
          </w:tcPr>
          <w:p w14:paraId="57A6559E" w14:textId="3D5F20DE" w:rsidR="00137BB8" w:rsidRPr="005C4484" w:rsidRDefault="00137BB8" w:rsidP="00137BB8">
            <w:pPr>
              <w:jc w:val="both"/>
              <w:rPr>
                <w:rFonts w:cstheme="minorHAnsi"/>
                <w:color w:val="1D1D1D"/>
                <w:sz w:val="20"/>
                <w:szCs w:val="20"/>
                <w:shd w:val="clear" w:color="auto" w:fill="FFFFFF"/>
              </w:rPr>
            </w:pPr>
            <w:r w:rsidRPr="005C4484">
              <w:rPr>
                <w:rFonts w:cs="Courier New"/>
                <w:color w:val="000000"/>
                <w:sz w:val="20"/>
                <w:szCs w:val="20"/>
              </w:rPr>
              <w:t>Central</w:t>
            </w:r>
          </w:p>
        </w:tc>
        <w:tc>
          <w:tcPr>
            <w:tcW w:w="1502" w:type="dxa"/>
            <w:vAlign w:val="bottom"/>
          </w:tcPr>
          <w:p w14:paraId="232F74C1" w14:textId="057CC8AE" w:rsidR="00137BB8" w:rsidRPr="005C4484" w:rsidRDefault="00137BB8" w:rsidP="00137BB8">
            <w:pPr>
              <w:jc w:val="both"/>
              <w:rPr>
                <w:rFonts w:cstheme="minorHAnsi"/>
                <w:color w:val="1D1D1D"/>
                <w:sz w:val="20"/>
                <w:szCs w:val="20"/>
                <w:shd w:val="clear" w:color="auto" w:fill="FFFFFF"/>
              </w:rPr>
            </w:pPr>
            <w:r w:rsidRPr="005C4484">
              <w:rPr>
                <w:rFonts w:cs="Courier New"/>
                <w:color w:val="000000"/>
                <w:sz w:val="20"/>
                <w:szCs w:val="20"/>
              </w:rPr>
              <w:t>51.8</w:t>
            </w:r>
          </w:p>
        </w:tc>
        <w:tc>
          <w:tcPr>
            <w:tcW w:w="1503" w:type="dxa"/>
            <w:vAlign w:val="bottom"/>
          </w:tcPr>
          <w:p w14:paraId="6E9EC83B" w14:textId="1F2B817F" w:rsidR="00137BB8" w:rsidRPr="005C4484" w:rsidRDefault="00137BB8" w:rsidP="00137BB8">
            <w:pPr>
              <w:jc w:val="both"/>
              <w:rPr>
                <w:rFonts w:cstheme="minorHAnsi"/>
                <w:color w:val="1D1D1D"/>
                <w:sz w:val="20"/>
                <w:szCs w:val="20"/>
                <w:shd w:val="clear" w:color="auto" w:fill="FFFFFF"/>
              </w:rPr>
            </w:pPr>
            <w:r w:rsidRPr="005C4484">
              <w:rPr>
                <w:rFonts w:cs="Courier New"/>
                <w:color w:val="000000"/>
                <w:sz w:val="20"/>
                <w:szCs w:val="20"/>
              </w:rPr>
              <w:t>39.2</w:t>
            </w:r>
          </w:p>
        </w:tc>
        <w:tc>
          <w:tcPr>
            <w:tcW w:w="1503" w:type="dxa"/>
            <w:vAlign w:val="bottom"/>
          </w:tcPr>
          <w:p w14:paraId="5C748182" w14:textId="6313A726" w:rsidR="00137BB8" w:rsidRPr="005C4484" w:rsidRDefault="00137BB8" w:rsidP="00137BB8">
            <w:pPr>
              <w:jc w:val="both"/>
              <w:rPr>
                <w:rFonts w:cstheme="minorHAnsi"/>
                <w:color w:val="1D1D1D"/>
                <w:sz w:val="20"/>
                <w:szCs w:val="20"/>
                <w:shd w:val="clear" w:color="auto" w:fill="FFFFFF"/>
              </w:rPr>
            </w:pPr>
            <w:r w:rsidRPr="005C4484">
              <w:rPr>
                <w:rFonts w:cs="Courier New"/>
                <w:color w:val="000000"/>
                <w:sz w:val="20"/>
                <w:szCs w:val="20"/>
              </w:rPr>
              <w:t>32.4</w:t>
            </w:r>
          </w:p>
        </w:tc>
        <w:tc>
          <w:tcPr>
            <w:tcW w:w="1503" w:type="dxa"/>
            <w:vAlign w:val="bottom"/>
          </w:tcPr>
          <w:p w14:paraId="7C993EA6" w14:textId="0400379F" w:rsidR="00137BB8" w:rsidRPr="005C4484" w:rsidRDefault="00137BB8" w:rsidP="00137BB8">
            <w:pPr>
              <w:jc w:val="both"/>
              <w:rPr>
                <w:rFonts w:cstheme="minorHAnsi"/>
                <w:color w:val="1D1D1D"/>
                <w:sz w:val="20"/>
                <w:szCs w:val="20"/>
                <w:shd w:val="clear" w:color="auto" w:fill="FFFFFF"/>
              </w:rPr>
            </w:pPr>
            <w:r w:rsidRPr="005C4484">
              <w:rPr>
                <w:rFonts w:cs="Courier New"/>
                <w:color w:val="000000"/>
                <w:sz w:val="20"/>
                <w:szCs w:val="20"/>
              </w:rPr>
              <w:t>35.9</w:t>
            </w:r>
          </w:p>
        </w:tc>
        <w:tc>
          <w:tcPr>
            <w:tcW w:w="1503" w:type="dxa"/>
            <w:vAlign w:val="bottom"/>
          </w:tcPr>
          <w:p w14:paraId="1E057220" w14:textId="176287EF" w:rsidR="00137BB8" w:rsidRPr="005C4484" w:rsidRDefault="00137BB8" w:rsidP="00137BB8">
            <w:pPr>
              <w:jc w:val="both"/>
              <w:rPr>
                <w:rFonts w:cstheme="minorHAnsi"/>
                <w:color w:val="1D1D1D"/>
                <w:sz w:val="20"/>
                <w:szCs w:val="20"/>
                <w:shd w:val="clear" w:color="auto" w:fill="FFFFFF"/>
              </w:rPr>
            </w:pPr>
            <w:r w:rsidRPr="005C4484">
              <w:rPr>
                <w:rFonts w:cs="Courier New"/>
                <w:color w:val="000000"/>
                <w:sz w:val="20"/>
                <w:szCs w:val="20"/>
              </w:rPr>
              <w:t>23.5</w:t>
            </w:r>
          </w:p>
        </w:tc>
      </w:tr>
      <w:tr w:rsidR="00137BB8" w14:paraId="157E68C5" w14:textId="77777777" w:rsidTr="00B47E5D">
        <w:tc>
          <w:tcPr>
            <w:tcW w:w="1502" w:type="dxa"/>
            <w:vAlign w:val="bottom"/>
          </w:tcPr>
          <w:p w14:paraId="2E65DFBD" w14:textId="3A05A601" w:rsidR="00137BB8" w:rsidRPr="005C4484" w:rsidRDefault="00137BB8" w:rsidP="00137BB8">
            <w:pPr>
              <w:jc w:val="both"/>
              <w:rPr>
                <w:rFonts w:cstheme="minorHAnsi"/>
                <w:color w:val="1D1D1D"/>
                <w:sz w:val="20"/>
                <w:szCs w:val="20"/>
                <w:shd w:val="clear" w:color="auto" w:fill="FFFFFF"/>
              </w:rPr>
            </w:pPr>
            <w:r w:rsidRPr="005C4484">
              <w:rPr>
                <w:rFonts w:cs="Courier New"/>
                <w:color w:val="000000"/>
                <w:sz w:val="20"/>
                <w:szCs w:val="20"/>
              </w:rPr>
              <w:t>Eastern</w:t>
            </w:r>
          </w:p>
        </w:tc>
        <w:tc>
          <w:tcPr>
            <w:tcW w:w="1502" w:type="dxa"/>
            <w:vAlign w:val="bottom"/>
          </w:tcPr>
          <w:p w14:paraId="15452F5A" w14:textId="05BE4776" w:rsidR="00137BB8" w:rsidRPr="005C4484" w:rsidRDefault="00137BB8" w:rsidP="00137BB8">
            <w:pPr>
              <w:jc w:val="both"/>
              <w:rPr>
                <w:rFonts w:cstheme="minorHAnsi"/>
                <w:color w:val="1D1D1D"/>
                <w:sz w:val="20"/>
                <w:szCs w:val="20"/>
                <w:shd w:val="clear" w:color="auto" w:fill="FFFFFF"/>
              </w:rPr>
            </w:pPr>
            <w:r w:rsidRPr="005C4484">
              <w:rPr>
                <w:rFonts w:cs="Courier New"/>
                <w:color w:val="000000"/>
                <w:sz w:val="20"/>
                <w:szCs w:val="20"/>
              </w:rPr>
              <w:t>49.1</w:t>
            </w:r>
          </w:p>
        </w:tc>
        <w:tc>
          <w:tcPr>
            <w:tcW w:w="1503" w:type="dxa"/>
            <w:vAlign w:val="bottom"/>
          </w:tcPr>
          <w:p w14:paraId="1A36536F" w14:textId="6FC83E33" w:rsidR="00137BB8" w:rsidRPr="005C4484" w:rsidRDefault="00137BB8" w:rsidP="00137BB8">
            <w:pPr>
              <w:jc w:val="both"/>
              <w:rPr>
                <w:rFonts w:cstheme="minorHAnsi"/>
                <w:color w:val="1D1D1D"/>
                <w:sz w:val="20"/>
                <w:szCs w:val="20"/>
                <w:shd w:val="clear" w:color="auto" w:fill="FFFFFF"/>
              </w:rPr>
            </w:pPr>
            <w:r w:rsidRPr="005C4484">
              <w:rPr>
                <w:rFonts w:cs="Courier New"/>
                <w:color w:val="000000"/>
                <w:sz w:val="20"/>
                <w:szCs w:val="20"/>
              </w:rPr>
              <w:t>39.3</w:t>
            </w:r>
          </w:p>
        </w:tc>
        <w:tc>
          <w:tcPr>
            <w:tcW w:w="1503" w:type="dxa"/>
            <w:vAlign w:val="bottom"/>
          </w:tcPr>
          <w:p w14:paraId="312B8498" w14:textId="70071D8A" w:rsidR="00137BB8" w:rsidRPr="005C4484" w:rsidRDefault="00137BB8" w:rsidP="00137BB8">
            <w:pPr>
              <w:jc w:val="both"/>
              <w:rPr>
                <w:rFonts w:cstheme="minorHAnsi"/>
                <w:color w:val="1D1D1D"/>
                <w:sz w:val="20"/>
                <w:szCs w:val="20"/>
                <w:shd w:val="clear" w:color="auto" w:fill="FFFFFF"/>
              </w:rPr>
            </w:pPr>
            <w:r w:rsidRPr="005C4484">
              <w:rPr>
                <w:rFonts w:cs="Courier New"/>
                <w:color w:val="000000"/>
                <w:sz w:val="20"/>
                <w:szCs w:val="20"/>
              </w:rPr>
              <w:t>34.8</w:t>
            </w:r>
          </w:p>
        </w:tc>
        <w:tc>
          <w:tcPr>
            <w:tcW w:w="1503" w:type="dxa"/>
            <w:vAlign w:val="bottom"/>
          </w:tcPr>
          <w:p w14:paraId="6D8A88B1" w14:textId="5C053071" w:rsidR="00137BB8" w:rsidRPr="005C4484" w:rsidRDefault="00137BB8" w:rsidP="00137BB8">
            <w:pPr>
              <w:jc w:val="both"/>
              <w:rPr>
                <w:rFonts w:cstheme="minorHAnsi"/>
                <w:color w:val="1D1D1D"/>
                <w:sz w:val="20"/>
                <w:szCs w:val="20"/>
                <w:shd w:val="clear" w:color="auto" w:fill="FFFFFF"/>
              </w:rPr>
            </w:pPr>
            <w:r w:rsidRPr="005C4484">
              <w:rPr>
                <w:rFonts w:cs="Courier New"/>
                <w:color w:val="000000"/>
                <w:sz w:val="20"/>
                <w:szCs w:val="20"/>
              </w:rPr>
              <w:t>37.7</w:t>
            </w:r>
          </w:p>
        </w:tc>
        <w:tc>
          <w:tcPr>
            <w:tcW w:w="1503" w:type="dxa"/>
            <w:vAlign w:val="bottom"/>
          </w:tcPr>
          <w:p w14:paraId="76AAE775" w14:textId="4E203BE3" w:rsidR="00137BB8" w:rsidRPr="005C4484" w:rsidRDefault="00137BB8" w:rsidP="00137BB8">
            <w:pPr>
              <w:jc w:val="both"/>
              <w:rPr>
                <w:rFonts w:cstheme="minorHAnsi"/>
                <w:color w:val="1D1D1D"/>
                <w:sz w:val="20"/>
                <w:szCs w:val="20"/>
                <w:shd w:val="clear" w:color="auto" w:fill="FFFFFF"/>
              </w:rPr>
            </w:pPr>
            <w:r w:rsidRPr="005C4484">
              <w:rPr>
                <w:rFonts w:cs="Courier New"/>
                <w:color w:val="000000"/>
                <w:sz w:val="20"/>
                <w:szCs w:val="20"/>
              </w:rPr>
              <w:t>19.9</w:t>
            </w:r>
          </w:p>
        </w:tc>
      </w:tr>
      <w:tr w:rsidR="00137BB8" w14:paraId="03357B92" w14:textId="77777777" w:rsidTr="00B47E5D">
        <w:tc>
          <w:tcPr>
            <w:tcW w:w="1502" w:type="dxa"/>
            <w:vAlign w:val="bottom"/>
          </w:tcPr>
          <w:p w14:paraId="2D860B62" w14:textId="45A64F54" w:rsidR="00137BB8" w:rsidRPr="005C4484" w:rsidRDefault="00137BB8" w:rsidP="00137BB8">
            <w:pPr>
              <w:jc w:val="both"/>
              <w:rPr>
                <w:rFonts w:cstheme="minorHAnsi"/>
                <w:color w:val="1D1D1D"/>
                <w:sz w:val="20"/>
                <w:szCs w:val="20"/>
                <w:shd w:val="clear" w:color="auto" w:fill="FFFFFF"/>
              </w:rPr>
            </w:pPr>
            <w:r w:rsidRPr="005C4484">
              <w:rPr>
                <w:rFonts w:cs="Courier New"/>
                <w:color w:val="000000"/>
                <w:sz w:val="20"/>
                <w:szCs w:val="20"/>
              </w:rPr>
              <w:t>Northern</w:t>
            </w:r>
          </w:p>
        </w:tc>
        <w:tc>
          <w:tcPr>
            <w:tcW w:w="1502" w:type="dxa"/>
            <w:vAlign w:val="bottom"/>
          </w:tcPr>
          <w:p w14:paraId="0A6F82D3" w14:textId="183E1785" w:rsidR="00137BB8" w:rsidRPr="005C4484" w:rsidRDefault="00137BB8" w:rsidP="00137BB8">
            <w:pPr>
              <w:jc w:val="both"/>
              <w:rPr>
                <w:rFonts w:cstheme="minorHAnsi"/>
                <w:color w:val="1D1D1D"/>
                <w:sz w:val="20"/>
                <w:szCs w:val="20"/>
                <w:shd w:val="clear" w:color="auto" w:fill="FFFFFF"/>
              </w:rPr>
            </w:pPr>
            <w:r w:rsidRPr="005C4484">
              <w:rPr>
                <w:rFonts w:cs="Courier New"/>
                <w:color w:val="000000"/>
                <w:sz w:val="20"/>
                <w:szCs w:val="20"/>
              </w:rPr>
              <w:t>73</w:t>
            </w:r>
          </w:p>
        </w:tc>
        <w:tc>
          <w:tcPr>
            <w:tcW w:w="1503" w:type="dxa"/>
            <w:vAlign w:val="bottom"/>
          </w:tcPr>
          <w:p w14:paraId="72FA926B" w14:textId="2119002B" w:rsidR="00137BB8" w:rsidRPr="005C4484" w:rsidRDefault="00137BB8" w:rsidP="00137BB8">
            <w:pPr>
              <w:jc w:val="both"/>
              <w:rPr>
                <w:rFonts w:cstheme="minorHAnsi"/>
                <w:color w:val="1D1D1D"/>
                <w:sz w:val="20"/>
                <w:szCs w:val="20"/>
                <w:shd w:val="clear" w:color="auto" w:fill="FFFFFF"/>
              </w:rPr>
            </w:pPr>
            <w:r w:rsidRPr="005C4484">
              <w:rPr>
                <w:rFonts w:cs="Courier New"/>
                <w:color w:val="000000"/>
                <w:sz w:val="20"/>
                <w:szCs w:val="20"/>
              </w:rPr>
              <w:t>50.7</w:t>
            </w:r>
          </w:p>
        </w:tc>
        <w:tc>
          <w:tcPr>
            <w:tcW w:w="1503" w:type="dxa"/>
            <w:vAlign w:val="bottom"/>
          </w:tcPr>
          <w:p w14:paraId="11D014CD" w14:textId="57282399" w:rsidR="00137BB8" w:rsidRPr="005C4484" w:rsidRDefault="00137BB8" w:rsidP="00137BB8">
            <w:pPr>
              <w:jc w:val="both"/>
              <w:rPr>
                <w:rFonts w:cstheme="minorHAnsi"/>
                <w:color w:val="1D1D1D"/>
                <w:sz w:val="20"/>
                <w:szCs w:val="20"/>
                <w:shd w:val="clear" w:color="auto" w:fill="FFFFFF"/>
              </w:rPr>
            </w:pPr>
            <w:r w:rsidRPr="005C4484">
              <w:rPr>
                <w:rFonts w:cs="Courier New"/>
                <w:color w:val="000000"/>
                <w:sz w:val="20"/>
                <w:szCs w:val="20"/>
              </w:rPr>
              <w:t>26.8</w:t>
            </w:r>
          </w:p>
        </w:tc>
        <w:tc>
          <w:tcPr>
            <w:tcW w:w="1503" w:type="dxa"/>
            <w:vAlign w:val="bottom"/>
          </w:tcPr>
          <w:p w14:paraId="76BAAEBF" w14:textId="39EA8457" w:rsidR="00137BB8" w:rsidRPr="005C4484" w:rsidRDefault="00137BB8" w:rsidP="00137BB8">
            <w:pPr>
              <w:jc w:val="both"/>
              <w:rPr>
                <w:rFonts w:cstheme="minorHAnsi"/>
                <w:color w:val="1D1D1D"/>
                <w:sz w:val="20"/>
                <w:szCs w:val="20"/>
                <w:shd w:val="clear" w:color="auto" w:fill="FFFFFF"/>
              </w:rPr>
            </w:pPr>
            <w:r w:rsidRPr="005C4484">
              <w:rPr>
                <w:rFonts w:cs="Courier New"/>
                <w:color w:val="000000"/>
                <w:sz w:val="20"/>
                <w:szCs w:val="20"/>
              </w:rPr>
              <w:t>46.6</w:t>
            </w:r>
          </w:p>
        </w:tc>
        <w:tc>
          <w:tcPr>
            <w:tcW w:w="1503" w:type="dxa"/>
            <w:vAlign w:val="bottom"/>
          </w:tcPr>
          <w:p w14:paraId="72CED104" w14:textId="74E3DCB0" w:rsidR="00137BB8" w:rsidRPr="005C4484" w:rsidRDefault="00137BB8" w:rsidP="00137BB8">
            <w:pPr>
              <w:jc w:val="both"/>
              <w:rPr>
                <w:rFonts w:cstheme="minorHAnsi"/>
                <w:color w:val="1D1D1D"/>
                <w:sz w:val="20"/>
                <w:szCs w:val="20"/>
                <w:shd w:val="clear" w:color="auto" w:fill="FFFFFF"/>
              </w:rPr>
            </w:pPr>
            <w:r w:rsidRPr="005C4484">
              <w:rPr>
                <w:rFonts w:cs="Courier New"/>
                <w:color w:val="000000"/>
                <w:sz w:val="20"/>
                <w:szCs w:val="20"/>
              </w:rPr>
              <w:t>51.8</w:t>
            </w:r>
          </w:p>
        </w:tc>
      </w:tr>
      <w:tr w:rsidR="00137BB8" w14:paraId="66C91F00" w14:textId="77777777" w:rsidTr="00B47E5D">
        <w:tc>
          <w:tcPr>
            <w:tcW w:w="1502" w:type="dxa"/>
            <w:vAlign w:val="bottom"/>
          </w:tcPr>
          <w:p w14:paraId="35D23FEB" w14:textId="64963908" w:rsidR="00137BB8" w:rsidRPr="005C4484" w:rsidRDefault="00137BB8" w:rsidP="00137BB8">
            <w:pPr>
              <w:jc w:val="both"/>
              <w:rPr>
                <w:rFonts w:cstheme="minorHAnsi"/>
                <w:color w:val="1D1D1D"/>
                <w:sz w:val="20"/>
                <w:szCs w:val="20"/>
                <w:shd w:val="clear" w:color="auto" w:fill="FFFFFF"/>
              </w:rPr>
            </w:pPr>
            <w:r w:rsidRPr="005C4484">
              <w:rPr>
                <w:rFonts w:cs="Courier New"/>
                <w:color w:val="000000"/>
                <w:sz w:val="20"/>
                <w:szCs w:val="20"/>
              </w:rPr>
              <w:t>Western</w:t>
            </w:r>
          </w:p>
        </w:tc>
        <w:tc>
          <w:tcPr>
            <w:tcW w:w="1502" w:type="dxa"/>
            <w:vAlign w:val="bottom"/>
          </w:tcPr>
          <w:p w14:paraId="5DEAF6D5" w14:textId="7216D3BA" w:rsidR="00137BB8" w:rsidRPr="005C4484" w:rsidRDefault="00137BB8" w:rsidP="00137BB8">
            <w:pPr>
              <w:jc w:val="both"/>
              <w:rPr>
                <w:rFonts w:cstheme="minorHAnsi"/>
                <w:color w:val="1D1D1D"/>
                <w:sz w:val="20"/>
                <w:szCs w:val="20"/>
                <w:shd w:val="clear" w:color="auto" w:fill="FFFFFF"/>
              </w:rPr>
            </w:pPr>
            <w:r w:rsidRPr="005C4484">
              <w:rPr>
                <w:rFonts w:cs="Courier New"/>
                <w:color w:val="000000"/>
                <w:sz w:val="20"/>
                <w:szCs w:val="20"/>
              </w:rPr>
              <w:t>51</w:t>
            </w:r>
          </w:p>
        </w:tc>
        <w:tc>
          <w:tcPr>
            <w:tcW w:w="1503" w:type="dxa"/>
            <w:vAlign w:val="bottom"/>
          </w:tcPr>
          <w:p w14:paraId="1A0C3FC5" w14:textId="70C56F05" w:rsidR="00137BB8" w:rsidRPr="005C4484" w:rsidRDefault="00137BB8" w:rsidP="00137BB8">
            <w:pPr>
              <w:jc w:val="both"/>
              <w:rPr>
                <w:rFonts w:cstheme="minorHAnsi"/>
                <w:color w:val="1D1D1D"/>
                <w:sz w:val="20"/>
                <w:szCs w:val="20"/>
                <w:shd w:val="clear" w:color="auto" w:fill="FFFFFF"/>
              </w:rPr>
            </w:pPr>
            <w:r w:rsidRPr="005C4484">
              <w:rPr>
                <w:rFonts w:cs="Courier New"/>
                <w:color w:val="000000"/>
                <w:sz w:val="20"/>
                <w:szCs w:val="20"/>
              </w:rPr>
              <w:t>25.1</w:t>
            </w:r>
          </w:p>
        </w:tc>
        <w:tc>
          <w:tcPr>
            <w:tcW w:w="1503" w:type="dxa"/>
            <w:vAlign w:val="bottom"/>
          </w:tcPr>
          <w:p w14:paraId="62F71BBE" w14:textId="6140F4BF" w:rsidR="00137BB8" w:rsidRPr="005C4484" w:rsidRDefault="00137BB8" w:rsidP="00137BB8">
            <w:pPr>
              <w:jc w:val="both"/>
              <w:rPr>
                <w:rFonts w:cstheme="minorHAnsi"/>
                <w:color w:val="1D1D1D"/>
                <w:sz w:val="20"/>
                <w:szCs w:val="20"/>
                <w:shd w:val="clear" w:color="auto" w:fill="FFFFFF"/>
              </w:rPr>
            </w:pPr>
            <w:r w:rsidRPr="005C4484">
              <w:rPr>
                <w:rFonts w:cs="Courier New"/>
                <w:color w:val="000000"/>
                <w:sz w:val="20"/>
                <w:szCs w:val="20"/>
              </w:rPr>
              <w:t>34.5</w:t>
            </w:r>
          </w:p>
        </w:tc>
        <w:tc>
          <w:tcPr>
            <w:tcW w:w="1503" w:type="dxa"/>
            <w:vAlign w:val="bottom"/>
          </w:tcPr>
          <w:p w14:paraId="3CF02430" w14:textId="13FA2CD0" w:rsidR="00137BB8" w:rsidRPr="005C4484" w:rsidRDefault="00137BB8" w:rsidP="00137BB8">
            <w:pPr>
              <w:jc w:val="both"/>
              <w:rPr>
                <w:rFonts w:cstheme="minorHAnsi"/>
                <w:color w:val="1D1D1D"/>
                <w:sz w:val="20"/>
                <w:szCs w:val="20"/>
                <w:shd w:val="clear" w:color="auto" w:fill="FFFFFF"/>
              </w:rPr>
            </w:pPr>
            <w:r w:rsidRPr="005C4484">
              <w:rPr>
                <w:rFonts w:cs="Courier New"/>
                <w:color w:val="000000"/>
                <w:sz w:val="20"/>
                <w:szCs w:val="20"/>
              </w:rPr>
              <w:t>41.8</w:t>
            </w:r>
          </w:p>
        </w:tc>
        <w:tc>
          <w:tcPr>
            <w:tcW w:w="1503" w:type="dxa"/>
            <w:vAlign w:val="bottom"/>
          </w:tcPr>
          <w:p w14:paraId="63A908F2" w14:textId="7F95F0D7" w:rsidR="00137BB8" w:rsidRPr="005C4484" w:rsidRDefault="00137BB8" w:rsidP="00137BB8">
            <w:pPr>
              <w:jc w:val="both"/>
              <w:rPr>
                <w:rFonts w:cstheme="minorHAnsi"/>
                <w:color w:val="1D1D1D"/>
                <w:sz w:val="20"/>
                <w:szCs w:val="20"/>
                <w:shd w:val="clear" w:color="auto" w:fill="FFFFFF"/>
              </w:rPr>
            </w:pPr>
            <w:r w:rsidRPr="005C4484">
              <w:rPr>
                <w:rFonts w:cs="Courier New"/>
                <w:color w:val="000000"/>
                <w:sz w:val="20"/>
                <w:szCs w:val="20"/>
              </w:rPr>
              <w:t>17.5</w:t>
            </w:r>
          </w:p>
        </w:tc>
      </w:tr>
    </w:tbl>
    <w:p w14:paraId="0C446EC1" w14:textId="75C54C2B" w:rsidR="00137BB8" w:rsidRDefault="00137BB8" w:rsidP="00067344">
      <w:pPr>
        <w:spacing w:line="240" w:lineRule="auto"/>
        <w:jc w:val="both"/>
        <w:rPr>
          <w:rFonts w:cstheme="minorHAnsi"/>
          <w:color w:val="1D1D1D"/>
          <w:sz w:val="20"/>
          <w:szCs w:val="20"/>
          <w:shd w:val="clear" w:color="auto" w:fill="FFFFFF"/>
        </w:rPr>
      </w:pPr>
    </w:p>
    <w:p w14:paraId="2E9CF6B7" w14:textId="77777777" w:rsidR="009442CF" w:rsidRDefault="009442CF" w:rsidP="009442CF">
      <w:pPr>
        <w:spacing w:line="240" w:lineRule="auto"/>
        <w:jc w:val="both"/>
        <w:rPr>
          <w:rFonts w:cstheme="minorHAnsi"/>
          <w:color w:val="1D1D1D"/>
          <w:szCs w:val="24"/>
          <w:shd w:val="clear" w:color="auto" w:fill="FFFFFF"/>
        </w:rPr>
      </w:pPr>
      <w:r>
        <w:rPr>
          <w:rFonts w:cstheme="minorHAnsi"/>
          <w:color w:val="1D1D1D"/>
          <w:szCs w:val="24"/>
          <w:shd w:val="clear" w:color="auto" w:fill="FFFFFF"/>
        </w:rPr>
        <w:t xml:space="preserve">The Ugandan population is growing at an alarming rate and it does not seem as if a situation of a stable food supply to all households is going to be achieved soon, especially in the northern areas. </w:t>
      </w:r>
    </w:p>
    <w:p w14:paraId="51DAF07C" w14:textId="68A7FE24" w:rsidR="00C831DA" w:rsidRPr="00C831DA" w:rsidRDefault="00C831DA" w:rsidP="00C831DA">
      <w:pPr>
        <w:pStyle w:val="Heading1"/>
        <w:rPr>
          <w:b w:val="0"/>
          <w:shd w:val="clear" w:color="auto" w:fill="FFFFFF"/>
        </w:rPr>
      </w:pPr>
      <w:bookmarkStart w:id="11" w:name="_Toc525042484"/>
      <w:r w:rsidRPr="00C831DA">
        <w:rPr>
          <w:shd w:val="clear" w:color="auto" w:fill="FFFFFF"/>
        </w:rPr>
        <w:t xml:space="preserve">Climate change in </w:t>
      </w:r>
      <w:r w:rsidR="00936BAC">
        <w:rPr>
          <w:shd w:val="clear" w:color="auto" w:fill="FFFFFF"/>
        </w:rPr>
        <w:t>E</w:t>
      </w:r>
      <w:r w:rsidRPr="00C831DA">
        <w:rPr>
          <w:shd w:val="clear" w:color="auto" w:fill="FFFFFF"/>
        </w:rPr>
        <w:t>ast Africa</w:t>
      </w:r>
      <w:r w:rsidR="001C37F3">
        <w:rPr>
          <w:shd w:val="clear" w:color="auto" w:fill="FFFFFF"/>
        </w:rPr>
        <w:t xml:space="preserve"> and its likely effects on certain agricultural crops in Uganda</w:t>
      </w:r>
      <w:bookmarkEnd w:id="11"/>
    </w:p>
    <w:p w14:paraId="4EE64BF0" w14:textId="57790F15" w:rsidR="000B543A" w:rsidRPr="00232DC0" w:rsidRDefault="000B543A" w:rsidP="006B3306">
      <w:pPr>
        <w:jc w:val="both"/>
      </w:pPr>
      <w:r>
        <w:t>According to Hepworth (2010)</w:t>
      </w:r>
      <w:r w:rsidR="00847971">
        <w:t xml:space="preserve">, </w:t>
      </w:r>
      <w:r w:rsidR="00267BE8">
        <w:t>“</w:t>
      </w:r>
      <w:r w:rsidR="00847971">
        <w:t>the</w:t>
      </w:r>
      <w:r>
        <w:t xml:space="preserve"> Uganda</w:t>
      </w:r>
      <w:r w:rsidR="00267BE8">
        <w:t>n</w:t>
      </w:r>
      <w:r>
        <w:t xml:space="preserve"> economy and the wellbeing of its population are particularly vulnerable to climate change and this is evidenced by the widespread damage and hardship imposed by regular drought and extreme rainfall events under current climate variability” (p.13).</w:t>
      </w:r>
    </w:p>
    <w:p w14:paraId="3E1445AF" w14:textId="6902C549" w:rsidR="00C831DA" w:rsidRDefault="00C831DA" w:rsidP="00067344">
      <w:pPr>
        <w:spacing w:line="240" w:lineRule="auto"/>
        <w:jc w:val="both"/>
      </w:pPr>
      <w:r>
        <w:t xml:space="preserve">In </w:t>
      </w:r>
      <w:r w:rsidR="00847971">
        <w:t xml:space="preserve">the modelling reported in Sections 5 and 6, </w:t>
      </w:r>
      <w:r>
        <w:t>we us</w:t>
      </w:r>
      <w:r w:rsidR="00DF1BC9">
        <w:t>e</w:t>
      </w:r>
      <w:r>
        <w:t xml:space="preserve"> a CGE model of Uganda </w:t>
      </w:r>
      <w:r w:rsidR="00847971">
        <w:t>t</w:t>
      </w:r>
      <w:r w:rsidR="00DF1BC9">
        <w:t>o simulate</w:t>
      </w:r>
      <w:r>
        <w:t xml:space="preserve"> a </w:t>
      </w:r>
      <w:r w:rsidR="00847971">
        <w:t>climate-change (</w:t>
      </w:r>
      <w:r>
        <w:t>pessimistic</w:t>
      </w:r>
      <w:r w:rsidR="00847971">
        <w:t>)</w:t>
      </w:r>
      <w:r>
        <w:t xml:space="preserve"> scenario for the main crops of Uganda. </w:t>
      </w:r>
      <w:r w:rsidR="00847971">
        <w:t>The main inputs to the simulation are p</w:t>
      </w:r>
      <w:r>
        <w:t>redictions from the literature</w:t>
      </w:r>
      <w:r w:rsidR="00F40B1C">
        <w:t xml:space="preserve"> on possible agricultural output changes by 2050 in different crops.</w:t>
      </w:r>
    </w:p>
    <w:p w14:paraId="26ED2C42" w14:textId="77777777" w:rsidR="00F40B1C" w:rsidRPr="009B53C0" w:rsidRDefault="00F40B1C" w:rsidP="00F40B1C">
      <w:pPr>
        <w:pStyle w:val="Heading2"/>
      </w:pPr>
      <w:bookmarkStart w:id="12" w:name="_Toc525042485"/>
      <w:r w:rsidRPr="009B53C0">
        <w:t>Bananas</w:t>
      </w:r>
      <w:bookmarkEnd w:id="12"/>
    </w:p>
    <w:p w14:paraId="73C79E17" w14:textId="5460C084" w:rsidR="00F40B1C" w:rsidRPr="009B53C0" w:rsidRDefault="00F40B1C" w:rsidP="00067344">
      <w:pPr>
        <w:jc w:val="both"/>
        <w:rPr>
          <w:color w:val="1F1F1F"/>
          <w:shd w:val="clear" w:color="auto" w:fill="FFFFFF"/>
        </w:rPr>
      </w:pPr>
      <w:r>
        <w:rPr>
          <w:color w:val="1F1F1F"/>
          <w:shd w:val="clear" w:color="auto" w:fill="FFFFFF"/>
        </w:rPr>
        <w:t xml:space="preserve">According to </w:t>
      </w:r>
      <w:r w:rsidR="00847971">
        <w:rPr>
          <w:color w:val="1F1F1F"/>
          <w:shd w:val="clear" w:color="auto" w:fill="FFFFFF"/>
        </w:rPr>
        <w:t xml:space="preserve">the </w:t>
      </w:r>
      <w:r>
        <w:rPr>
          <w:color w:val="1F1F1F"/>
          <w:shd w:val="clear" w:color="auto" w:fill="FFFFFF"/>
        </w:rPr>
        <w:t xml:space="preserve">FAO, ‘banana is the most important food crop in Uganda and Rwanda, where the annual per capita consumption exceeds 135kg. per annum (FAO, 2013a). This amounts to </w:t>
      </w:r>
      <w:r w:rsidRPr="009B53C0">
        <w:rPr>
          <w:color w:val="1F1F1F"/>
          <w:shd w:val="clear" w:color="auto" w:fill="FFFFFF"/>
        </w:rPr>
        <w:t xml:space="preserve">3-11 bananas </w:t>
      </w:r>
      <w:r>
        <w:rPr>
          <w:color w:val="1F1F1F"/>
          <w:shd w:val="clear" w:color="auto" w:fill="FFFFFF"/>
        </w:rPr>
        <w:t xml:space="preserve">per person </w:t>
      </w:r>
      <w:r w:rsidRPr="009B53C0">
        <w:rPr>
          <w:color w:val="1F1F1F"/>
          <w:shd w:val="clear" w:color="auto" w:fill="FFFFFF"/>
        </w:rPr>
        <w:t xml:space="preserve">per day, and in Uganda, the local word for bananas – matooke – means </w:t>
      </w:r>
      <w:r>
        <w:rPr>
          <w:color w:val="1F1F1F"/>
          <w:shd w:val="clear" w:color="auto" w:fill="FFFFFF"/>
        </w:rPr>
        <w:t>‘</w:t>
      </w:r>
      <w:r w:rsidRPr="009B53C0">
        <w:rPr>
          <w:color w:val="1F1F1F"/>
          <w:shd w:val="clear" w:color="auto" w:fill="FFFFFF"/>
        </w:rPr>
        <w:t>food</w:t>
      </w:r>
      <w:r>
        <w:rPr>
          <w:color w:val="1F1F1F"/>
          <w:shd w:val="clear" w:color="auto" w:fill="FFFFFF"/>
        </w:rPr>
        <w:t>’.</w:t>
      </w:r>
    </w:p>
    <w:p w14:paraId="4C08C873" w14:textId="2BD69280" w:rsidR="00F40B1C" w:rsidRPr="00AC31E2" w:rsidRDefault="00F40B1C" w:rsidP="00067344">
      <w:pPr>
        <w:jc w:val="both"/>
        <w:rPr>
          <w:color w:val="1F1F1F"/>
          <w:shd w:val="clear" w:color="auto" w:fill="FFFFFF"/>
        </w:rPr>
      </w:pPr>
      <w:r>
        <w:rPr>
          <w:color w:val="1F1F1F"/>
          <w:shd w:val="clear" w:color="auto" w:fill="FFFFFF"/>
        </w:rPr>
        <w:t xml:space="preserve">According to Adhikari et al. (2015) “quantitative measures of banana yield under future climate change are limited”. The literature also differs markedly on the forecasts for future yield. </w:t>
      </w:r>
      <w:r w:rsidRPr="009B53C0">
        <w:rPr>
          <w:color w:val="1F1F1F"/>
          <w:shd w:val="clear" w:color="auto" w:fill="FFFFFF"/>
        </w:rPr>
        <w:t xml:space="preserve">Biodiversity International researched the possible effects of climate change on world banana production. Calberto, who led the study, said that by 2070 the land suitable for banana production would increase by 50%, due to warmer climates. However, according to co-author, Staver, ‘higher temperatures mean an increase in water demand of 12-15%.’  </w:t>
      </w:r>
      <w:r w:rsidRPr="003E7E81">
        <w:rPr>
          <w:color w:val="1F1F1F"/>
          <w:shd w:val="clear" w:color="auto" w:fill="FFFFFF"/>
          <w:lang w:val="fr-FR"/>
        </w:rPr>
        <w:t xml:space="preserve">(Calberto </w:t>
      </w:r>
      <w:r w:rsidRPr="003E7E81">
        <w:rPr>
          <w:i/>
          <w:color w:val="1F1F1F"/>
          <w:shd w:val="clear" w:color="auto" w:fill="FFFFFF"/>
          <w:lang w:val="fr-FR"/>
        </w:rPr>
        <w:t>et al.</w:t>
      </w:r>
      <w:r w:rsidRPr="003E7E81">
        <w:rPr>
          <w:color w:val="1F1F1F"/>
          <w:shd w:val="clear" w:color="auto" w:fill="FFFFFF"/>
          <w:lang w:val="fr-FR"/>
        </w:rPr>
        <w:t xml:space="preserve"> 2015, p.265). Adhikari et al. quotes Van Asten et al. </w:t>
      </w:r>
      <w:r>
        <w:rPr>
          <w:color w:val="1F1F1F"/>
          <w:shd w:val="clear" w:color="auto" w:fill="FFFFFF"/>
        </w:rPr>
        <w:t xml:space="preserve">(2011) who claimed that “in the East-African highlands, drought-induced yield reduction on </w:t>
      </w:r>
      <w:r w:rsidR="00DF1BC9">
        <w:rPr>
          <w:color w:val="1F1F1F"/>
          <w:shd w:val="clear" w:color="auto" w:fill="FFFFFF"/>
        </w:rPr>
        <w:t>rain fed</w:t>
      </w:r>
      <w:r>
        <w:rPr>
          <w:color w:val="1F1F1F"/>
          <w:shd w:val="clear" w:color="auto" w:fill="FFFFFF"/>
        </w:rPr>
        <w:t xml:space="preserve"> bananas can reach up to </w:t>
      </w:r>
      <w:r w:rsidRPr="00AC31E2">
        <w:rPr>
          <w:color w:val="1F1F1F"/>
          <w:shd w:val="clear" w:color="auto" w:fill="FFFFFF"/>
        </w:rPr>
        <w:t xml:space="preserve">65% compared to wetter areas (2015). </w:t>
      </w:r>
    </w:p>
    <w:p w14:paraId="07FEB36E" w14:textId="0C7789F1" w:rsidR="00F40B1C" w:rsidRPr="00AC31E2" w:rsidRDefault="00F40B1C" w:rsidP="00F40B1C">
      <w:pPr>
        <w:rPr>
          <w:color w:val="1F1F1F"/>
          <w:shd w:val="clear" w:color="auto" w:fill="FFFFFF"/>
        </w:rPr>
      </w:pPr>
      <w:r w:rsidRPr="00233297">
        <w:rPr>
          <w:color w:val="1F1F1F"/>
          <w:shd w:val="clear" w:color="auto" w:fill="FFFFFF"/>
        </w:rPr>
        <w:t xml:space="preserve">Similar to our Cassava forecast, we will </w:t>
      </w:r>
      <w:r w:rsidR="00DF1BC9">
        <w:rPr>
          <w:color w:val="1F1F1F"/>
          <w:shd w:val="clear" w:color="auto" w:fill="FFFFFF"/>
        </w:rPr>
        <w:t xml:space="preserve">only </w:t>
      </w:r>
      <w:r w:rsidRPr="00233297">
        <w:rPr>
          <w:color w:val="1F1F1F"/>
          <w:shd w:val="clear" w:color="auto" w:fill="FFFFFF"/>
        </w:rPr>
        <w:t>simulate pessimistic outlook for Bananas in our modelling simulations.</w:t>
      </w:r>
      <w:r w:rsidRPr="00AC31E2">
        <w:rPr>
          <w:color w:val="1F1F1F"/>
          <w:shd w:val="clear" w:color="auto" w:fill="FFFFFF"/>
        </w:rPr>
        <w:t xml:space="preserve"> </w:t>
      </w:r>
    </w:p>
    <w:p w14:paraId="0CA40CC7" w14:textId="77777777" w:rsidR="00F40B1C" w:rsidRPr="007F0CA5" w:rsidRDefault="00F40B1C" w:rsidP="00F40B1C">
      <w:pPr>
        <w:pStyle w:val="Heading2"/>
      </w:pPr>
      <w:bookmarkStart w:id="13" w:name="_Toc525042486"/>
      <w:r w:rsidRPr="007F0CA5">
        <w:lastRenderedPageBreak/>
        <w:t>Beans</w:t>
      </w:r>
      <w:bookmarkEnd w:id="13"/>
    </w:p>
    <w:p w14:paraId="0C8AF6CA" w14:textId="1D81B0AC" w:rsidR="00F40B1C" w:rsidRDefault="00F40B1C" w:rsidP="00F40B1C">
      <w:pPr>
        <w:autoSpaceDE w:val="0"/>
        <w:autoSpaceDN w:val="0"/>
        <w:adjustRightInd w:val="0"/>
        <w:spacing w:after="0" w:line="240" w:lineRule="auto"/>
        <w:jc w:val="both"/>
        <w:rPr>
          <w:rFonts w:cs="Minion-Regular"/>
        </w:rPr>
      </w:pPr>
      <w:r>
        <w:rPr>
          <w:rFonts w:cs="Minion-Regular"/>
        </w:rPr>
        <w:t>According to Wortmann et al. (1998) beans are the second most important source of protein after maize in eastern and southern Africa, and the third most important source of calories after cassava and maize. Concerning the effects of climate change on soybean production, Wortmann et al. (1998) contend that rainfall variability and soil moisture, rather than rising temperature, are the crucial determining factors.</w:t>
      </w:r>
    </w:p>
    <w:p w14:paraId="4A2A5FF6" w14:textId="77777777" w:rsidR="00F40B1C" w:rsidRDefault="00F40B1C" w:rsidP="00F40B1C">
      <w:pPr>
        <w:autoSpaceDE w:val="0"/>
        <w:autoSpaceDN w:val="0"/>
        <w:adjustRightInd w:val="0"/>
        <w:spacing w:after="0" w:line="240" w:lineRule="auto"/>
        <w:rPr>
          <w:rFonts w:cs="Minion-Regular"/>
        </w:rPr>
      </w:pPr>
    </w:p>
    <w:p w14:paraId="56B047E1" w14:textId="77777777" w:rsidR="00F40B1C" w:rsidRDefault="00F40B1C" w:rsidP="00F40B1C">
      <w:pPr>
        <w:autoSpaceDE w:val="0"/>
        <w:autoSpaceDN w:val="0"/>
        <w:adjustRightInd w:val="0"/>
        <w:spacing w:after="0" w:line="240" w:lineRule="auto"/>
        <w:jc w:val="both"/>
        <w:rPr>
          <w:rFonts w:cs="Minion-Regular"/>
        </w:rPr>
      </w:pPr>
      <w:r>
        <w:rPr>
          <w:rFonts w:cs="Minion-Regular"/>
        </w:rPr>
        <w:t xml:space="preserve">We use four sources from the literature to determine the shock to be applied to the productivity of bean production in the climate change simulation run. </w:t>
      </w:r>
    </w:p>
    <w:p w14:paraId="43C26D49" w14:textId="77777777" w:rsidR="00F40B1C" w:rsidRDefault="00F40B1C" w:rsidP="00F40B1C">
      <w:pPr>
        <w:autoSpaceDE w:val="0"/>
        <w:autoSpaceDN w:val="0"/>
        <w:adjustRightInd w:val="0"/>
        <w:spacing w:after="0" w:line="240" w:lineRule="auto"/>
        <w:rPr>
          <w:rFonts w:cs="Minion-Regular"/>
        </w:rPr>
      </w:pPr>
    </w:p>
    <w:p w14:paraId="14E76E9A" w14:textId="4E2C8D96" w:rsidR="00F40B1C" w:rsidRDefault="00F40B1C" w:rsidP="00F40B1C">
      <w:pPr>
        <w:autoSpaceDE w:val="0"/>
        <w:autoSpaceDN w:val="0"/>
        <w:adjustRightInd w:val="0"/>
        <w:spacing w:after="0" w:line="240" w:lineRule="auto"/>
        <w:jc w:val="both"/>
        <w:rPr>
          <w:rFonts w:cs="Minion-Regular"/>
        </w:rPr>
      </w:pPr>
      <w:r>
        <w:rPr>
          <w:rFonts w:cs="Minion-Regular"/>
        </w:rPr>
        <w:t>Lobell et al. (2008) used 20 General Circulation Models (GCMs)</w:t>
      </w:r>
      <w:r>
        <w:rPr>
          <w:rStyle w:val="FootnoteReference"/>
          <w:rFonts w:ascii="Minion-Regular" w:hAnsi="Minion-Regular" w:cs="Minion-Regular"/>
          <w:sz w:val="19"/>
          <w:szCs w:val="19"/>
        </w:rPr>
        <w:footnoteReference w:id="2"/>
      </w:r>
      <w:r>
        <w:rPr>
          <w:rFonts w:cs="Minion-Regular"/>
        </w:rPr>
        <w:t xml:space="preserve"> and projected a slight decrease of less than 5 </w:t>
      </w:r>
      <w:r w:rsidR="00BA2F9C">
        <w:rPr>
          <w:rFonts w:cs="Minion-Regular"/>
        </w:rPr>
        <w:t>per cent</w:t>
      </w:r>
      <w:r>
        <w:rPr>
          <w:rFonts w:cs="Minion-Regular"/>
        </w:rPr>
        <w:t xml:space="preserve"> in bean production in East Africa by 2030 as compared to 1998-2002. At this rate of </w:t>
      </w:r>
      <w:r w:rsidR="00F2505B">
        <w:rPr>
          <w:rFonts w:cs="Minion-Regular"/>
        </w:rPr>
        <w:t>growth,</w:t>
      </w:r>
      <w:r>
        <w:rPr>
          <w:rFonts w:cs="Minion-Regular"/>
        </w:rPr>
        <w:t xml:space="preserve"> the decrease would amount to about 10 </w:t>
      </w:r>
      <w:r w:rsidR="00BA2F9C">
        <w:rPr>
          <w:rFonts w:cs="Minion-Regular"/>
        </w:rPr>
        <w:t>per cent</w:t>
      </w:r>
      <w:r>
        <w:rPr>
          <w:rFonts w:cs="Minion-Regular"/>
        </w:rPr>
        <w:t xml:space="preserve"> by 2050. </w:t>
      </w:r>
    </w:p>
    <w:p w14:paraId="0D8ABEB3" w14:textId="77777777" w:rsidR="00F40B1C" w:rsidRDefault="00F40B1C" w:rsidP="00F40B1C">
      <w:pPr>
        <w:autoSpaceDE w:val="0"/>
        <w:autoSpaceDN w:val="0"/>
        <w:adjustRightInd w:val="0"/>
        <w:spacing w:after="0" w:line="240" w:lineRule="auto"/>
        <w:rPr>
          <w:rFonts w:cs="Minion-Regular"/>
        </w:rPr>
      </w:pPr>
    </w:p>
    <w:p w14:paraId="1EC287B6" w14:textId="16669152" w:rsidR="00F40B1C" w:rsidRDefault="00F40B1C" w:rsidP="00F40B1C">
      <w:pPr>
        <w:autoSpaceDE w:val="0"/>
        <w:autoSpaceDN w:val="0"/>
        <w:adjustRightInd w:val="0"/>
        <w:spacing w:after="0" w:line="240" w:lineRule="auto"/>
        <w:jc w:val="both"/>
        <w:rPr>
          <w:rFonts w:cs="Minion-Regular"/>
        </w:rPr>
      </w:pPr>
      <w:r>
        <w:rPr>
          <w:rFonts w:cs="Minion-Regular"/>
        </w:rPr>
        <w:t>Thornton et al. (2009) used the HadCM3 and ECHam4 models and the A1F1 and B1 storylines and forecast decreases of up to 20% in production of beans by 2050, in 56% of the land under bean production in East Africa. In some highland areas production could increase, but in arid and semi-arid areas production would decrease. If 56% of the crops decrease by 20%, the total decrease would amount to 11.2%. With production increasing in some areas, the overall decrease would therefore be less than 11.2%.</w:t>
      </w:r>
    </w:p>
    <w:p w14:paraId="27DD0AD0" w14:textId="77777777" w:rsidR="00F40B1C" w:rsidRDefault="00F40B1C" w:rsidP="00F40B1C">
      <w:pPr>
        <w:autoSpaceDE w:val="0"/>
        <w:autoSpaceDN w:val="0"/>
        <w:adjustRightInd w:val="0"/>
        <w:spacing w:after="0" w:line="240" w:lineRule="auto"/>
        <w:rPr>
          <w:rFonts w:cs="Minion-Regular"/>
        </w:rPr>
      </w:pPr>
    </w:p>
    <w:p w14:paraId="65F4A228" w14:textId="77777777" w:rsidR="00F40B1C" w:rsidRDefault="00F40B1C" w:rsidP="00067344">
      <w:pPr>
        <w:autoSpaceDE w:val="0"/>
        <w:autoSpaceDN w:val="0"/>
        <w:adjustRightInd w:val="0"/>
        <w:spacing w:after="0" w:line="240" w:lineRule="auto"/>
        <w:jc w:val="both"/>
        <w:rPr>
          <w:rFonts w:cs="Minion-Regular"/>
        </w:rPr>
      </w:pPr>
      <w:r>
        <w:rPr>
          <w:rFonts w:cs="Minion-Regular"/>
        </w:rPr>
        <w:t>Tatsumi et al. (2011) used the IGAEZ</w:t>
      </w:r>
      <w:r>
        <w:rPr>
          <w:rStyle w:val="FootnoteReference"/>
          <w:rFonts w:cs="Minion-Regular"/>
        </w:rPr>
        <w:footnoteReference w:id="3"/>
      </w:r>
      <w:r>
        <w:rPr>
          <w:rFonts w:cs="Minion-Regular"/>
        </w:rPr>
        <w:t xml:space="preserve"> method under the A1B storyline to estimate a decrease in bean production of 12% by 2090, while Boote et al. (1998) found a decrease of 3-10% across all the IPCC storyline scenarios towards the end of the century. </w:t>
      </w:r>
    </w:p>
    <w:p w14:paraId="74FDB524" w14:textId="77777777" w:rsidR="00F40B1C" w:rsidRDefault="00F40B1C" w:rsidP="00F40B1C">
      <w:pPr>
        <w:autoSpaceDE w:val="0"/>
        <w:autoSpaceDN w:val="0"/>
        <w:adjustRightInd w:val="0"/>
        <w:spacing w:after="0" w:line="240" w:lineRule="auto"/>
        <w:rPr>
          <w:rFonts w:cs="Minion-Regular"/>
        </w:rPr>
      </w:pPr>
    </w:p>
    <w:p w14:paraId="441B1366" w14:textId="77777777" w:rsidR="00F40B1C" w:rsidRDefault="00F40B1C" w:rsidP="00067344">
      <w:pPr>
        <w:autoSpaceDE w:val="0"/>
        <w:autoSpaceDN w:val="0"/>
        <w:adjustRightInd w:val="0"/>
        <w:spacing w:after="0" w:line="240" w:lineRule="auto"/>
        <w:jc w:val="both"/>
        <w:rPr>
          <w:rFonts w:cs="Minion-Regular"/>
        </w:rPr>
      </w:pPr>
      <w:r>
        <w:rPr>
          <w:rFonts w:cs="Minion-Regular"/>
        </w:rPr>
        <w:t xml:space="preserve">Since the estimates from Thornton, Tatsumi and Boote are similar to that of Lobell et al. we will use a productivity shock of between -3 and -10% for bean production. </w:t>
      </w:r>
    </w:p>
    <w:p w14:paraId="5E4C5802" w14:textId="77777777" w:rsidR="00F40B1C" w:rsidRDefault="00F40B1C" w:rsidP="00F40B1C">
      <w:pPr>
        <w:pStyle w:val="Heading2"/>
        <w:rPr>
          <w:szCs w:val="24"/>
        </w:rPr>
      </w:pPr>
      <w:bookmarkStart w:id="14" w:name="_Toc525042487"/>
      <w:r>
        <w:rPr>
          <w:szCs w:val="24"/>
        </w:rPr>
        <w:t>Cassava</w:t>
      </w:r>
      <w:bookmarkEnd w:id="14"/>
    </w:p>
    <w:p w14:paraId="5B7DA68E" w14:textId="29D379FF" w:rsidR="0060135E" w:rsidRDefault="00F40B1C" w:rsidP="00F40B1C">
      <w:pPr>
        <w:autoSpaceDE w:val="0"/>
        <w:autoSpaceDN w:val="0"/>
        <w:adjustRightInd w:val="0"/>
        <w:spacing w:after="0" w:line="240" w:lineRule="auto"/>
        <w:jc w:val="both"/>
      </w:pPr>
      <w:r>
        <w:t xml:space="preserve">Cassava is considered to be the most important product in terms of caloric intake </w:t>
      </w:r>
      <w:r w:rsidR="00F2505B">
        <w:t>and</w:t>
      </w:r>
      <w:r>
        <w:t xml:space="preserve"> the most important in terms of total production in East Africa (Fermont et al., 2009). According to Jarvis et al. (2012) “the crop is more resilient to climate change due to its tolerance of high temperatures and intraseasonal drought”. In a series of model </w:t>
      </w:r>
      <w:r w:rsidR="00F2505B">
        <w:t>simulations,</w:t>
      </w:r>
      <w:r>
        <w:t xml:space="preserve"> these authors concluded that cassava would perform as least as well as maize, sorghum, millet, beans, potatoes or bananas in the presence of climate changing conditions, “making it a potential candidate to ensure future food security in the region.”  </w:t>
      </w:r>
    </w:p>
    <w:p w14:paraId="7AC6B875" w14:textId="77777777" w:rsidR="0060135E" w:rsidRDefault="0060135E" w:rsidP="00F40B1C">
      <w:pPr>
        <w:autoSpaceDE w:val="0"/>
        <w:autoSpaceDN w:val="0"/>
        <w:adjustRightInd w:val="0"/>
        <w:spacing w:after="0" w:line="240" w:lineRule="auto"/>
        <w:jc w:val="both"/>
      </w:pPr>
    </w:p>
    <w:p w14:paraId="5BAB587B" w14:textId="7E6B7078" w:rsidR="00F40B1C" w:rsidRDefault="00F40B1C" w:rsidP="00F40B1C">
      <w:pPr>
        <w:autoSpaceDE w:val="0"/>
        <w:autoSpaceDN w:val="0"/>
        <w:adjustRightInd w:val="0"/>
        <w:spacing w:after="0" w:line="240" w:lineRule="auto"/>
        <w:jc w:val="both"/>
      </w:pPr>
      <w:r>
        <w:lastRenderedPageBreak/>
        <w:t xml:space="preserve">The long run forecasts of Cassava production differ vastly from each other. Lobell et al. (2008) projected a decrease of 8% in output by 2030, which would be synonymous to a 15.8% decrease by 2050. Tatsumi et al. (2011) forecast a 10% increase in Cassava yield by 2090, while IFPRI forecast increases between 40% and 100% in Uganda, Rwanda and Malawi, using the IMPACT model. </w:t>
      </w:r>
    </w:p>
    <w:p w14:paraId="576E5A26" w14:textId="77777777" w:rsidR="00F40B1C" w:rsidRDefault="00F40B1C" w:rsidP="00F40B1C">
      <w:pPr>
        <w:autoSpaceDE w:val="0"/>
        <w:autoSpaceDN w:val="0"/>
        <w:adjustRightInd w:val="0"/>
        <w:spacing w:after="0" w:line="240" w:lineRule="auto"/>
        <w:jc w:val="both"/>
      </w:pPr>
    </w:p>
    <w:p w14:paraId="3F853A1F" w14:textId="6B9529AF" w:rsidR="00F40B1C" w:rsidRDefault="00A94374" w:rsidP="00F40B1C">
      <w:pPr>
        <w:autoSpaceDE w:val="0"/>
        <w:autoSpaceDN w:val="0"/>
        <w:adjustRightInd w:val="0"/>
        <w:spacing w:after="0" w:line="240" w:lineRule="auto"/>
        <w:jc w:val="both"/>
      </w:pPr>
      <w:r>
        <w:t>Even though</w:t>
      </w:r>
      <w:r w:rsidR="00F40B1C">
        <w:t xml:space="preserve"> the literature differs from large decreases to large increases in Cassava production </w:t>
      </w:r>
      <w:r w:rsidR="00F2505B">
        <w:t>because</w:t>
      </w:r>
      <w:r w:rsidR="00F40B1C">
        <w:t xml:space="preserve"> of climate change, we have decided to model </w:t>
      </w:r>
      <w:r>
        <w:t>only the p</w:t>
      </w:r>
      <w:r w:rsidR="00F40B1C">
        <w:t xml:space="preserve">essimistic forecast for Cassava </w:t>
      </w:r>
      <w:r>
        <w:t xml:space="preserve">and other </w:t>
      </w:r>
      <w:r w:rsidR="00F40B1C">
        <w:t xml:space="preserve">yields. For the pessimistic forecast we will use Lobell et al. (2008), </w:t>
      </w:r>
      <w:r w:rsidR="00DF1BC9">
        <w:t xml:space="preserve">which differs from </w:t>
      </w:r>
      <w:r w:rsidR="00F40B1C">
        <w:t xml:space="preserve">the optimistic forecast </w:t>
      </w:r>
      <w:r w:rsidR="00DF1BC9">
        <w:t>of</w:t>
      </w:r>
      <w:r w:rsidR="00F40B1C">
        <w:t xml:space="preserve"> Tatsumi et al. (2011). </w:t>
      </w:r>
    </w:p>
    <w:p w14:paraId="277858A7" w14:textId="77777777" w:rsidR="00F40B1C" w:rsidRDefault="00F40B1C" w:rsidP="00F40B1C">
      <w:pPr>
        <w:pStyle w:val="Heading2"/>
      </w:pPr>
      <w:bookmarkStart w:id="15" w:name="_Toc525042488"/>
      <w:r>
        <w:t>Coffee and Tea</w:t>
      </w:r>
      <w:bookmarkEnd w:id="15"/>
    </w:p>
    <w:p w14:paraId="4EEDB930" w14:textId="1D5517BE" w:rsidR="00F40B1C" w:rsidRDefault="00F40B1C" w:rsidP="00067344">
      <w:pPr>
        <w:jc w:val="both"/>
      </w:pPr>
      <w:r>
        <w:t>Arabica coffee grows at altitudes above 1000m and prefers cool temperatures. Global warming will force coffee growers to move to higher altitudes that they are now working at, if land is available, so, according to Moat et al. (2017), by the end of this century “the current coffee-growing niche of Ethiopia could decrease by 39-59% without</w:t>
      </w:r>
      <w:r w:rsidR="00233297">
        <w:t xml:space="preserve"> interventions”</w:t>
      </w:r>
      <w:r>
        <w:t>. This amounts to a decrease of between 14 and 20% by 2050.</w:t>
      </w:r>
    </w:p>
    <w:p w14:paraId="10E63AF6" w14:textId="70C7A94C" w:rsidR="00F40B1C" w:rsidRDefault="00F40B1C" w:rsidP="00067344">
      <w:pPr>
        <w:jc w:val="both"/>
      </w:pPr>
      <w:r>
        <w:t>Bunn et al. (2015) predict that Robusta coffee will experience a loss of 16-30% in Eastern Africa by 2050, while Arabica coffee production will decrease between 10 and 30% (p.97). Their predicti</w:t>
      </w:r>
      <w:r w:rsidR="00233297">
        <w:t>ons for the rest of the world are</w:t>
      </w:r>
      <w:r>
        <w:t xml:space="preserve"> much worse for both varieties. We will use a weighted average</w:t>
      </w:r>
      <w:r>
        <w:rPr>
          <w:rStyle w:val="FootnoteReference"/>
        </w:rPr>
        <w:footnoteReference w:id="4"/>
      </w:r>
      <w:r>
        <w:t xml:space="preserve"> of the Bunn et al. predictions for our pessimistic forecast. </w:t>
      </w:r>
    </w:p>
    <w:p w14:paraId="6B709EA5" w14:textId="067D48F0" w:rsidR="00F40B1C" w:rsidRDefault="00F40B1C" w:rsidP="00067344">
      <w:pPr>
        <w:jc w:val="both"/>
      </w:pPr>
      <w:r>
        <w:t xml:space="preserve">The outlook for tea in Uganda looks much worse than for coffee. The International Center for Tropical Agriculture predicts that more than half of the areas used for tea production in Uganda will become unsuitable due to climate change. They do not predict the exact decrease in production, and since we are grouping coffee and tea together in our model, we implicitly make the strict assumption that tea production will decrease as much as coffee. </w:t>
      </w:r>
    </w:p>
    <w:p w14:paraId="5A831162" w14:textId="77777777" w:rsidR="00F40B1C" w:rsidRDefault="00F40B1C" w:rsidP="00F40B1C">
      <w:pPr>
        <w:pStyle w:val="Heading2"/>
      </w:pPr>
      <w:bookmarkStart w:id="16" w:name="_Toc525042489"/>
      <w:r>
        <w:t>Cotton</w:t>
      </w:r>
      <w:bookmarkEnd w:id="16"/>
    </w:p>
    <w:p w14:paraId="713EB6BD" w14:textId="77777777" w:rsidR="00F40B1C" w:rsidRDefault="00F40B1C" w:rsidP="00F40B1C">
      <w:r>
        <w:t xml:space="preserve">Although Adhikari et al. (2015) expects the productivity of cotton production to decline with climate change, they do not provide any specific predictions for it. They bemoan the fact that the quantitative analysis of future cotton production is sparse. </w:t>
      </w:r>
    </w:p>
    <w:p w14:paraId="0DF55E35" w14:textId="5D8322FF" w:rsidR="00F40B1C" w:rsidRPr="00770DC0" w:rsidRDefault="00F40B1C" w:rsidP="00067344">
      <w:pPr>
        <w:jc w:val="both"/>
      </w:pPr>
      <w:r>
        <w:t xml:space="preserve">The ITC (2011) did perform a world-wide study of the impact of climate change on cotton production, but is equally hesitant to provide specific numbers for predicted changes in output. Insightful conclusions coming from the ITC report are that they predict increases in the production of cotton for both China (p.14) and the United States (p.20), due to increasing temperatures and </w:t>
      </w:r>
      <w:r>
        <w:lastRenderedPageBreak/>
        <w:t xml:space="preserve">resulting longer crop seasons. In the light of these optimistic forecasts we will assume that cotton production in Uganda will not </w:t>
      </w:r>
      <w:r w:rsidR="00A94374">
        <w:t xml:space="preserve">necessarily </w:t>
      </w:r>
      <w:r>
        <w:t xml:space="preserve">be affected negatively by climate change. </w:t>
      </w:r>
      <w:r w:rsidR="00233297">
        <w:t xml:space="preserve">We model this prediction by leaving cotton production endogenous in the model, with the implication that we do not forecast it specifically, but allow the industry to react to our model simulations. </w:t>
      </w:r>
      <w:r>
        <w:t xml:space="preserve"> </w:t>
      </w:r>
    </w:p>
    <w:p w14:paraId="126E7682" w14:textId="77777777" w:rsidR="00F40B1C" w:rsidRDefault="00F40B1C" w:rsidP="00F40B1C">
      <w:pPr>
        <w:pStyle w:val="Heading2"/>
      </w:pPr>
      <w:bookmarkStart w:id="17" w:name="_Toc525042490"/>
      <w:r>
        <w:t>Maize</w:t>
      </w:r>
      <w:bookmarkEnd w:id="17"/>
    </w:p>
    <w:p w14:paraId="32C5164B" w14:textId="20D966FB" w:rsidR="00F40B1C" w:rsidRDefault="00F40B1C" w:rsidP="00067344">
      <w:pPr>
        <w:jc w:val="both"/>
      </w:pPr>
      <w:r>
        <w:t xml:space="preserve">Broughton et al. (2003) consider maize to be the most important source of dietary protein and the second most important source of calories in Eastern and Southern Africa. Maize is also one of the crops for which the possible climate change impacts have been widely studied (Adhikari et al. 2015, p. 115). They </w:t>
      </w:r>
      <w:r w:rsidR="00F2505B">
        <w:t>conclude,</w:t>
      </w:r>
      <w:r>
        <w:t xml:space="preserve"> “</w:t>
      </w:r>
      <w:r w:rsidR="00F2505B">
        <w:t>Overall</w:t>
      </w:r>
      <w:r>
        <w:t>, maize production will decrease under future climate scenarios, though the degree of impact differs among simulations” (p.116).</w:t>
      </w:r>
    </w:p>
    <w:p w14:paraId="4DF51682" w14:textId="5D202D97" w:rsidR="00F40B1C" w:rsidRDefault="00F40B1C" w:rsidP="00067344">
      <w:pPr>
        <w:jc w:val="both"/>
      </w:pPr>
      <w:r>
        <w:t xml:space="preserve">Lobell et al. (2011) found that “each degree day spent above 30°C has been found to reduce final maize yield by 1% even under optimal rainfed conditions.” Lobell and Field (2007) found that a 1°C increase above the norm would reduce the maize yield by 8.3%, while Brown (2009) contended that the number would be -10%. </w:t>
      </w:r>
    </w:p>
    <w:p w14:paraId="2F6F10A5" w14:textId="77777777" w:rsidR="00F40B1C" w:rsidRDefault="00F40B1C" w:rsidP="00F40B1C">
      <w:pPr>
        <w:pStyle w:val="Heading2"/>
      </w:pPr>
      <w:bookmarkStart w:id="18" w:name="_Toc525042491"/>
      <w:r>
        <w:t>Millet</w:t>
      </w:r>
      <w:bookmarkEnd w:id="18"/>
    </w:p>
    <w:p w14:paraId="52DE5C23" w14:textId="6E85CC47" w:rsidR="00F40B1C" w:rsidRDefault="00F40B1C" w:rsidP="00067344">
      <w:pPr>
        <w:jc w:val="both"/>
      </w:pPr>
      <w:r>
        <w:t xml:space="preserve">Adhikari et al. (2015) conclude that millet is more resilient to climate change than maize or wheat but less resilient than sorghum (p.119). We therefore use numbers between our respective pessimistic and optimistic forecasts for maize on the one hand and sorghum on the other. Millet resorts under “Other cereals” in the model and we therefore assume that the remaining small cereals would react in the same way as millet. </w:t>
      </w:r>
    </w:p>
    <w:p w14:paraId="61015AB7" w14:textId="77777777" w:rsidR="00745BCE" w:rsidRDefault="00745BCE" w:rsidP="00745BCE">
      <w:pPr>
        <w:pStyle w:val="Heading2"/>
      </w:pPr>
      <w:bookmarkStart w:id="19" w:name="_Toc525042492"/>
      <w:r>
        <w:t>Rice</w:t>
      </w:r>
      <w:bookmarkEnd w:id="19"/>
    </w:p>
    <w:p w14:paraId="0C020895" w14:textId="77777777" w:rsidR="00745BCE" w:rsidRDefault="00745BCE" w:rsidP="00067344">
      <w:pPr>
        <w:jc w:val="both"/>
      </w:pPr>
      <w:r>
        <w:t xml:space="preserve">According to Adhikari et al. (2015) the projections on future rice productivity differ among studies, but most studies predict small or insignificant changes in rice production. Lobell et al. (2008) predict a small increase by 2050 (less than 5%), Ringlet et al. (2010) predict a mere 0.24% increase for East Africa, and Tatsumi et al. (2011) predict only a small gain. In the light of these predictions we will assume that rice productivity will stay on the baseline. </w:t>
      </w:r>
    </w:p>
    <w:p w14:paraId="3681DFAF" w14:textId="6E1D4F7C" w:rsidR="00F40B1C" w:rsidRDefault="00745BCE" w:rsidP="00745BCE">
      <w:pPr>
        <w:pStyle w:val="Heading2"/>
      </w:pPr>
      <w:bookmarkStart w:id="20" w:name="_Toc525042493"/>
      <w:r>
        <w:t>Rootcrops</w:t>
      </w:r>
      <w:bookmarkEnd w:id="20"/>
    </w:p>
    <w:p w14:paraId="7BDEBB00" w14:textId="77777777" w:rsidR="00745BCE" w:rsidRPr="00745BCE" w:rsidRDefault="00745BCE" w:rsidP="00E20160">
      <w:pPr>
        <w:pStyle w:val="Heading3"/>
      </w:pPr>
      <w:bookmarkStart w:id="21" w:name="_Toc525042494"/>
      <w:r w:rsidRPr="00745BCE">
        <w:t xml:space="preserve">Sweet </w:t>
      </w:r>
      <w:r w:rsidRPr="0060135E">
        <w:t>potato</w:t>
      </w:r>
      <w:bookmarkEnd w:id="21"/>
    </w:p>
    <w:p w14:paraId="2AB8D654" w14:textId="57802AA3" w:rsidR="00745BCE" w:rsidRDefault="00745BCE" w:rsidP="00067344">
      <w:pPr>
        <w:jc w:val="both"/>
      </w:pPr>
      <w:r>
        <w:t xml:space="preserve">Uganda is the third largest producer of sweet potato in the world! (Muyinza et al. 2012 cited in Adhikari et al. 2015, p. 121). </w:t>
      </w:r>
      <w:r w:rsidR="00F2505B">
        <w:t>Unfortunately,</w:t>
      </w:r>
      <w:r>
        <w:t xml:space="preserve"> the information on the future of the crop in the presence of climate change is sparse. Ringler et al. (</w:t>
      </w:r>
      <w:r w:rsidR="00233297">
        <w:t>2010</w:t>
      </w:r>
      <w:r>
        <w:t>) predict an increase of 1.06% by 2050, while Tatsumi et al. (</w:t>
      </w:r>
      <w:r w:rsidR="00233297">
        <w:t>2011</w:t>
      </w:r>
      <w:r>
        <w:t>) predict a decrease of 7% by then. Adhikari considers the studies on the topic “inconclusive”.</w:t>
      </w:r>
    </w:p>
    <w:p w14:paraId="10031A94" w14:textId="77777777" w:rsidR="00745BCE" w:rsidRPr="00745BCE" w:rsidRDefault="00745BCE" w:rsidP="00E20160">
      <w:pPr>
        <w:pStyle w:val="Heading3"/>
      </w:pPr>
      <w:bookmarkStart w:id="22" w:name="_Toc525042495"/>
      <w:r w:rsidRPr="00745BCE">
        <w:lastRenderedPageBreak/>
        <w:t>Potato</w:t>
      </w:r>
      <w:bookmarkEnd w:id="22"/>
    </w:p>
    <w:p w14:paraId="621F4CDF" w14:textId="77777777" w:rsidR="00745BCE" w:rsidRDefault="00745BCE" w:rsidP="00067344">
      <w:pPr>
        <w:jc w:val="both"/>
      </w:pPr>
      <w:r>
        <w:t xml:space="preserve">As with sweet potato there are very few studies on the impacts of climate change on potato production in Eastern Africa. Moreover, the studies differ vastly in their predictions: IFPRI forecast output to double or even triple by 2050, while Jarvis et al. predicted a decrease of 34% by 2050, and Tatsumi et al. a decrease of 8%. </w:t>
      </w:r>
    </w:p>
    <w:p w14:paraId="65D4EE30" w14:textId="2D1C681D" w:rsidR="00745BCE" w:rsidRDefault="00745BCE" w:rsidP="00067344">
      <w:pPr>
        <w:jc w:val="both"/>
      </w:pPr>
      <w:r>
        <w:t xml:space="preserve">Since we have grouped all root crops together in our model, we will simulate a pessimistic outlook of -8%. </w:t>
      </w:r>
    </w:p>
    <w:p w14:paraId="7CC9A25B" w14:textId="77777777" w:rsidR="00F40B1C" w:rsidRDefault="00F40B1C" w:rsidP="00F40B1C">
      <w:pPr>
        <w:pStyle w:val="Heading2"/>
      </w:pPr>
      <w:bookmarkStart w:id="23" w:name="_Toc525042496"/>
      <w:r>
        <w:t>Sorghum</w:t>
      </w:r>
      <w:bookmarkEnd w:id="23"/>
    </w:p>
    <w:p w14:paraId="5E6689D9" w14:textId="77777777" w:rsidR="00F40B1C" w:rsidRDefault="00F40B1C" w:rsidP="00067344">
      <w:pPr>
        <w:jc w:val="both"/>
      </w:pPr>
      <w:r>
        <w:t>Taylor (2003 cited in Adhikari et al. 2015, p.119) claims that sorghum has an inherent ability to resist drought and resist periods of high temperatures. Adhikari et al. conclude that “sorghum is more resilient to climate change than maize or wheat and will be minimally impacted (&lt;5%) by the middle of this century (p. 120).”</w:t>
      </w:r>
    </w:p>
    <w:p w14:paraId="1EC32F5D" w14:textId="35D2F581" w:rsidR="00F40B1C" w:rsidRDefault="00F40B1C" w:rsidP="00067344">
      <w:pPr>
        <w:jc w:val="both"/>
      </w:pPr>
      <w:r>
        <w:t xml:space="preserve">We therefore will use a decrease of 5% in productivity as our pessimistic scenario. </w:t>
      </w:r>
    </w:p>
    <w:p w14:paraId="1C965BAC" w14:textId="77777777" w:rsidR="00F40B1C" w:rsidRDefault="00F40B1C" w:rsidP="00F40B1C">
      <w:pPr>
        <w:pStyle w:val="Heading2"/>
      </w:pPr>
      <w:bookmarkStart w:id="24" w:name="_Toc525042497"/>
      <w:r>
        <w:t>Wheat</w:t>
      </w:r>
      <w:bookmarkEnd w:id="24"/>
    </w:p>
    <w:p w14:paraId="4F4799BE" w14:textId="77777777" w:rsidR="00F40B1C" w:rsidRPr="003E7E81" w:rsidRDefault="00F40B1C" w:rsidP="00067344">
      <w:pPr>
        <w:jc w:val="both"/>
        <w:rPr>
          <w:lang w:val="fr-FR"/>
        </w:rPr>
      </w:pPr>
      <w:r>
        <w:t xml:space="preserve">Wheat is a cool season crop and “increasing temperatures shortens its growth period by accelerating phonological development, resulting in reduced yield” (You et al. 2005; Asseng et al. 2011 cited in Adhikari et al. 2015, p. 117). There is consensus in the literature that wheat has a lower optimal temperature than rice, maize, millet, cassava and sorghum (Liu et al. 2008) so that most simulation studies predict a greater impact on wheat crop yields compared to other crops on Eastern Africa. </w:t>
      </w:r>
      <w:r w:rsidRPr="003E7E81">
        <w:rPr>
          <w:lang w:val="fr-FR"/>
        </w:rPr>
        <w:t xml:space="preserve">(Liu et al. 2008; Fisher 2009; Nelson et al. 2009 &amp; Ringler et al. 2010). </w:t>
      </w:r>
    </w:p>
    <w:p w14:paraId="08E1FA13" w14:textId="482002D6" w:rsidR="00F40B1C" w:rsidRDefault="00F40B1C" w:rsidP="00067344">
      <w:pPr>
        <w:jc w:val="both"/>
      </w:pPr>
      <w:r>
        <w:t>The forecasts of yield changes look quite bleak for wheat: Fisher (2009) using HadCM3 along with the A2 storyline forecast</w:t>
      </w:r>
      <w:r w:rsidR="00355203">
        <w:t>s</w:t>
      </w:r>
      <w:r>
        <w:t xml:space="preserve"> a 63% decrease in output by 2050. CSIRO predicts a drop of 48% by 2050, while Nelson et al. (2009) only forecast a decrease of 34-36%. Tatsumi et al.’s forecast is much smaller. We will use Fisher’s forecast as our pessimistic view of wheat forecast. </w:t>
      </w:r>
    </w:p>
    <w:p w14:paraId="65F5C79D" w14:textId="77777777" w:rsidR="00745BCE" w:rsidRPr="00E3621F" w:rsidRDefault="00745BCE" w:rsidP="00745BCE">
      <w:pPr>
        <w:pStyle w:val="Heading2"/>
      </w:pPr>
      <w:bookmarkStart w:id="25" w:name="_Toc525042498"/>
      <w:r>
        <w:t>Livestock</w:t>
      </w:r>
      <w:bookmarkEnd w:id="25"/>
    </w:p>
    <w:p w14:paraId="20F7C9C6" w14:textId="6717F93F" w:rsidR="00745BCE" w:rsidRDefault="00745BCE" w:rsidP="00067344">
      <w:pPr>
        <w:jc w:val="both"/>
      </w:pPr>
      <w:r>
        <w:t xml:space="preserve">Thornton et al. (2009) claim that “the intersection of climate change and livestock in developing countries is a relatively neglected research area,” and Thornton has been involved in many research articles on this topic. In one of these papers Galvin et al. (2004) studied a Maasai pastoralist community in the Ngorongoro and </w:t>
      </w:r>
      <w:r w:rsidR="00F2505B">
        <w:t>conclude,</w:t>
      </w:r>
      <w:r>
        <w:t xml:space="preserve"> “rising human population along with many land tenure and land-use changes have squeezed pastoral livestock onto land areas that are too small to be sustainable for pastoral production.” Warmer temperatures bring more disease epidemics, while livestock starvation is associated with recurring droughts. Galvin et al. come to the conclusion that we experience a rising human population in east Africa who are dependent on </w:t>
      </w:r>
      <w:r>
        <w:lastRenderedPageBreak/>
        <w:t>a “stable or declining livestock population” (p.2).</w:t>
      </w:r>
      <w:r w:rsidR="00DF1BC9">
        <w:t xml:space="preserve"> Since there is no consensus in the literature about the future trends in livestock production, we do not directly forecast its future growth. We let the model calculate how the livestock industry would react to the shocks we apply to other agricultural crops.  </w:t>
      </w:r>
    </w:p>
    <w:p w14:paraId="5D046E72" w14:textId="77777777" w:rsidR="00745BCE" w:rsidRDefault="00745BCE" w:rsidP="00745BCE">
      <w:pPr>
        <w:pStyle w:val="Heading2"/>
      </w:pPr>
      <w:bookmarkStart w:id="26" w:name="_Toc525042499"/>
      <w:r>
        <w:t>Fisheries</w:t>
      </w:r>
      <w:bookmarkEnd w:id="26"/>
    </w:p>
    <w:p w14:paraId="68DA7768" w14:textId="77777777" w:rsidR="005E1F40" w:rsidRDefault="00745BCE" w:rsidP="00936BAC">
      <w:pPr>
        <w:spacing w:line="240" w:lineRule="auto"/>
        <w:jc w:val="both"/>
      </w:pPr>
      <w:r>
        <w:t xml:space="preserve">Allison et al. (2009) studied 132 countries and found Uganda to be among the top 5% most vulnerable of all countries regarding their fisheries, but unfortunately also among the countries with the lowest adaptability potential. </w:t>
      </w:r>
    </w:p>
    <w:p w14:paraId="0C225391" w14:textId="670121CE" w:rsidR="00F40B1C" w:rsidRDefault="005E1F40" w:rsidP="00936BAC">
      <w:pPr>
        <w:spacing w:line="240" w:lineRule="auto"/>
        <w:jc w:val="both"/>
      </w:pPr>
      <w:r>
        <w:t xml:space="preserve">Table 3 </w:t>
      </w:r>
      <w:r w:rsidR="00F2505B">
        <w:t>summarises</w:t>
      </w:r>
      <w:r>
        <w:t xml:space="preserve"> the predictions of changes in crop production due to water shortage (climate change) that are used in the modelling. The changes are expressed as once-and-for-all percentage deviations away from a no climate change control. The table shows two sets of changes – pessimistic and optimistic. Only the pessimistic changes are modelled, as our interest lies in the effects of water shortages.</w:t>
      </w:r>
    </w:p>
    <w:p w14:paraId="70E79925" w14:textId="5308194E" w:rsidR="00745BCE" w:rsidRPr="00AA57FC" w:rsidRDefault="00AA57FC" w:rsidP="00AA57FC">
      <w:pPr>
        <w:pStyle w:val="Caption"/>
        <w:rPr>
          <w:sz w:val="24"/>
          <w:szCs w:val="24"/>
        </w:rPr>
      </w:pPr>
      <w:bookmarkStart w:id="27" w:name="_Ref505279015"/>
      <w:bookmarkStart w:id="28" w:name="_Ref505279001"/>
      <w:r w:rsidRPr="00AA57FC">
        <w:rPr>
          <w:sz w:val="24"/>
          <w:szCs w:val="24"/>
        </w:rPr>
        <w:t xml:space="preserve">Table </w:t>
      </w:r>
      <w:r w:rsidRPr="00AA57FC">
        <w:rPr>
          <w:sz w:val="24"/>
          <w:szCs w:val="24"/>
        </w:rPr>
        <w:fldChar w:fldCharType="begin"/>
      </w:r>
      <w:r w:rsidRPr="00AA57FC">
        <w:rPr>
          <w:sz w:val="24"/>
          <w:szCs w:val="24"/>
        </w:rPr>
        <w:instrText xml:space="preserve"> SEQ Table \* ARABIC </w:instrText>
      </w:r>
      <w:r w:rsidRPr="00AA57FC">
        <w:rPr>
          <w:sz w:val="24"/>
          <w:szCs w:val="24"/>
        </w:rPr>
        <w:fldChar w:fldCharType="separate"/>
      </w:r>
      <w:r w:rsidR="00692D91">
        <w:rPr>
          <w:noProof/>
          <w:sz w:val="24"/>
          <w:szCs w:val="24"/>
        </w:rPr>
        <w:t>3</w:t>
      </w:r>
      <w:r w:rsidRPr="00AA57FC">
        <w:rPr>
          <w:sz w:val="24"/>
          <w:szCs w:val="24"/>
        </w:rPr>
        <w:fldChar w:fldCharType="end"/>
      </w:r>
      <w:bookmarkEnd w:id="27"/>
      <w:r w:rsidR="00835327" w:rsidRPr="00AA57FC">
        <w:rPr>
          <w:sz w:val="24"/>
          <w:szCs w:val="24"/>
        </w:rPr>
        <w:t xml:space="preserve"> Predictions for per cent changes in output</w:t>
      </w:r>
      <w:bookmarkEnd w:id="28"/>
      <w:r w:rsidR="00835327" w:rsidRPr="00AA57FC">
        <w:rPr>
          <w:sz w:val="24"/>
          <w:szCs w:val="24"/>
        </w:rPr>
        <w:t xml:space="preserve"> </w:t>
      </w:r>
    </w:p>
    <w:tbl>
      <w:tblPr>
        <w:tblStyle w:val="TableGrid"/>
        <w:tblW w:w="0" w:type="auto"/>
        <w:tblLook w:val="04A0" w:firstRow="1" w:lastRow="0" w:firstColumn="1" w:lastColumn="0" w:noHBand="0" w:noVBand="1"/>
      </w:tblPr>
      <w:tblGrid>
        <w:gridCol w:w="2573"/>
        <w:gridCol w:w="1675"/>
        <w:gridCol w:w="1398"/>
        <w:gridCol w:w="1973"/>
        <w:gridCol w:w="1397"/>
      </w:tblGrid>
      <w:tr w:rsidR="00A272B0" w:rsidRPr="00C353FE" w14:paraId="38338BB8" w14:textId="76C07E1B" w:rsidTr="00A272B0">
        <w:tc>
          <w:tcPr>
            <w:tcW w:w="2573" w:type="dxa"/>
          </w:tcPr>
          <w:p w14:paraId="7FEB072A" w14:textId="77777777" w:rsidR="00A272B0" w:rsidRPr="00C353FE" w:rsidRDefault="00A272B0" w:rsidP="00B47E5D">
            <w:r w:rsidRPr="00C353FE">
              <w:t>Crop</w:t>
            </w:r>
          </w:p>
        </w:tc>
        <w:tc>
          <w:tcPr>
            <w:tcW w:w="1675" w:type="dxa"/>
          </w:tcPr>
          <w:p w14:paraId="767ED7A8" w14:textId="7512F82B" w:rsidR="00A272B0" w:rsidRPr="00C353FE" w:rsidRDefault="00A272B0" w:rsidP="00C137D9">
            <w:pPr>
              <w:jc w:val="center"/>
            </w:pPr>
            <w:r w:rsidRPr="00C353FE">
              <w:t>Pessimistic view</w:t>
            </w:r>
            <w:r w:rsidR="00DF1BC9" w:rsidRPr="00C353FE">
              <w:t xml:space="preserve"> (simulated)</w:t>
            </w:r>
          </w:p>
        </w:tc>
        <w:tc>
          <w:tcPr>
            <w:tcW w:w="1398" w:type="dxa"/>
          </w:tcPr>
          <w:p w14:paraId="768D10E6" w14:textId="0666626B" w:rsidR="00A272B0" w:rsidRPr="00C353FE" w:rsidRDefault="00A272B0" w:rsidP="00C137D9">
            <w:pPr>
              <w:jc w:val="center"/>
            </w:pPr>
            <w:r w:rsidRPr="00C353FE">
              <w:t>% Shock per annum</w:t>
            </w:r>
          </w:p>
        </w:tc>
        <w:tc>
          <w:tcPr>
            <w:tcW w:w="1973" w:type="dxa"/>
          </w:tcPr>
          <w:p w14:paraId="7B243C8B" w14:textId="07CCC7A5" w:rsidR="00A272B0" w:rsidRPr="00C353FE" w:rsidRDefault="00A272B0">
            <w:pPr>
              <w:jc w:val="center"/>
            </w:pPr>
            <w:r w:rsidRPr="00C353FE">
              <w:t>Optimistic view</w:t>
            </w:r>
            <w:r w:rsidR="00DF1BC9" w:rsidRPr="00C353FE">
              <w:t xml:space="preserve"> (not simulated)</w:t>
            </w:r>
          </w:p>
        </w:tc>
        <w:tc>
          <w:tcPr>
            <w:tcW w:w="1397" w:type="dxa"/>
          </w:tcPr>
          <w:p w14:paraId="51B2CD5D" w14:textId="73438519" w:rsidR="00A272B0" w:rsidRPr="00C353FE" w:rsidRDefault="00A272B0" w:rsidP="00C137D9">
            <w:pPr>
              <w:jc w:val="center"/>
            </w:pPr>
            <w:r w:rsidRPr="00C353FE">
              <w:t>% Shock per annum</w:t>
            </w:r>
          </w:p>
        </w:tc>
      </w:tr>
      <w:tr w:rsidR="003C65FE" w14:paraId="436346B8" w14:textId="537D56DB" w:rsidTr="00A272B0">
        <w:tc>
          <w:tcPr>
            <w:tcW w:w="2573" w:type="dxa"/>
          </w:tcPr>
          <w:p w14:paraId="2C83E8FD" w14:textId="77777777" w:rsidR="003C65FE" w:rsidRDefault="003C65FE" w:rsidP="003C65FE">
            <w:r>
              <w:t>Annual crops</w:t>
            </w:r>
          </w:p>
        </w:tc>
        <w:tc>
          <w:tcPr>
            <w:tcW w:w="1675" w:type="dxa"/>
          </w:tcPr>
          <w:p w14:paraId="5B8DEEE7" w14:textId="0447B3A6" w:rsidR="003C65FE" w:rsidRDefault="003C65FE" w:rsidP="003C65FE">
            <w:pPr>
              <w:jc w:val="center"/>
            </w:pPr>
            <w:r>
              <w:t>No shock</w:t>
            </w:r>
          </w:p>
        </w:tc>
        <w:tc>
          <w:tcPr>
            <w:tcW w:w="1398" w:type="dxa"/>
          </w:tcPr>
          <w:p w14:paraId="2DFD4DBF" w14:textId="6557ADD7" w:rsidR="003C65FE" w:rsidRDefault="003C65FE" w:rsidP="003C65FE">
            <w:pPr>
              <w:jc w:val="center"/>
            </w:pPr>
            <w:r>
              <w:t>-</w:t>
            </w:r>
          </w:p>
        </w:tc>
        <w:tc>
          <w:tcPr>
            <w:tcW w:w="1973" w:type="dxa"/>
          </w:tcPr>
          <w:p w14:paraId="6F12E836" w14:textId="0FA48A99" w:rsidR="003C65FE" w:rsidRDefault="003C65FE" w:rsidP="003C65FE">
            <w:pPr>
              <w:jc w:val="center"/>
            </w:pPr>
            <w:r>
              <w:t>No shock</w:t>
            </w:r>
          </w:p>
        </w:tc>
        <w:tc>
          <w:tcPr>
            <w:tcW w:w="1397" w:type="dxa"/>
          </w:tcPr>
          <w:p w14:paraId="0A79E2E2" w14:textId="798E6165" w:rsidR="003C65FE" w:rsidRDefault="003C65FE" w:rsidP="003C65FE">
            <w:pPr>
              <w:jc w:val="center"/>
            </w:pPr>
            <w:r>
              <w:t>-</w:t>
            </w:r>
          </w:p>
        </w:tc>
      </w:tr>
      <w:tr w:rsidR="00A272B0" w14:paraId="06C93289" w14:textId="0101AAFB" w:rsidTr="00A272B0">
        <w:tc>
          <w:tcPr>
            <w:tcW w:w="2573" w:type="dxa"/>
          </w:tcPr>
          <w:p w14:paraId="529CD849" w14:textId="77777777" w:rsidR="00A272B0" w:rsidRDefault="00A272B0" w:rsidP="00B47E5D">
            <w:r>
              <w:t>Coffee and Tea</w:t>
            </w:r>
          </w:p>
        </w:tc>
        <w:tc>
          <w:tcPr>
            <w:tcW w:w="1675" w:type="dxa"/>
          </w:tcPr>
          <w:p w14:paraId="66224162" w14:textId="77777777" w:rsidR="00A272B0" w:rsidRDefault="00A272B0" w:rsidP="00B47E5D">
            <w:pPr>
              <w:jc w:val="center"/>
            </w:pPr>
            <w:r>
              <w:t>-30</w:t>
            </w:r>
          </w:p>
        </w:tc>
        <w:tc>
          <w:tcPr>
            <w:tcW w:w="1398" w:type="dxa"/>
          </w:tcPr>
          <w:p w14:paraId="2F16AC6E" w14:textId="4ACCAB0C" w:rsidR="00A272B0" w:rsidRDefault="00A272B0" w:rsidP="00B47E5D">
            <w:pPr>
              <w:jc w:val="center"/>
            </w:pPr>
            <w:r>
              <w:t>-0.658</w:t>
            </w:r>
          </w:p>
        </w:tc>
        <w:tc>
          <w:tcPr>
            <w:tcW w:w="1973" w:type="dxa"/>
          </w:tcPr>
          <w:p w14:paraId="4B3336C6" w14:textId="699C5FDE" w:rsidR="00A272B0" w:rsidRDefault="00A272B0" w:rsidP="00B47E5D">
            <w:pPr>
              <w:jc w:val="center"/>
            </w:pPr>
            <w:r>
              <w:t>-12.6</w:t>
            </w:r>
          </w:p>
        </w:tc>
        <w:tc>
          <w:tcPr>
            <w:tcW w:w="1397" w:type="dxa"/>
          </w:tcPr>
          <w:p w14:paraId="38091F79" w14:textId="41EBE792" w:rsidR="00A272B0" w:rsidRDefault="00A272B0" w:rsidP="00B47E5D">
            <w:pPr>
              <w:jc w:val="center"/>
            </w:pPr>
            <w:r>
              <w:t>-0.297</w:t>
            </w:r>
          </w:p>
        </w:tc>
      </w:tr>
      <w:tr w:rsidR="00A272B0" w14:paraId="04DA40F8" w14:textId="510938F4" w:rsidTr="00A272B0">
        <w:tc>
          <w:tcPr>
            <w:tcW w:w="2573" w:type="dxa"/>
          </w:tcPr>
          <w:p w14:paraId="6FA454C2" w14:textId="77777777" w:rsidR="00A272B0" w:rsidRDefault="00A272B0" w:rsidP="00B47E5D">
            <w:r>
              <w:t>Wheat</w:t>
            </w:r>
          </w:p>
        </w:tc>
        <w:tc>
          <w:tcPr>
            <w:tcW w:w="1675" w:type="dxa"/>
          </w:tcPr>
          <w:p w14:paraId="0E549003" w14:textId="77777777" w:rsidR="00A272B0" w:rsidRDefault="00A272B0" w:rsidP="00B47E5D">
            <w:pPr>
              <w:jc w:val="center"/>
            </w:pPr>
            <w:r>
              <w:t>-63</w:t>
            </w:r>
          </w:p>
        </w:tc>
        <w:tc>
          <w:tcPr>
            <w:tcW w:w="1398" w:type="dxa"/>
          </w:tcPr>
          <w:p w14:paraId="553E050E" w14:textId="1C3BDF2E" w:rsidR="00A272B0" w:rsidRDefault="00A272B0" w:rsidP="00B47E5D">
            <w:pPr>
              <w:jc w:val="center"/>
            </w:pPr>
            <w:r>
              <w:t>-1.229</w:t>
            </w:r>
          </w:p>
        </w:tc>
        <w:tc>
          <w:tcPr>
            <w:tcW w:w="1973" w:type="dxa"/>
          </w:tcPr>
          <w:p w14:paraId="5D258E8B" w14:textId="13E1B734" w:rsidR="00A272B0" w:rsidRDefault="00A272B0" w:rsidP="00B47E5D">
            <w:pPr>
              <w:jc w:val="center"/>
            </w:pPr>
            <w:r>
              <w:t>-34</w:t>
            </w:r>
          </w:p>
        </w:tc>
        <w:tc>
          <w:tcPr>
            <w:tcW w:w="1397" w:type="dxa"/>
          </w:tcPr>
          <w:p w14:paraId="69DABF55" w14:textId="1EB6734F" w:rsidR="00A272B0" w:rsidRDefault="00A272B0" w:rsidP="00B47E5D">
            <w:pPr>
              <w:jc w:val="center"/>
            </w:pPr>
            <w:r>
              <w:t>-0.734</w:t>
            </w:r>
          </w:p>
        </w:tc>
      </w:tr>
      <w:tr w:rsidR="00A272B0" w14:paraId="037ED74F" w14:textId="07EAFFCA" w:rsidTr="00A272B0">
        <w:tc>
          <w:tcPr>
            <w:tcW w:w="2573" w:type="dxa"/>
          </w:tcPr>
          <w:p w14:paraId="43FB0EBC" w14:textId="77777777" w:rsidR="00A272B0" w:rsidRDefault="00A272B0" w:rsidP="00B47E5D">
            <w:r>
              <w:t>Maize</w:t>
            </w:r>
          </w:p>
        </w:tc>
        <w:tc>
          <w:tcPr>
            <w:tcW w:w="1675" w:type="dxa"/>
          </w:tcPr>
          <w:p w14:paraId="11711552" w14:textId="77777777" w:rsidR="00A272B0" w:rsidRDefault="00A272B0" w:rsidP="00B47E5D">
            <w:pPr>
              <w:jc w:val="center"/>
            </w:pPr>
            <w:r>
              <w:t>-10</w:t>
            </w:r>
          </w:p>
        </w:tc>
        <w:tc>
          <w:tcPr>
            <w:tcW w:w="1398" w:type="dxa"/>
          </w:tcPr>
          <w:p w14:paraId="1AA244A0" w14:textId="2E87B1F1" w:rsidR="00A272B0" w:rsidRDefault="00A272B0" w:rsidP="00B47E5D">
            <w:pPr>
              <w:jc w:val="center"/>
            </w:pPr>
            <w:r>
              <w:t>-0.239</w:t>
            </w:r>
          </w:p>
        </w:tc>
        <w:tc>
          <w:tcPr>
            <w:tcW w:w="1973" w:type="dxa"/>
          </w:tcPr>
          <w:p w14:paraId="3A4BA828" w14:textId="4754C8A5" w:rsidR="00A272B0" w:rsidRDefault="00A272B0" w:rsidP="00B47E5D">
            <w:pPr>
              <w:jc w:val="center"/>
            </w:pPr>
            <w:r>
              <w:t>-8.3</w:t>
            </w:r>
          </w:p>
        </w:tc>
        <w:tc>
          <w:tcPr>
            <w:tcW w:w="1397" w:type="dxa"/>
          </w:tcPr>
          <w:p w14:paraId="5D63AF0A" w14:textId="684C80D5" w:rsidR="00A272B0" w:rsidRDefault="00A272B0" w:rsidP="00B47E5D">
            <w:pPr>
              <w:jc w:val="center"/>
            </w:pPr>
            <w:r>
              <w:t>-0.2</w:t>
            </w:r>
          </w:p>
        </w:tc>
      </w:tr>
      <w:tr w:rsidR="00A272B0" w14:paraId="0889E99D" w14:textId="543EF77C" w:rsidTr="00A272B0">
        <w:tc>
          <w:tcPr>
            <w:tcW w:w="2573" w:type="dxa"/>
          </w:tcPr>
          <w:p w14:paraId="34169DD5" w14:textId="77777777" w:rsidR="00A272B0" w:rsidRDefault="00A272B0" w:rsidP="00B47E5D">
            <w:r>
              <w:t>Sorghum</w:t>
            </w:r>
          </w:p>
        </w:tc>
        <w:tc>
          <w:tcPr>
            <w:tcW w:w="1675" w:type="dxa"/>
          </w:tcPr>
          <w:p w14:paraId="62B1CDB1" w14:textId="77777777" w:rsidR="00A272B0" w:rsidRDefault="00A272B0" w:rsidP="00B47E5D">
            <w:pPr>
              <w:jc w:val="center"/>
            </w:pPr>
            <w:r>
              <w:t>-5</w:t>
            </w:r>
          </w:p>
        </w:tc>
        <w:tc>
          <w:tcPr>
            <w:tcW w:w="1398" w:type="dxa"/>
          </w:tcPr>
          <w:p w14:paraId="5C04F400" w14:textId="5369BA52" w:rsidR="00A272B0" w:rsidRDefault="00A272B0" w:rsidP="00B47E5D">
            <w:pPr>
              <w:jc w:val="center"/>
            </w:pPr>
            <w:r>
              <w:t>-0.122</w:t>
            </w:r>
          </w:p>
        </w:tc>
        <w:tc>
          <w:tcPr>
            <w:tcW w:w="1973" w:type="dxa"/>
          </w:tcPr>
          <w:p w14:paraId="5A2CECEB" w14:textId="5E2F6A11" w:rsidR="00A272B0" w:rsidRDefault="00A272B0" w:rsidP="00B47E5D">
            <w:pPr>
              <w:jc w:val="center"/>
            </w:pPr>
            <w:r>
              <w:t>0</w:t>
            </w:r>
          </w:p>
        </w:tc>
        <w:tc>
          <w:tcPr>
            <w:tcW w:w="1397" w:type="dxa"/>
          </w:tcPr>
          <w:p w14:paraId="0EA93C9F" w14:textId="6CD880F8" w:rsidR="00A272B0" w:rsidRDefault="00A272B0" w:rsidP="00B47E5D">
            <w:pPr>
              <w:jc w:val="center"/>
            </w:pPr>
            <w:r>
              <w:t>0</w:t>
            </w:r>
          </w:p>
        </w:tc>
      </w:tr>
      <w:tr w:rsidR="00A272B0" w14:paraId="2C446AA2" w14:textId="0D875ACF" w:rsidTr="00A272B0">
        <w:tc>
          <w:tcPr>
            <w:tcW w:w="2573" w:type="dxa"/>
          </w:tcPr>
          <w:p w14:paraId="2DD3D147" w14:textId="77777777" w:rsidR="00A272B0" w:rsidRDefault="00A272B0" w:rsidP="00B47E5D">
            <w:r>
              <w:t>Other cereals</w:t>
            </w:r>
          </w:p>
        </w:tc>
        <w:tc>
          <w:tcPr>
            <w:tcW w:w="1675" w:type="dxa"/>
          </w:tcPr>
          <w:p w14:paraId="32104ED6" w14:textId="77777777" w:rsidR="00A272B0" w:rsidRDefault="00A272B0" w:rsidP="00B47E5D">
            <w:pPr>
              <w:jc w:val="center"/>
            </w:pPr>
            <w:r>
              <w:t>-8</w:t>
            </w:r>
          </w:p>
        </w:tc>
        <w:tc>
          <w:tcPr>
            <w:tcW w:w="1398" w:type="dxa"/>
          </w:tcPr>
          <w:p w14:paraId="4FF7DA85" w14:textId="1A6D111E" w:rsidR="00A272B0" w:rsidRDefault="00A272B0" w:rsidP="00B47E5D">
            <w:pPr>
              <w:jc w:val="center"/>
            </w:pPr>
            <w:r>
              <w:t>-0.193</w:t>
            </w:r>
          </w:p>
        </w:tc>
        <w:tc>
          <w:tcPr>
            <w:tcW w:w="1973" w:type="dxa"/>
          </w:tcPr>
          <w:p w14:paraId="36AD2A81" w14:textId="45119E6F" w:rsidR="00A272B0" w:rsidRDefault="00A272B0" w:rsidP="00B47E5D">
            <w:pPr>
              <w:jc w:val="center"/>
            </w:pPr>
            <w:r>
              <w:t>-4</w:t>
            </w:r>
          </w:p>
        </w:tc>
        <w:tc>
          <w:tcPr>
            <w:tcW w:w="1397" w:type="dxa"/>
          </w:tcPr>
          <w:p w14:paraId="1CB36FC6" w14:textId="60F44963" w:rsidR="00A272B0" w:rsidRDefault="00A272B0" w:rsidP="00B47E5D">
            <w:pPr>
              <w:jc w:val="center"/>
            </w:pPr>
            <w:r>
              <w:t>-0.098</w:t>
            </w:r>
          </w:p>
        </w:tc>
      </w:tr>
      <w:tr w:rsidR="00A272B0" w14:paraId="052898C4" w14:textId="2AD3B7BA" w:rsidTr="00A272B0">
        <w:tc>
          <w:tcPr>
            <w:tcW w:w="2573" w:type="dxa"/>
          </w:tcPr>
          <w:p w14:paraId="57BBA589" w14:textId="77777777" w:rsidR="00A272B0" w:rsidRDefault="00A272B0" w:rsidP="00B47E5D">
            <w:r>
              <w:t>Pulses</w:t>
            </w:r>
          </w:p>
        </w:tc>
        <w:tc>
          <w:tcPr>
            <w:tcW w:w="1675" w:type="dxa"/>
          </w:tcPr>
          <w:p w14:paraId="54CA6D0F" w14:textId="77777777" w:rsidR="00A272B0" w:rsidRDefault="00A272B0" w:rsidP="00B47E5D">
            <w:pPr>
              <w:jc w:val="center"/>
            </w:pPr>
            <w:r>
              <w:t>-10</w:t>
            </w:r>
          </w:p>
        </w:tc>
        <w:tc>
          <w:tcPr>
            <w:tcW w:w="1398" w:type="dxa"/>
          </w:tcPr>
          <w:p w14:paraId="40B5F101" w14:textId="049AB75A" w:rsidR="00A272B0" w:rsidRDefault="00A272B0" w:rsidP="00B47E5D">
            <w:pPr>
              <w:jc w:val="center"/>
            </w:pPr>
            <w:r>
              <w:t>-0.239</w:t>
            </w:r>
          </w:p>
        </w:tc>
        <w:tc>
          <w:tcPr>
            <w:tcW w:w="1973" w:type="dxa"/>
          </w:tcPr>
          <w:p w14:paraId="74C6AEB0" w14:textId="7287041E" w:rsidR="00A272B0" w:rsidRDefault="00A272B0" w:rsidP="00B47E5D">
            <w:pPr>
              <w:jc w:val="center"/>
            </w:pPr>
            <w:r>
              <w:t>-3</w:t>
            </w:r>
          </w:p>
        </w:tc>
        <w:tc>
          <w:tcPr>
            <w:tcW w:w="1397" w:type="dxa"/>
          </w:tcPr>
          <w:p w14:paraId="173C2846" w14:textId="130C817D" w:rsidR="00A272B0" w:rsidRDefault="00A272B0" w:rsidP="00B47E5D">
            <w:pPr>
              <w:jc w:val="center"/>
            </w:pPr>
            <w:r>
              <w:t>-0.074</w:t>
            </w:r>
          </w:p>
        </w:tc>
      </w:tr>
      <w:tr w:rsidR="00A272B0" w14:paraId="4FF57BE9" w14:textId="79E1C6C4" w:rsidTr="00A272B0">
        <w:tc>
          <w:tcPr>
            <w:tcW w:w="2573" w:type="dxa"/>
          </w:tcPr>
          <w:p w14:paraId="01795061" w14:textId="3FB1EA3B" w:rsidR="00A272B0" w:rsidRDefault="009668F1" w:rsidP="00B47E5D">
            <w:r>
              <w:t>Root crops</w:t>
            </w:r>
          </w:p>
        </w:tc>
        <w:tc>
          <w:tcPr>
            <w:tcW w:w="1675" w:type="dxa"/>
          </w:tcPr>
          <w:p w14:paraId="260D3D0E" w14:textId="77777777" w:rsidR="00A272B0" w:rsidRDefault="00A272B0" w:rsidP="00B47E5D">
            <w:pPr>
              <w:jc w:val="center"/>
            </w:pPr>
            <w:r>
              <w:t>-8</w:t>
            </w:r>
          </w:p>
        </w:tc>
        <w:tc>
          <w:tcPr>
            <w:tcW w:w="1398" w:type="dxa"/>
          </w:tcPr>
          <w:p w14:paraId="4BDFE938" w14:textId="0637F004" w:rsidR="00A272B0" w:rsidRDefault="00A272B0" w:rsidP="00B47E5D">
            <w:pPr>
              <w:jc w:val="center"/>
            </w:pPr>
            <w:r>
              <w:t>-0.193</w:t>
            </w:r>
          </w:p>
        </w:tc>
        <w:tc>
          <w:tcPr>
            <w:tcW w:w="1973" w:type="dxa"/>
          </w:tcPr>
          <w:p w14:paraId="64EC152E" w14:textId="1EEB81D1" w:rsidR="00A272B0" w:rsidRDefault="00A272B0" w:rsidP="00B47E5D">
            <w:pPr>
              <w:jc w:val="center"/>
            </w:pPr>
            <w:r>
              <w:t>+8</w:t>
            </w:r>
          </w:p>
        </w:tc>
        <w:tc>
          <w:tcPr>
            <w:tcW w:w="1397" w:type="dxa"/>
          </w:tcPr>
          <w:p w14:paraId="65933607" w14:textId="0A62014C" w:rsidR="00A272B0" w:rsidRDefault="00A272B0" w:rsidP="00B47E5D">
            <w:pPr>
              <w:jc w:val="center"/>
            </w:pPr>
            <w:r>
              <w:t>0.193</w:t>
            </w:r>
          </w:p>
        </w:tc>
      </w:tr>
      <w:tr w:rsidR="00A272B0" w14:paraId="1C6150E1" w14:textId="5B8C88E0" w:rsidTr="00A272B0">
        <w:tc>
          <w:tcPr>
            <w:tcW w:w="2573" w:type="dxa"/>
          </w:tcPr>
          <w:p w14:paraId="179F74E9" w14:textId="77777777" w:rsidR="00A272B0" w:rsidRDefault="00A272B0" w:rsidP="00B47E5D">
            <w:r>
              <w:t>Cassava</w:t>
            </w:r>
          </w:p>
        </w:tc>
        <w:tc>
          <w:tcPr>
            <w:tcW w:w="1675" w:type="dxa"/>
          </w:tcPr>
          <w:p w14:paraId="5B54CB43" w14:textId="77777777" w:rsidR="00A272B0" w:rsidRDefault="00A272B0" w:rsidP="00B47E5D">
            <w:pPr>
              <w:jc w:val="center"/>
            </w:pPr>
            <w:r>
              <w:t>-16</w:t>
            </w:r>
          </w:p>
        </w:tc>
        <w:tc>
          <w:tcPr>
            <w:tcW w:w="1398" w:type="dxa"/>
          </w:tcPr>
          <w:p w14:paraId="53A3FECB" w14:textId="6B5787FB" w:rsidR="00A272B0" w:rsidRDefault="00A272B0" w:rsidP="00B47E5D">
            <w:pPr>
              <w:jc w:val="center"/>
            </w:pPr>
            <w:r>
              <w:t>-0.372</w:t>
            </w:r>
          </w:p>
        </w:tc>
        <w:tc>
          <w:tcPr>
            <w:tcW w:w="1973" w:type="dxa"/>
          </w:tcPr>
          <w:p w14:paraId="5F06A127" w14:textId="6802EF52" w:rsidR="00A272B0" w:rsidRDefault="00A272B0" w:rsidP="00B47E5D">
            <w:pPr>
              <w:jc w:val="center"/>
            </w:pPr>
            <w:r>
              <w:t>+10</w:t>
            </w:r>
          </w:p>
        </w:tc>
        <w:tc>
          <w:tcPr>
            <w:tcW w:w="1397" w:type="dxa"/>
          </w:tcPr>
          <w:p w14:paraId="396BED84" w14:textId="054FFC72" w:rsidR="00A272B0" w:rsidRDefault="00A272B0" w:rsidP="00B47E5D">
            <w:pPr>
              <w:jc w:val="center"/>
            </w:pPr>
            <w:r>
              <w:t>0.239</w:t>
            </w:r>
          </w:p>
        </w:tc>
      </w:tr>
      <w:tr w:rsidR="00A272B0" w14:paraId="2AD1C01E" w14:textId="7C83A941" w:rsidTr="00A272B0">
        <w:tc>
          <w:tcPr>
            <w:tcW w:w="2573" w:type="dxa"/>
          </w:tcPr>
          <w:p w14:paraId="5C6876F1" w14:textId="63107898" w:rsidR="00A272B0" w:rsidRDefault="00A272B0" w:rsidP="00B47E5D">
            <w:r>
              <w:t>Bananas</w:t>
            </w:r>
            <w:r w:rsidR="009668F1">
              <w:t xml:space="preserve"> </w:t>
            </w:r>
            <w:r>
              <w:t>(matooke)</w:t>
            </w:r>
          </w:p>
        </w:tc>
        <w:tc>
          <w:tcPr>
            <w:tcW w:w="1675" w:type="dxa"/>
          </w:tcPr>
          <w:p w14:paraId="2EA7E606" w14:textId="77777777" w:rsidR="00A272B0" w:rsidRDefault="00A272B0" w:rsidP="00B47E5D">
            <w:pPr>
              <w:jc w:val="center"/>
            </w:pPr>
            <w:r>
              <w:t>-5</w:t>
            </w:r>
          </w:p>
        </w:tc>
        <w:tc>
          <w:tcPr>
            <w:tcW w:w="1398" w:type="dxa"/>
          </w:tcPr>
          <w:p w14:paraId="29C0245E" w14:textId="529B622F" w:rsidR="00A272B0" w:rsidRDefault="00A272B0" w:rsidP="00B47E5D">
            <w:pPr>
              <w:jc w:val="center"/>
            </w:pPr>
            <w:r>
              <w:t>-0.122</w:t>
            </w:r>
          </w:p>
        </w:tc>
        <w:tc>
          <w:tcPr>
            <w:tcW w:w="1973" w:type="dxa"/>
          </w:tcPr>
          <w:p w14:paraId="7A305249" w14:textId="5572A210" w:rsidR="00A272B0" w:rsidRDefault="00A272B0" w:rsidP="00B47E5D">
            <w:pPr>
              <w:jc w:val="center"/>
            </w:pPr>
            <w:r>
              <w:t>+10</w:t>
            </w:r>
          </w:p>
        </w:tc>
        <w:tc>
          <w:tcPr>
            <w:tcW w:w="1397" w:type="dxa"/>
          </w:tcPr>
          <w:p w14:paraId="62012DAE" w14:textId="68946333" w:rsidR="00A272B0" w:rsidRDefault="00A272B0" w:rsidP="00B47E5D">
            <w:pPr>
              <w:jc w:val="center"/>
            </w:pPr>
            <w:r>
              <w:t>0.239</w:t>
            </w:r>
          </w:p>
        </w:tc>
      </w:tr>
      <w:tr w:rsidR="003C65FE" w14:paraId="63D71180" w14:textId="62424AD8" w:rsidTr="00A272B0">
        <w:tc>
          <w:tcPr>
            <w:tcW w:w="2573" w:type="dxa"/>
          </w:tcPr>
          <w:p w14:paraId="4BC413A4" w14:textId="77777777" w:rsidR="003C65FE" w:rsidRDefault="003C65FE" w:rsidP="003C65FE">
            <w:r>
              <w:t>Livestock</w:t>
            </w:r>
          </w:p>
        </w:tc>
        <w:tc>
          <w:tcPr>
            <w:tcW w:w="1675" w:type="dxa"/>
          </w:tcPr>
          <w:p w14:paraId="3C326520" w14:textId="77777777" w:rsidR="003C65FE" w:rsidRDefault="003C65FE" w:rsidP="003C65FE">
            <w:pPr>
              <w:jc w:val="center"/>
            </w:pPr>
            <w:r>
              <w:t>No shock</w:t>
            </w:r>
          </w:p>
        </w:tc>
        <w:tc>
          <w:tcPr>
            <w:tcW w:w="1398" w:type="dxa"/>
          </w:tcPr>
          <w:p w14:paraId="7087225B" w14:textId="7DF58E88" w:rsidR="003C65FE" w:rsidRDefault="003C65FE" w:rsidP="003C65FE">
            <w:pPr>
              <w:jc w:val="center"/>
            </w:pPr>
            <w:r>
              <w:t>-</w:t>
            </w:r>
          </w:p>
        </w:tc>
        <w:tc>
          <w:tcPr>
            <w:tcW w:w="1973" w:type="dxa"/>
          </w:tcPr>
          <w:p w14:paraId="745E61B3" w14:textId="74A02D36" w:rsidR="003C65FE" w:rsidRDefault="003C65FE" w:rsidP="003C65FE">
            <w:pPr>
              <w:jc w:val="center"/>
            </w:pPr>
            <w:r>
              <w:t>No shock</w:t>
            </w:r>
          </w:p>
        </w:tc>
        <w:tc>
          <w:tcPr>
            <w:tcW w:w="1397" w:type="dxa"/>
          </w:tcPr>
          <w:p w14:paraId="243E2A1F" w14:textId="3FF35C97" w:rsidR="003C65FE" w:rsidRDefault="003C65FE" w:rsidP="003C65FE">
            <w:pPr>
              <w:jc w:val="center"/>
            </w:pPr>
            <w:r>
              <w:t>-</w:t>
            </w:r>
          </w:p>
        </w:tc>
      </w:tr>
      <w:tr w:rsidR="00A272B0" w14:paraId="47FE9923" w14:textId="7FE29F14" w:rsidTr="00A272B0">
        <w:tc>
          <w:tcPr>
            <w:tcW w:w="2573" w:type="dxa"/>
          </w:tcPr>
          <w:p w14:paraId="4CC756E8" w14:textId="77777777" w:rsidR="00A272B0" w:rsidRDefault="00A272B0" w:rsidP="00B47E5D">
            <w:r>
              <w:t>Fishing</w:t>
            </w:r>
          </w:p>
        </w:tc>
        <w:tc>
          <w:tcPr>
            <w:tcW w:w="1675" w:type="dxa"/>
          </w:tcPr>
          <w:p w14:paraId="165DE258" w14:textId="77777777" w:rsidR="00A272B0" w:rsidRDefault="00A272B0" w:rsidP="00B47E5D">
            <w:pPr>
              <w:jc w:val="center"/>
            </w:pPr>
            <w:r>
              <w:t>-10</w:t>
            </w:r>
          </w:p>
        </w:tc>
        <w:tc>
          <w:tcPr>
            <w:tcW w:w="1398" w:type="dxa"/>
          </w:tcPr>
          <w:p w14:paraId="64B3BEE1" w14:textId="1FC9B5C3" w:rsidR="00A272B0" w:rsidRDefault="00A272B0" w:rsidP="00B47E5D">
            <w:pPr>
              <w:jc w:val="center"/>
            </w:pPr>
            <w:r>
              <w:t>-0.239</w:t>
            </w:r>
          </w:p>
        </w:tc>
        <w:tc>
          <w:tcPr>
            <w:tcW w:w="1973" w:type="dxa"/>
          </w:tcPr>
          <w:p w14:paraId="2AC0F833" w14:textId="0B3E00DC" w:rsidR="00A272B0" w:rsidRDefault="00A272B0" w:rsidP="00B47E5D">
            <w:pPr>
              <w:jc w:val="center"/>
            </w:pPr>
            <w:r>
              <w:t>0</w:t>
            </w:r>
          </w:p>
        </w:tc>
        <w:tc>
          <w:tcPr>
            <w:tcW w:w="1397" w:type="dxa"/>
          </w:tcPr>
          <w:p w14:paraId="33FDCED5" w14:textId="184EAB72" w:rsidR="00A272B0" w:rsidRDefault="00A272B0" w:rsidP="00B47E5D">
            <w:pPr>
              <w:jc w:val="center"/>
            </w:pPr>
            <w:r>
              <w:t>0</w:t>
            </w:r>
          </w:p>
        </w:tc>
      </w:tr>
    </w:tbl>
    <w:p w14:paraId="7418385F" w14:textId="74517757" w:rsidR="00F40B1C" w:rsidRDefault="00587DA5" w:rsidP="00936BAC">
      <w:pPr>
        <w:pStyle w:val="Heading1"/>
      </w:pPr>
      <w:bookmarkStart w:id="29" w:name="_Toc525042500"/>
      <w:r>
        <w:t>The model</w:t>
      </w:r>
      <w:r w:rsidR="00E502D9">
        <w:t xml:space="preserve"> </w:t>
      </w:r>
      <w:r w:rsidR="003C217E">
        <w:t>and database</w:t>
      </w:r>
      <w:bookmarkEnd w:id="29"/>
    </w:p>
    <w:p w14:paraId="4D5AC7D2" w14:textId="561C46C0" w:rsidR="002816CF" w:rsidRDefault="005E1F40" w:rsidP="005C4484">
      <w:pPr>
        <w:jc w:val="both"/>
      </w:pPr>
      <w:r>
        <w:t xml:space="preserve">We use a </w:t>
      </w:r>
      <w:r w:rsidR="0099172F">
        <w:t>dynamic</w:t>
      </w:r>
      <w:r>
        <w:t xml:space="preserve"> version of the </w:t>
      </w:r>
      <w:r w:rsidR="007538A9">
        <w:t>UgAGE</w:t>
      </w:r>
      <w:r w:rsidR="002816CF">
        <w:t xml:space="preserve"> </w:t>
      </w:r>
      <w:r>
        <w:t xml:space="preserve">CGE model built by the Centre of Policy Studies. UgAGE is based on a framework adopted for models of many countries, as outlined in </w:t>
      </w:r>
      <w:r w:rsidR="002816CF" w:rsidRPr="000D50C7">
        <w:t xml:space="preserve">Dixon and Rimmer (2002) and Dixon </w:t>
      </w:r>
      <w:r w:rsidR="002816CF" w:rsidRPr="00E01420">
        <w:rPr>
          <w:i/>
        </w:rPr>
        <w:t>et al</w:t>
      </w:r>
      <w:r w:rsidR="002816CF">
        <w:rPr>
          <w:i/>
        </w:rPr>
        <w:t>.</w:t>
      </w:r>
      <w:r w:rsidR="002816CF" w:rsidRPr="000D50C7">
        <w:t xml:space="preserve"> (1982).</w:t>
      </w:r>
      <w:r w:rsidR="002816CF">
        <w:t xml:space="preserve"> </w:t>
      </w:r>
    </w:p>
    <w:p w14:paraId="7D4D4753" w14:textId="1CF49D31" w:rsidR="00B47E5D" w:rsidRDefault="009A6846" w:rsidP="00B47E5D">
      <w:r>
        <w:t xml:space="preserve">The </w:t>
      </w:r>
      <w:r w:rsidR="005E1F40">
        <w:t xml:space="preserve">theory underlying </w:t>
      </w:r>
      <w:r w:rsidR="007538A9">
        <w:t>UgAGE</w:t>
      </w:r>
      <w:r>
        <w:t xml:space="preserve"> </w:t>
      </w:r>
      <w:r w:rsidR="005E1F40">
        <w:t xml:space="preserve">can be divided into three parts. </w:t>
      </w:r>
    </w:p>
    <w:p w14:paraId="18B6294D" w14:textId="4B373AF2" w:rsidR="00B47E5D" w:rsidRDefault="00B47E5D" w:rsidP="00B47E5D">
      <w:r>
        <w:t xml:space="preserve">The first describes the </w:t>
      </w:r>
      <w:r w:rsidR="002121E1">
        <w:t xml:space="preserve">static CGE </w:t>
      </w:r>
      <w:r>
        <w:t>core</w:t>
      </w:r>
      <w:r w:rsidR="002121E1">
        <w:t>, including</w:t>
      </w:r>
      <w:r w:rsidRPr="00FC3A00">
        <w:t xml:space="preserve">: </w:t>
      </w:r>
    </w:p>
    <w:p w14:paraId="1F5B230D" w14:textId="77777777" w:rsidR="00B47E5D" w:rsidRDefault="00B47E5D" w:rsidP="00B47E5D">
      <w:pPr>
        <w:pStyle w:val="ListParagraph"/>
        <w:numPr>
          <w:ilvl w:val="0"/>
          <w:numId w:val="3"/>
        </w:numPr>
        <w:spacing w:after="120" w:line="276" w:lineRule="auto"/>
        <w:jc w:val="both"/>
      </w:pPr>
      <w:r w:rsidRPr="00201FEF">
        <w:t>industry demand</w:t>
      </w:r>
      <w:r>
        <w:t>s</w:t>
      </w:r>
      <w:r w:rsidRPr="00201FEF">
        <w:t xml:space="preserve"> for primary factors and intermediate inputs;</w:t>
      </w:r>
    </w:p>
    <w:p w14:paraId="065C666B" w14:textId="77777777" w:rsidR="00B47E5D" w:rsidRDefault="00B47E5D" w:rsidP="00B47E5D">
      <w:pPr>
        <w:pStyle w:val="ListParagraph"/>
        <w:numPr>
          <w:ilvl w:val="0"/>
          <w:numId w:val="3"/>
        </w:numPr>
        <w:spacing w:after="120" w:line="276" w:lineRule="auto"/>
        <w:jc w:val="both"/>
      </w:pPr>
      <w:r w:rsidRPr="00FC3A00">
        <w:t>commodity supplies by individual industries</w:t>
      </w:r>
      <w:r>
        <w:t>;</w:t>
      </w:r>
    </w:p>
    <w:p w14:paraId="21D1CF4B" w14:textId="77777777" w:rsidR="00B47E5D" w:rsidRPr="00201FEF" w:rsidRDefault="00B47E5D" w:rsidP="00B47E5D">
      <w:pPr>
        <w:pStyle w:val="ListParagraph"/>
        <w:numPr>
          <w:ilvl w:val="0"/>
          <w:numId w:val="3"/>
        </w:numPr>
        <w:spacing w:after="120" w:line="276" w:lineRule="auto"/>
        <w:jc w:val="both"/>
      </w:pPr>
      <w:r w:rsidRPr="00FC3A00">
        <w:t>industry-specific demands for inputs to capital formation</w:t>
      </w:r>
      <w:r>
        <w:t>;</w:t>
      </w:r>
    </w:p>
    <w:p w14:paraId="090A4179" w14:textId="77777777" w:rsidR="00B47E5D" w:rsidRPr="00201FEF" w:rsidRDefault="00B47E5D" w:rsidP="00B47E5D">
      <w:pPr>
        <w:pStyle w:val="ListParagraph"/>
        <w:numPr>
          <w:ilvl w:val="0"/>
          <w:numId w:val="3"/>
        </w:numPr>
        <w:spacing w:after="120" w:line="276" w:lineRule="auto"/>
        <w:jc w:val="both"/>
      </w:pPr>
      <w:r w:rsidRPr="00201FEF">
        <w:t>household and other final demands for commodities;</w:t>
      </w:r>
    </w:p>
    <w:p w14:paraId="697E6E89" w14:textId="20DD34A0" w:rsidR="00B47E5D" w:rsidRPr="00201FEF" w:rsidRDefault="00B47E5D" w:rsidP="00B47E5D">
      <w:pPr>
        <w:pStyle w:val="ListParagraph"/>
        <w:numPr>
          <w:ilvl w:val="0"/>
          <w:numId w:val="3"/>
        </w:numPr>
        <w:spacing w:after="120" w:line="276" w:lineRule="auto"/>
        <w:jc w:val="both"/>
      </w:pPr>
      <w:r w:rsidRPr="00201FEF">
        <w:t xml:space="preserve">pricing </w:t>
      </w:r>
      <w:r>
        <w:t>behavio</w:t>
      </w:r>
      <w:r w:rsidR="002121E1">
        <w:t>u</w:t>
      </w:r>
      <w:r>
        <w:t>r which sets</w:t>
      </w:r>
      <w:r w:rsidRPr="00201FEF">
        <w:t xml:space="preserve"> pure profits from all activities to zero;</w:t>
      </w:r>
    </w:p>
    <w:p w14:paraId="326364B9" w14:textId="77777777" w:rsidR="00B47E5D" w:rsidRPr="00201FEF" w:rsidRDefault="00B47E5D" w:rsidP="00B47E5D">
      <w:pPr>
        <w:pStyle w:val="ListParagraph"/>
        <w:numPr>
          <w:ilvl w:val="0"/>
          <w:numId w:val="3"/>
        </w:numPr>
        <w:spacing w:after="120" w:line="276" w:lineRule="auto"/>
        <w:jc w:val="both"/>
      </w:pPr>
      <w:r w:rsidRPr="00201FEF">
        <w:lastRenderedPageBreak/>
        <w:t xml:space="preserve">market clearing for primary factors and commodities; </w:t>
      </w:r>
      <w:r>
        <w:t>and</w:t>
      </w:r>
    </w:p>
    <w:p w14:paraId="2A1BD6B7" w14:textId="365D23B6" w:rsidR="00B47E5D" w:rsidRDefault="00492628" w:rsidP="00B47E5D">
      <w:pPr>
        <w:pStyle w:val="ListParagraph"/>
        <w:numPr>
          <w:ilvl w:val="0"/>
          <w:numId w:val="3"/>
        </w:numPr>
        <w:spacing w:after="120" w:line="276" w:lineRule="auto"/>
        <w:jc w:val="both"/>
      </w:pPr>
      <w:r>
        <w:t xml:space="preserve">the </w:t>
      </w:r>
      <w:r w:rsidR="00B47E5D">
        <w:t xml:space="preserve">calculation of </w:t>
      </w:r>
      <w:r w:rsidR="00B47E5D" w:rsidRPr="00FC3A00">
        <w:t>numerous macroeconomic variables</w:t>
      </w:r>
      <w:r w:rsidR="00B47E5D" w:rsidRPr="00201FEF">
        <w:t>, e.g. GDP, aggregate employment</w:t>
      </w:r>
      <w:r w:rsidR="00B47E5D">
        <w:t xml:space="preserve">. </w:t>
      </w:r>
    </w:p>
    <w:p w14:paraId="0908E53A" w14:textId="1E328487" w:rsidR="00B47E5D" w:rsidRDefault="007538A9" w:rsidP="005C4484">
      <w:pPr>
        <w:jc w:val="both"/>
      </w:pPr>
      <w:r>
        <w:t>UgAGE</w:t>
      </w:r>
      <w:r w:rsidR="00D608A7">
        <w:t xml:space="preserve"> models the production of 95 commodities by 95 industries. </w:t>
      </w:r>
      <w:r w:rsidR="00B47E5D">
        <w:t>E</w:t>
      </w:r>
      <w:r w:rsidR="00B47E5D" w:rsidRPr="00FC3A00">
        <w:t xml:space="preserve">ach industry </w:t>
      </w:r>
      <w:r w:rsidR="001066BF">
        <w:t>produce</w:t>
      </w:r>
      <w:r w:rsidR="00492628">
        <w:t>s</w:t>
      </w:r>
      <w:r w:rsidR="001066BF">
        <w:t xml:space="preserve"> output using a combination of intermediate </w:t>
      </w:r>
      <w:r w:rsidR="00D43EFD">
        <w:t>commodities</w:t>
      </w:r>
      <w:r w:rsidR="001066BF">
        <w:t xml:space="preserve"> and factor inputs. In determining the optimal usage of inputs</w:t>
      </w:r>
      <w:r w:rsidR="00D43EFD">
        <w:t>,</w:t>
      </w:r>
      <w:r w:rsidR="001066BF">
        <w:t xml:space="preserve"> it </w:t>
      </w:r>
      <w:r w:rsidR="00B47E5D" w:rsidRPr="00FC3A00">
        <w:t xml:space="preserve">is assumed </w:t>
      </w:r>
      <w:r w:rsidR="001066BF">
        <w:t>that industries m</w:t>
      </w:r>
      <w:r w:rsidR="00B47E5D" w:rsidRPr="00FC3A00">
        <w:t>inimise unit costs subject to given input prices and a nested constant returns to scale production function. Three primary factors are identified</w:t>
      </w:r>
      <w:r w:rsidR="00492628">
        <w:t xml:space="preserve">, namely </w:t>
      </w:r>
      <w:r w:rsidR="00B47E5D" w:rsidRPr="00FC3A00">
        <w:t xml:space="preserve">labour, capital and </w:t>
      </w:r>
      <w:r w:rsidR="00B47E5D">
        <w:t>natural resources</w:t>
      </w:r>
      <w:r w:rsidR="00B47E5D" w:rsidRPr="00FC3A00">
        <w:t xml:space="preserve">. Capital is assumed to be sector-specific, while occupation-specific labour is perfectly mobile across industries. </w:t>
      </w:r>
    </w:p>
    <w:p w14:paraId="354EA522" w14:textId="6D0E2173" w:rsidR="00B47E5D" w:rsidRDefault="005E1F40" w:rsidP="005C4484">
      <w:pPr>
        <w:jc w:val="both"/>
      </w:pPr>
      <w:r>
        <w:t>The model identifies 32 household</w:t>
      </w:r>
      <w:r w:rsidR="00CF10D8">
        <w:t>s</w:t>
      </w:r>
      <w:r>
        <w:t xml:space="preserve"> defined by income level. Each household is </w:t>
      </w:r>
      <w:r w:rsidR="00B47E5D" w:rsidRPr="00FC3A00">
        <w:t xml:space="preserve">modelled as </w:t>
      </w:r>
      <w:r>
        <w:t xml:space="preserve">a </w:t>
      </w:r>
      <w:r w:rsidR="00B47E5D" w:rsidRPr="00FC3A00">
        <w:t>constrained maxim</w:t>
      </w:r>
      <w:r w:rsidR="00B47E5D">
        <w:t>iser of</w:t>
      </w:r>
      <w:r w:rsidR="00B47E5D" w:rsidRPr="00FC3A00">
        <w:t xml:space="preserve"> utility</w:t>
      </w:r>
      <w:r>
        <w:t xml:space="preserve">. </w:t>
      </w:r>
      <w:r w:rsidR="00B47E5D" w:rsidRPr="00FC3A00">
        <w:t>Units of new industry-specific capital are cost-minimising combinations of local and foreign commodities. For all commodity users, imperfect substitutability between imported and local variet</w:t>
      </w:r>
      <w:r w:rsidR="00B47E5D">
        <w:t>ies of each commodity is assumed</w:t>
      </w:r>
      <w:r w:rsidR="00B47E5D" w:rsidRPr="00FC3A00">
        <w:t xml:space="preserve">. The export demand for any given </w:t>
      </w:r>
      <w:r w:rsidR="00B47E5D">
        <w:t xml:space="preserve">local </w:t>
      </w:r>
      <w:r w:rsidR="00B47E5D" w:rsidRPr="00FC3A00">
        <w:t xml:space="preserve">commodity is inversely related to its foreign-currency price. </w:t>
      </w:r>
    </w:p>
    <w:p w14:paraId="2521D2A2" w14:textId="4029E1F1" w:rsidR="00B47E5D" w:rsidRDefault="00B47E5D" w:rsidP="005C4484">
      <w:pPr>
        <w:jc w:val="both"/>
      </w:pPr>
      <w:r w:rsidRPr="00FC3A00">
        <w:t>The model recognises consumption of commodities by government and the details of</w:t>
      </w:r>
      <w:r w:rsidR="00D43EFD">
        <w:t xml:space="preserve"> various </w:t>
      </w:r>
      <w:r w:rsidRPr="00FC3A00">
        <w:t xml:space="preserve">taxation instruments. </w:t>
      </w:r>
      <w:r>
        <w:t>As the default</w:t>
      </w:r>
      <w:r w:rsidR="00D43EFD">
        <w:t>,</w:t>
      </w:r>
      <w:r>
        <w:t xml:space="preserve"> i</w:t>
      </w:r>
      <w:r w:rsidRPr="00FC3A00">
        <w:t xml:space="preserve">t is assumed that all sectors are competitive and all </w:t>
      </w:r>
      <w:r>
        <w:t>markets clear.</w:t>
      </w:r>
      <w:r>
        <w:rPr>
          <w:rStyle w:val="FootnoteReference"/>
        </w:rPr>
        <w:footnoteReference w:id="5"/>
      </w:r>
      <w:r>
        <w:t xml:space="preserve"> </w:t>
      </w:r>
      <w:r w:rsidRPr="00FC3A00">
        <w:t>Purchasers’ prices differ from producer prices by the value of indirect taxes and trade and transport margins. All agents are assumed to be price-takers, with producers operating in competitive markets which prevent the earning of pure profits.</w:t>
      </w:r>
      <w:r>
        <w:rPr>
          <w:rStyle w:val="FootnoteReference"/>
        </w:rPr>
        <w:footnoteReference w:id="6"/>
      </w:r>
    </w:p>
    <w:p w14:paraId="1D9A5D0E" w14:textId="31D5AAC8" w:rsidR="00B47E5D" w:rsidRDefault="00B47E5D" w:rsidP="00B47E5D">
      <w:r>
        <w:t xml:space="preserve">The second </w:t>
      </w:r>
      <w:r w:rsidR="005E1F40">
        <w:t xml:space="preserve">part of the model’s theoretic structure </w:t>
      </w:r>
      <w:r>
        <w:t>relate</w:t>
      </w:r>
      <w:r w:rsidR="005E1F40">
        <w:t>s</w:t>
      </w:r>
      <w:r>
        <w:t xml:space="preserve"> to dynamics</w:t>
      </w:r>
      <w:r w:rsidR="00736C1B">
        <w:t xml:space="preserve"> </w:t>
      </w:r>
      <w:r w:rsidR="001E0BDB">
        <w:t>and includes two types of</w:t>
      </w:r>
      <w:r w:rsidR="005E1F40">
        <w:t xml:space="preserve"> </w:t>
      </w:r>
      <w:r w:rsidR="001E0BDB">
        <w:t>mechanisms</w:t>
      </w:r>
      <w:r>
        <w:t>:</w:t>
      </w:r>
    </w:p>
    <w:p w14:paraId="45F0B183" w14:textId="013103ED" w:rsidR="00B47E5D" w:rsidRDefault="00B47E5D" w:rsidP="00B47E5D">
      <w:pPr>
        <w:pStyle w:val="ListParagraph"/>
        <w:numPr>
          <w:ilvl w:val="0"/>
          <w:numId w:val="4"/>
        </w:numPr>
        <w:spacing w:after="120" w:line="276" w:lineRule="auto"/>
        <w:jc w:val="both"/>
      </w:pPr>
      <w:r>
        <w:t>s</w:t>
      </w:r>
      <w:r w:rsidRPr="004F5154">
        <w:t xml:space="preserve">tock/flow accounting for the accumulation of </w:t>
      </w:r>
      <w:r w:rsidR="001E0BDB">
        <w:t xml:space="preserve">industry-specific </w:t>
      </w:r>
      <w:r w:rsidRPr="004F5154">
        <w:t>capital stocks via in</w:t>
      </w:r>
      <w:r>
        <w:t>vestment and depreciation; and</w:t>
      </w:r>
    </w:p>
    <w:p w14:paraId="3DD6B6BF" w14:textId="77777777" w:rsidR="00B47E5D" w:rsidRDefault="00B47E5D" w:rsidP="00B47E5D">
      <w:pPr>
        <w:pStyle w:val="ListParagraph"/>
        <w:numPr>
          <w:ilvl w:val="0"/>
          <w:numId w:val="4"/>
        </w:numPr>
        <w:spacing w:after="120" w:line="276" w:lineRule="auto"/>
        <w:jc w:val="both"/>
      </w:pPr>
      <w:r w:rsidRPr="004F5154">
        <w:t xml:space="preserve">lagged adjustment mechanisms in the </w:t>
      </w:r>
      <w:r w:rsidRPr="001F6312">
        <w:t>labour</w:t>
      </w:r>
      <w:r w:rsidRPr="004F5154">
        <w:t xml:space="preserve"> market. </w:t>
      </w:r>
    </w:p>
    <w:p w14:paraId="34CD0F7D" w14:textId="77777777" w:rsidR="005E1F40" w:rsidRDefault="00B47E5D" w:rsidP="005C4484">
      <w:pPr>
        <w:jc w:val="both"/>
      </w:pPr>
      <w:r w:rsidRPr="00B53E3D">
        <w:t>Capital accumulation is industry-specific, and linked to industry-specific net investment</w:t>
      </w:r>
      <w:r w:rsidR="00492628">
        <w:t>.</w:t>
      </w:r>
      <w:r w:rsidR="00C52C62">
        <w:t xml:space="preserve"> Changes in industry-specific investment</w:t>
      </w:r>
      <w:r w:rsidR="005800D6">
        <w:t xml:space="preserve"> is </w:t>
      </w:r>
      <w:r w:rsidR="00C52C62">
        <w:t xml:space="preserve">linked to changes in industry-specific </w:t>
      </w:r>
      <w:r w:rsidR="005800D6">
        <w:t>rates of return</w:t>
      </w:r>
      <w:r w:rsidRPr="00B53E3D">
        <w:t xml:space="preserve">. </w:t>
      </w:r>
    </w:p>
    <w:p w14:paraId="712D9427" w14:textId="69B8CD54" w:rsidR="00B47E5D" w:rsidRDefault="007538A9" w:rsidP="005C4484">
      <w:pPr>
        <w:jc w:val="both"/>
      </w:pPr>
      <w:r>
        <w:t>UgAGE</w:t>
      </w:r>
      <w:r w:rsidR="00B47E5D" w:rsidRPr="00B53E3D">
        <w:t xml:space="preserve"> </w:t>
      </w:r>
      <w:r w:rsidR="00DE6548">
        <w:t xml:space="preserve">includes a </w:t>
      </w:r>
      <w:r w:rsidR="00B47E5D" w:rsidRPr="00B53E3D">
        <w:t xml:space="preserve">labour market </w:t>
      </w:r>
      <w:r w:rsidR="00DE6548">
        <w:t xml:space="preserve">mechanism that allows the labour market to move from a typical short-run scenario (employment adjust with real wage held at its baseline level) to a long-fun scenario (real wage adjust with </w:t>
      </w:r>
      <w:r w:rsidR="00DE6548">
        <w:lastRenderedPageBreak/>
        <w:t xml:space="preserve">employment held at its baseline level). With this mechanism operational in the policy simulation, </w:t>
      </w:r>
      <w:r w:rsidR="00B47E5D" w:rsidRPr="00B53E3D">
        <w:t xml:space="preserve">short-run labour market pressures mostly manifest as changes in employment. In the </w:t>
      </w:r>
      <w:r w:rsidR="00F2505B" w:rsidRPr="00B53E3D">
        <w:t>long run</w:t>
      </w:r>
      <w:r w:rsidR="00B47E5D" w:rsidRPr="00B53E3D">
        <w:t>, employment returns to baseline, with labour market pressures reflected in changes in real wages.</w:t>
      </w:r>
    </w:p>
    <w:p w14:paraId="7C99830B" w14:textId="537E2854" w:rsidR="00B47E5D" w:rsidRPr="00F31810" w:rsidRDefault="00B47E5D" w:rsidP="005C4484">
      <w:pPr>
        <w:jc w:val="both"/>
      </w:pPr>
      <w:r w:rsidRPr="00F31810">
        <w:t xml:space="preserve">The third </w:t>
      </w:r>
      <w:r w:rsidR="0099172F">
        <w:t xml:space="preserve">part of the model’s theoretical structure </w:t>
      </w:r>
      <w:r w:rsidRPr="00F31810">
        <w:t>describe</w:t>
      </w:r>
      <w:r w:rsidR="0099172F">
        <w:t>s</w:t>
      </w:r>
      <w:r w:rsidRPr="00F31810">
        <w:t xml:space="preserve"> transfers (flows) between various entities, not described in the first two </w:t>
      </w:r>
      <w:r w:rsidR="009A7D58">
        <w:t>parts</w:t>
      </w:r>
      <w:r w:rsidRPr="00F31810">
        <w:t>.</w:t>
      </w:r>
      <w:r>
        <w:t xml:space="preserve"> These transfers are included in the SAM.</w:t>
      </w:r>
      <w:r w:rsidRPr="00F31810">
        <w:t xml:space="preserve"> To facilitate use of SAM data, </w:t>
      </w:r>
      <w:r w:rsidR="007538A9">
        <w:t>UgAGE</w:t>
      </w:r>
      <w:r w:rsidRPr="00F31810">
        <w:t xml:space="preserve"> includes equations describing</w:t>
      </w:r>
      <w:r w:rsidR="002702F0">
        <w:t xml:space="preserve"> transfers to and from</w:t>
      </w:r>
      <w:r w:rsidRPr="00F31810">
        <w:t>:</w:t>
      </w:r>
    </w:p>
    <w:p w14:paraId="284525F9" w14:textId="30CB7ED6" w:rsidR="00B47E5D" w:rsidRDefault="002702F0" w:rsidP="00B47E5D">
      <w:pPr>
        <w:pStyle w:val="ListParagraph"/>
        <w:numPr>
          <w:ilvl w:val="0"/>
          <w:numId w:val="5"/>
        </w:numPr>
        <w:spacing w:after="120" w:line="276" w:lineRule="auto"/>
        <w:jc w:val="both"/>
        <w:rPr>
          <w:rFonts w:eastAsiaTheme="minorEastAsia"/>
        </w:rPr>
      </w:pPr>
      <w:r>
        <w:rPr>
          <w:rFonts w:eastAsiaTheme="minorEastAsia"/>
        </w:rPr>
        <w:t xml:space="preserve">32 </w:t>
      </w:r>
      <w:r w:rsidR="00B47E5D" w:rsidRPr="00F31810">
        <w:rPr>
          <w:rFonts w:eastAsiaTheme="minorEastAsia"/>
        </w:rPr>
        <w:t>household</w:t>
      </w:r>
      <w:r>
        <w:rPr>
          <w:rFonts w:eastAsiaTheme="minorEastAsia"/>
        </w:rPr>
        <w:t>s;</w:t>
      </w:r>
      <w:r w:rsidR="00B47E5D" w:rsidRPr="00F31810">
        <w:rPr>
          <w:rFonts w:eastAsiaTheme="minorEastAsia"/>
        </w:rPr>
        <w:t xml:space="preserve"> </w:t>
      </w:r>
    </w:p>
    <w:p w14:paraId="7FCE875D" w14:textId="194D7165" w:rsidR="00B47E5D" w:rsidRPr="00953F02" w:rsidRDefault="002702F0" w:rsidP="00B47E5D">
      <w:pPr>
        <w:pStyle w:val="ListParagraph"/>
        <w:numPr>
          <w:ilvl w:val="0"/>
          <w:numId w:val="5"/>
        </w:numPr>
        <w:spacing w:after="120" w:line="276" w:lineRule="auto"/>
        <w:jc w:val="both"/>
        <w:rPr>
          <w:rFonts w:eastAsiaTheme="minorEastAsia"/>
        </w:rPr>
      </w:pPr>
      <w:r>
        <w:rPr>
          <w:rFonts w:eastAsiaTheme="minorEastAsia"/>
          <w:lang w:val="en-AU"/>
        </w:rPr>
        <w:t>2 enterprise types (non-financial and financial enterprises)</w:t>
      </w:r>
      <w:r w:rsidR="00B47E5D" w:rsidRPr="00F31810">
        <w:rPr>
          <w:rFonts w:eastAsiaTheme="minorEastAsia"/>
          <w:lang w:val="en-AU"/>
        </w:rPr>
        <w:t xml:space="preserve">; </w:t>
      </w:r>
    </w:p>
    <w:p w14:paraId="312BE6AF" w14:textId="56523C72" w:rsidR="00B47E5D" w:rsidRPr="00953F02" w:rsidRDefault="002702F0" w:rsidP="00B47E5D">
      <w:pPr>
        <w:pStyle w:val="ListParagraph"/>
        <w:numPr>
          <w:ilvl w:val="0"/>
          <w:numId w:val="5"/>
        </w:numPr>
        <w:spacing w:after="120" w:line="276" w:lineRule="auto"/>
        <w:jc w:val="both"/>
        <w:rPr>
          <w:rFonts w:eastAsiaTheme="minorEastAsia"/>
        </w:rPr>
      </w:pPr>
      <w:r>
        <w:rPr>
          <w:rFonts w:eastAsiaTheme="minorEastAsia"/>
          <w:lang w:val="en-AU"/>
        </w:rPr>
        <w:t xml:space="preserve">the </w:t>
      </w:r>
      <w:r w:rsidR="00B47E5D" w:rsidRPr="00953F02">
        <w:rPr>
          <w:rFonts w:eastAsiaTheme="minorEastAsia"/>
          <w:lang w:val="en-AU"/>
        </w:rPr>
        <w:t>government;</w:t>
      </w:r>
      <w:r w:rsidR="00492628">
        <w:rPr>
          <w:rFonts w:eastAsiaTheme="minorEastAsia"/>
          <w:lang w:val="en-AU"/>
        </w:rPr>
        <w:t xml:space="preserve"> and</w:t>
      </w:r>
    </w:p>
    <w:p w14:paraId="7C3D90A0" w14:textId="794DAEF5" w:rsidR="00B47E5D" w:rsidRPr="00953F02" w:rsidRDefault="00B47E5D" w:rsidP="00B47E5D">
      <w:pPr>
        <w:pStyle w:val="ListParagraph"/>
        <w:numPr>
          <w:ilvl w:val="0"/>
          <w:numId w:val="5"/>
        </w:numPr>
        <w:spacing w:after="120" w:line="276" w:lineRule="auto"/>
        <w:jc w:val="both"/>
        <w:rPr>
          <w:rFonts w:eastAsiaTheme="minorEastAsia"/>
        </w:rPr>
      </w:pPr>
      <w:r w:rsidRPr="00953F02">
        <w:rPr>
          <w:rFonts w:eastAsiaTheme="minorEastAsia"/>
          <w:lang w:val="en-AU"/>
        </w:rPr>
        <w:t>the rest of the world (ROW)</w:t>
      </w:r>
      <w:r>
        <w:rPr>
          <w:rFonts w:eastAsiaTheme="minorEastAsia"/>
          <w:lang w:val="en-AU"/>
        </w:rPr>
        <w:t>.</w:t>
      </w:r>
      <w:r w:rsidRPr="00953F02">
        <w:rPr>
          <w:rFonts w:eastAsiaTheme="minorEastAsia"/>
          <w:lang w:val="en-AU"/>
        </w:rPr>
        <w:t xml:space="preserve"> </w:t>
      </w:r>
    </w:p>
    <w:p w14:paraId="75489C44" w14:textId="13E5568C" w:rsidR="00881A9A" w:rsidRDefault="00881A9A" w:rsidP="00F80A9E">
      <w:pPr>
        <w:spacing w:after="120" w:line="276" w:lineRule="auto"/>
        <w:jc w:val="both"/>
      </w:pPr>
      <w:r>
        <w:t xml:space="preserve">The </w:t>
      </w:r>
      <w:r w:rsidR="008C132C">
        <w:t xml:space="preserve">intra-entity </w:t>
      </w:r>
      <w:r>
        <w:t>transfer data is not dependent on specific behaviour. Instead, the change</w:t>
      </w:r>
      <w:r w:rsidR="00F21C32">
        <w:t>s</w:t>
      </w:r>
      <w:r>
        <w:t xml:space="preserve"> in the transfers between entities are linked to variable</w:t>
      </w:r>
      <w:r w:rsidR="00492628">
        <w:t>s</w:t>
      </w:r>
      <w:r>
        <w:t xml:space="preserve"> in the core model</w:t>
      </w:r>
      <w:r w:rsidR="00492628">
        <w:t xml:space="preserve">; for example, </w:t>
      </w:r>
      <w:r>
        <w:t>the transfers from the ROW to households follow nominal GDP.</w:t>
      </w:r>
    </w:p>
    <w:p w14:paraId="51DF3CDF" w14:textId="25AE738A" w:rsidR="00F80A9E" w:rsidRDefault="00CC38E4" w:rsidP="00F80A9E">
      <w:pPr>
        <w:spacing w:after="120" w:line="276" w:lineRule="auto"/>
        <w:jc w:val="both"/>
      </w:pPr>
      <w:r>
        <w:t>The final</w:t>
      </w:r>
      <w:r w:rsidR="005433D1">
        <w:t xml:space="preserve"> database includes information on 95 commodities</w:t>
      </w:r>
      <w:r w:rsidR="00492628">
        <w:t xml:space="preserve"> and </w:t>
      </w:r>
      <w:r w:rsidR="005433D1">
        <w:t>industries</w:t>
      </w:r>
      <w:r w:rsidR="00114DDA">
        <w:t xml:space="preserve"> (of which 13 are agricultural industries)</w:t>
      </w:r>
      <w:r w:rsidR="005433D1">
        <w:t xml:space="preserve">, sourced either domestically or </w:t>
      </w:r>
      <w:r w:rsidR="00492628">
        <w:t>from abroad,</w:t>
      </w:r>
      <w:r w:rsidR="005433D1">
        <w:t xml:space="preserve"> and sold on the local or foreign market</w:t>
      </w:r>
      <w:r w:rsidR="008B6CB4">
        <w:t>, or</w:t>
      </w:r>
      <w:r>
        <w:t xml:space="preserve"> </w:t>
      </w:r>
      <w:r w:rsidR="00F2505B">
        <w:t>transferred</w:t>
      </w:r>
      <w:r>
        <w:t xml:space="preserve"> between entities</w:t>
      </w:r>
      <w:r w:rsidR="005433D1">
        <w:t>.</w:t>
      </w:r>
      <w:r w:rsidR="00F80A9E">
        <w:t xml:space="preserve"> </w:t>
      </w:r>
    </w:p>
    <w:p w14:paraId="11076CAB" w14:textId="0445FB9D" w:rsidR="00CC38E4" w:rsidRDefault="006D265D" w:rsidP="00F80A9E">
      <w:pPr>
        <w:spacing w:after="120" w:line="276" w:lineRule="auto"/>
        <w:jc w:val="both"/>
      </w:pPr>
      <w:r>
        <w:t>The core database is calibrated to the 2010 Supply Use Table (SUT)</w:t>
      </w:r>
      <w:r w:rsidR="008B6CB4">
        <w:t xml:space="preserve"> of Uganda</w:t>
      </w:r>
      <w:r>
        <w:t xml:space="preserve">. Additional information, not captured in the SUT, is taken from the 2010 Social Accounting Matrix (SAM) (Powell, 2014). </w:t>
      </w:r>
      <w:r w:rsidR="00CC38E4">
        <w:t xml:space="preserve">The SUT and SAM data </w:t>
      </w:r>
      <w:r w:rsidR="008B6CB4">
        <w:t>are</w:t>
      </w:r>
      <w:r w:rsidR="00CC38E4">
        <w:t xml:space="preserve"> not in the format required by the model.</w:t>
      </w:r>
      <w:r w:rsidR="00CC38E4">
        <w:rPr>
          <w:rStyle w:val="FootnoteReference"/>
        </w:rPr>
        <w:footnoteReference w:id="7"/>
      </w:r>
      <w:r w:rsidR="00C9688C">
        <w:t xml:space="preserve"> Transforming published data into the required IO format, is a laborious </w:t>
      </w:r>
      <w:r w:rsidR="00F2505B">
        <w:t>task that</w:t>
      </w:r>
      <w:r w:rsidR="008B6CB4">
        <w:t xml:space="preserve"> is not reported upon here</w:t>
      </w:r>
      <w:r w:rsidR="008B6CB4">
        <w:rPr>
          <w:rStyle w:val="FootnoteReference"/>
        </w:rPr>
        <w:footnoteReference w:id="8"/>
      </w:r>
      <w:r w:rsidR="008B6CB4">
        <w:t>.</w:t>
      </w:r>
      <w:r w:rsidR="00C9688C">
        <w:t xml:space="preserve"> </w:t>
      </w:r>
    </w:p>
    <w:p w14:paraId="59F2AC58" w14:textId="16579A64" w:rsidR="001A6689" w:rsidRDefault="00F80A9E" w:rsidP="005C4484">
      <w:pPr>
        <w:jc w:val="both"/>
      </w:pPr>
      <w:r>
        <w:t xml:space="preserve">The following interesting aspects of the Ugandan economy are </w:t>
      </w:r>
      <w:r w:rsidR="008B6CB4">
        <w:t>observed in</w:t>
      </w:r>
      <w:r>
        <w:t xml:space="preserve"> the </w:t>
      </w:r>
      <w:r w:rsidR="008B6CB4">
        <w:t>data</w:t>
      </w:r>
      <w:r>
        <w:t>base</w:t>
      </w:r>
      <w:r w:rsidR="008B6CB4">
        <w:t>:</w:t>
      </w:r>
      <w:r>
        <w:t xml:space="preserve"> </w:t>
      </w:r>
      <w:r w:rsidR="001A6689" w:rsidRPr="00480BD1">
        <w:t>On the income side</w:t>
      </w:r>
      <w:r w:rsidR="009A7D58">
        <w:t xml:space="preserve"> of GDP</w:t>
      </w:r>
      <w:r w:rsidR="001A6689" w:rsidRPr="00480BD1">
        <w:t>, the</w:t>
      </w:r>
      <w:r w:rsidR="001A6689">
        <w:t xml:space="preserve"> cost of capital is</w:t>
      </w:r>
      <w:r w:rsidR="001A6689" w:rsidRPr="00480BD1">
        <w:t xml:space="preserve"> </w:t>
      </w:r>
      <w:r w:rsidR="001A6689">
        <w:t xml:space="preserve">more than double the cost of labour. </w:t>
      </w:r>
      <w:r w:rsidR="008B6CB4">
        <w:t>The c</w:t>
      </w:r>
      <w:r w:rsidR="001A6689">
        <w:t>omb</w:t>
      </w:r>
      <w:r w:rsidR="008B6CB4">
        <w:t>ined</w:t>
      </w:r>
      <w:r w:rsidR="001A6689">
        <w:t xml:space="preserve"> </w:t>
      </w:r>
      <w:r w:rsidR="001A6689" w:rsidRPr="00480BD1">
        <w:t>share</w:t>
      </w:r>
      <w:r w:rsidR="008B6CB4">
        <w:t>s</w:t>
      </w:r>
      <w:r w:rsidR="001A6689" w:rsidRPr="00480BD1">
        <w:t xml:space="preserve"> of natural resources (agricultural land and </w:t>
      </w:r>
      <w:r w:rsidR="001A6689">
        <w:t>mining</w:t>
      </w:r>
      <w:r w:rsidR="001A6689" w:rsidRPr="00480BD1">
        <w:t xml:space="preserve"> reserves) and capital </w:t>
      </w:r>
      <w:r w:rsidR="001A6689">
        <w:t>account for 66</w:t>
      </w:r>
      <w:r w:rsidR="001A6689" w:rsidRPr="00480BD1">
        <w:t xml:space="preserve"> per cent</w:t>
      </w:r>
      <w:r w:rsidR="001A6689">
        <w:t xml:space="preserve"> of </w:t>
      </w:r>
      <w:r w:rsidR="005C4484">
        <w:t xml:space="preserve">all </w:t>
      </w:r>
      <w:r w:rsidR="001A6689">
        <w:t xml:space="preserve">factor </w:t>
      </w:r>
      <w:r w:rsidR="005140B8">
        <w:t>input</w:t>
      </w:r>
      <w:r w:rsidR="008B6CB4">
        <w:t>s</w:t>
      </w:r>
      <w:r w:rsidR="001A6689" w:rsidRPr="00480BD1">
        <w:t>. This means that</w:t>
      </w:r>
      <w:r w:rsidR="009A7D58">
        <w:t xml:space="preserve"> in the years immediately following a shock to the economy, </w:t>
      </w:r>
      <w:r w:rsidR="001A6689" w:rsidRPr="00480BD1">
        <w:t>with capital and natural resources</w:t>
      </w:r>
      <w:r w:rsidR="009A7D58">
        <w:t xml:space="preserve"> largely</w:t>
      </w:r>
      <w:r w:rsidR="001A6689" w:rsidRPr="00480BD1">
        <w:t xml:space="preserve"> fixed, the economy’s </w:t>
      </w:r>
      <w:r w:rsidR="001A6689">
        <w:t xml:space="preserve">generalised </w:t>
      </w:r>
      <w:r w:rsidR="001A6689" w:rsidRPr="00480BD1">
        <w:t>supply schedule is inelastic</w:t>
      </w:r>
      <w:r w:rsidR="001A6689">
        <w:t>.</w:t>
      </w:r>
    </w:p>
    <w:p w14:paraId="19C07254" w14:textId="729496A7" w:rsidR="00F80A9E" w:rsidRDefault="00F80A9E" w:rsidP="005C4484">
      <w:pPr>
        <w:jc w:val="both"/>
      </w:pPr>
      <w:r w:rsidRPr="00480BD1">
        <w:lastRenderedPageBreak/>
        <w:t>On the expenditure side</w:t>
      </w:r>
      <w:r w:rsidR="009A7D58">
        <w:t xml:space="preserve"> of GDP</w:t>
      </w:r>
      <w:r w:rsidRPr="00480BD1">
        <w:t xml:space="preserve">, the largest component is </w:t>
      </w:r>
      <w:r>
        <w:t>private consumption</w:t>
      </w:r>
      <w:r w:rsidRPr="00480BD1">
        <w:t xml:space="preserve">, with a </w:t>
      </w:r>
      <w:r w:rsidR="009A7D58">
        <w:t>GDP-s</w:t>
      </w:r>
      <w:r w:rsidRPr="00480BD1">
        <w:t xml:space="preserve">hare </w:t>
      </w:r>
      <w:r>
        <w:t>of 72</w:t>
      </w:r>
      <w:r w:rsidRPr="00480BD1">
        <w:t xml:space="preserve"> per cent. </w:t>
      </w:r>
      <w:r>
        <w:t>Imports</w:t>
      </w:r>
      <w:r w:rsidRPr="00480BD1">
        <w:t xml:space="preserve"> exceed </w:t>
      </w:r>
      <w:r>
        <w:t>exports</w:t>
      </w:r>
      <w:r w:rsidRPr="00480BD1">
        <w:t xml:space="preserve">, </w:t>
      </w:r>
      <w:r>
        <w:t>implying a deficit</w:t>
      </w:r>
      <w:r w:rsidRPr="00480BD1">
        <w:t xml:space="preserve"> on trade account</w:t>
      </w:r>
      <w:r>
        <w:t xml:space="preserve"> of 3,561 billion Shillings, </w:t>
      </w:r>
      <w:r w:rsidRPr="00480BD1">
        <w:t xml:space="preserve">nearly </w:t>
      </w:r>
      <w:r w:rsidR="00976C03">
        <w:t>9</w:t>
      </w:r>
      <w:r w:rsidRPr="00480BD1">
        <w:t xml:space="preserve"> per cent of GDP. </w:t>
      </w:r>
      <w:r>
        <w:t>T</w:t>
      </w:r>
      <w:r w:rsidRPr="00480BD1">
        <w:t>he remaining components</w:t>
      </w:r>
      <w:r>
        <w:t xml:space="preserve"> as a share of GDP include</w:t>
      </w:r>
      <w:r w:rsidRPr="00480BD1">
        <w:t xml:space="preserve"> </w:t>
      </w:r>
      <w:r w:rsidR="00976C03">
        <w:t>exports</w:t>
      </w:r>
      <w:r w:rsidRPr="00480BD1">
        <w:t xml:space="preserve"> </w:t>
      </w:r>
      <w:r>
        <w:t>(</w:t>
      </w:r>
      <w:r w:rsidR="00976C03">
        <w:t>17.8</w:t>
      </w:r>
      <w:r w:rsidRPr="00480BD1">
        <w:t xml:space="preserve"> per cent</w:t>
      </w:r>
      <w:r>
        <w:t>)</w:t>
      </w:r>
      <w:r w:rsidRPr="00480BD1">
        <w:t>, i</w:t>
      </w:r>
      <w:r w:rsidR="00422636">
        <w:t>mports (</w:t>
      </w:r>
      <w:r w:rsidR="008B6CB4">
        <w:t>-</w:t>
      </w:r>
      <w:r w:rsidR="00422636">
        <w:t>26.6%), i</w:t>
      </w:r>
      <w:r w:rsidRPr="00480BD1">
        <w:t xml:space="preserve">nvestment </w:t>
      </w:r>
      <w:r>
        <w:t>(</w:t>
      </w:r>
      <w:r w:rsidRPr="00480BD1">
        <w:t>2</w:t>
      </w:r>
      <w:r w:rsidR="00976C03">
        <w:t>6</w:t>
      </w:r>
      <w:r w:rsidRPr="00480BD1">
        <w:t>.</w:t>
      </w:r>
      <w:r w:rsidR="00976C03">
        <w:t>5</w:t>
      </w:r>
      <w:r w:rsidRPr="00480BD1">
        <w:t xml:space="preserve"> per cent</w:t>
      </w:r>
      <w:r>
        <w:t>)</w:t>
      </w:r>
      <w:r w:rsidRPr="00480BD1">
        <w:t xml:space="preserve"> and government consumption</w:t>
      </w:r>
      <w:r>
        <w:t xml:space="preserve"> (</w:t>
      </w:r>
      <w:r w:rsidR="00976C03">
        <w:t>9.5</w:t>
      </w:r>
      <w:r w:rsidRPr="00480BD1">
        <w:t xml:space="preserve"> per cent</w:t>
      </w:r>
      <w:r>
        <w:t>).</w:t>
      </w:r>
      <w:r w:rsidR="00AE2568">
        <w:t xml:space="preserve"> </w:t>
      </w:r>
    </w:p>
    <w:p w14:paraId="0E28A3B4" w14:textId="3DAA83CF" w:rsidR="00F80A9E" w:rsidRDefault="000B1659" w:rsidP="005C4484">
      <w:pPr>
        <w:jc w:val="both"/>
      </w:pPr>
      <w:r>
        <w:t xml:space="preserve">The Ugandan economy is concentrated around services </w:t>
      </w:r>
      <w:r w:rsidR="009B4369">
        <w:t xml:space="preserve">and agricultural </w:t>
      </w:r>
      <w:r>
        <w:t xml:space="preserve">sectors. The </w:t>
      </w:r>
      <w:r w:rsidR="00AC178E">
        <w:t xml:space="preserve">services sector contributes 46.6 </w:t>
      </w:r>
      <w:r>
        <w:t>per cent of total value added wh</w:t>
      </w:r>
      <w:r w:rsidR="009A7D58">
        <w:t>ile</w:t>
      </w:r>
      <w:r>
        <w:t xml:space="preserve"> </w:t>
      </w:r>
      <w:r w:rsidR="00AC178E">
        <w:t xml:space="preserve">the agricultural sector contributes 28.6 </w:t>
      </w:r>
      <w:r>
        <w:t>per cent. Within the service sector the largest contributor to value added is trade</w:t>
      </w:r>
      <w:r w:rsidR="00423904">
        <w:t xml:space="preserve"> (11.3%)</w:t>
      </w:r>
      <w:r>
        <w:t>, telecommunication</w:t>
      </w:r>
      <w:r w:rsidR="00423904">
        <w:t xml:space="preserve"> (5.17%)</w:t>
      </w:r>
      <w:r>
        <w:t xml:space="preserve"> and public administration </w:t>
      </w:r>
      <w:r w:rsidR="00423904">
        <w:t>(3.17</w:t>
      </w:r>
      <w:r w:rsidR="00E72C72">
        <w:t>%</w:t>
      </w:r>
      <w:r w:rsidR="00423904">
        <w:t>)</w:t>
      </w:r>
      <w:r>
        <w:t xml:space="preserve">. </w:t>
      </w:r>
      <w:r w:rsidR="00E27C68">
        <w:t>T</w:t>
      </w:r>
      <w:r w:rsidR="00AE2568">
        <w:t>he manufacturing industries only contribute 8.9 per cent to value added followed by construction (6.2%), utilities (2.9%) and mining (1.2%).</w:t>
      </w:r>
      <w:r w:rsidR="00AE2568">
        <w:rPr>
          <w:rStyle w:val="FootnoteReference"/>
        </w:rPr>
        <w:footnoteReference w:id="9"/>
      </w:r>
      <w:r w:rsidR="00AE2568">
        <w:t xml:space="preserve"> In terms of agriculture, p</w:t>
      </w:r>
      <w:r>
        <w:t>ulses</w:t>
      </w:r>
      <w:r w:rsidR="00423904">
        <w:t xml:space="preserve"> (3.9%)</w:t>
      </w:r>
      <w:r>
        <w:t>, livestock</w:t>
      </w:r>
      <w:r w:rsidR="00423904">
        <w:t xml:space="preserve"> (5.2%)</w:t>
      </w:r>
      <w:r>
        <w:t>, cassava</w:t>
      </w:r>
      <w:r w:rsidR="00423904">
        <w:t xml:space="preserve"> (2.7%)</w:t>
      </w:r>
      <w:r>
        <w:t>, maize</w:t>
      </w:r>
      <w:r w:rsidR="00423904">
        <w:t xml:space="preserve"> (2.3%)</w:t>
      </w:r>
      <w:r>
        <w:t>, root</w:t>
      </w:r>
      <w:r w:rsidR="005C4484">
        <w:t xml:space="preserve"> </w:t>
      </w:r>
      <w:r>
        <w:t xml:space="preserve">crops </w:t>
      </w:r>
      <w:r w:rsidR="00423904">
        <w:t xml:space="preserve">(1.9%) </w:t>
      </w:r>
      <w:r>
        <w:t xml:space="preserve">bananas </w:t>
      </w:r>
      <w:r w:rsidR="00423904">
        <w:t xml:space="preserve">(2.3%) </w:t>
      </w:r>
      <w:r>
        <w:t xml:space="preserve">and forestry </w:t>
      </w:r>
      <w:r w:rsidR="00423904">
        <w:t xml:space="preserve">(4.2%) contribute </w:t>
      </w:r>
      <w:r w:rsidR="001D555C">
        <w:t>the most</w:t>
      </w:r>
      <w:r>
        <w:t xml:space="preserve"> to value added.</w:t>
      </w:r>
      <w:r w:rsidR="00881A9A">
        <w:t xml:space="preserve"> </w:t>
      </w:r>
    </w:p>
    <w:p w14:paraId="0BE96F55" w14:textId="7655B7DB" w:rsidR="00EC1B50" w:rsidRDefault="00F844BE" w:rsidP="005C4484">
      <w:pPr>
        <w:jc w:val="both"/>
      </w:pPr>
      <w:r>
        <w:t>Industry-specific results are influenced by change</w:t>
      </w:r>
      <w:r w:rsidR="00E27C68">
        <w:t>s</w:t>
      </w:r>
      <w:r>
        <w:t xml:space="preserve"> in </w:t>
      </w:r>
      <w:r w:rsidR="00796C1E">
        <w:t>demand</w:t>
      </w:r>
      <w:r>
        <w:t xml:space="preserve"> and </w:t>
      </w:r>
      <w:r w:rsidR="00796C1E">
        <w:t>supply</w:t>
      </w:r>
      <w:r w:rsidR="00EC1B50">
        <w:t>.</w:t>
      </w:r>
      <w:r>
        <w:t xml:space="preserve"> The cost composition of an industry </w:t>
      </w:r>
      <w:r w:rsidR="00796C1E">
        <w:t>assists in explaining</w:t>
      </w:r>
      <w:r>
        <w:t xml:space="preserve"> the change in supply while the sales structure and macro</w:t>
      </w:r>
      <w:r w:rsidR="00EC1B50">
        <w:t>economic mechanisms</w:t>
      </w:r>
      <w:r>
        <w:t xml:space="preserve"> are important in explaining changes in demand. </w:t>
      </w:r>
    </w:p>
    <w:p w14:paraId="204281B1" w14:textId="3E914748" w:rsidR="00E27C68" w:rsidRDefault="00DC4FB5" w:rsidP="005C4484">
      <w:pPr>
        <w:jc w:val="both"/>
      </w:pPr>
      <w:r>
        <w:t xml:space="preserve">In the </w:t>
      </w:r>
      <w:r w:rsidR="00F2505B">
        <w:t>first year following a shock,</w:t>
      </w:r>
      <w:r w:rsidR="00EC1B50">
        <w:t xml:space="preserve"> </w:t>
      </w:r>
      <w:r>
        <w:t xml:space="preserve">capital is </w:t>
      </w:r>
      <w:r w:rsidR="00E27C68">
        <w:t xml:space="preserve">largely </w:t>
      </w:r>
      <w:r>
        <w:t>fixed</w:t>
      </w:r>
      <w:r w:rsidR="00E27C68">
        <w:t xml:space="preserve"> in place by inv</w:t>
      </w:r>
      <w:r w:rsidR="00EC1B50">
        <w:t xml:space="preserve">estments undertaken prior to the shock. It is assumed that the real wage rate is initially sluggish. </w:t>
      </w:r>
      <w:r w:rsidR="00297A91">
        <w:t>Hence,</w:t>
      </w:r>
      <w:r w:rsidR="00E27C68">
        <w:t xml:space="preserve"> immediately following a shock</w:t>
      </w:r>
      <w:r w:rsidR="00297A91">
        <w:t>, any increase (decrease) in output</w:t>
      </w:r>
      <w:r w:rsidR="00E27C68">
        <w:t xml:space="preserve"> will typically</w:t>
      </w:r>
      <w:r w:rsidR="00297A91">
        <w:t xml:space="preserve"> be accommodated by an increase (decrease) in employment, holding technologies unchanged. Capital-intensive industries</w:t>
      </w:r>
      <w:r w:rsidR="00EC1B50">
        <w:t>,</w:t>
      </w:r>
      <w:r w:rsidR="00297A91">
        <w:t xml:space="preserve"> therefore</w:t>
      </w:r>
      <w:r w:rsidR="00EC1B50">
        <w:t>,</w:t>
      </w:r>
      <w:r w:rsidR="00297A91">
        <w:t xml:space="preserve"> have little scope to </w:t>
      </w:r>
      <w:r w:rsidR="00FB0549">
        <w:t>adjust their output in the short-run.</w:t>
      </w:r>
      <w:r w:rsidR="00297A91">
        <w:t xml:space="preserve"> </w:t>
      </w:r>
    </w:p>
    <w:p w14:paraId="5DD76652" w14:textId="2B74FDE0" w:rsidR="00EC1B50" w:rsidRDefault="00E27C68" w:rsidP="005C4484">
      <w:pPr>
        <w:jc w:val="both"/>
      </w:pPr>
      <w:r>
        <w:t xml:space="preserve">Over time, however, </w:t>
      </w:r>
      <w:r w:rsidR="00EC1B50">
        <w:t xml:space="preserve">industries respond to a shock via capital adjustment. It is assumed that the real wage rate is flexible in the long-run, and moves to eliminate any short-run change in employment. </w:t>
      </w:r>
      <w:r w:rsidR="00EB2012">
        <w:t>Therefore, i</w:t>
      </w:r>
      <w:r w:rsidR="00F844BE">
        <w:t>n the long</w:t>
      </w:r>
      <w:r w:rsidR="0047199A">
        <w:t>-</w:t>
      </w:r>
      <w:r w:rsidR="00F844BE">
        <w:t>run</w:t>
      </w:r>
      <w:r w:rsidR="00EC1B50">
        <w:t>, c</w:t>
      </w:r>
      <w:r w:rsidR="00F844BE">
        <w:t xml:space="preserve">apital-intensive industries </w:t>
      </w:r>
      <w:r w:rsidR="00EC1B50">
        <w:t>h</w:t>
      </w:r>
      <w:r w:rsidR="00F844BE">
        <w:t xml:space="preserve">ave </w:t>
      </w:r>
      <w:r w:rsidR="00EC1B50">
        <w:t xml:space="preserve">greater </w:t>
      </w:r>
      <w:r w:rsidR="00F844BE">
        <w:t>scope to adjust their output</w:t>
      </w:r>
      <w:r w:rsidR="00EC1B50">
        <w:t xml:space="preserve"> relative to labour-intensive industries.</w:t>
      </w:r>
    </w:p>
    <w:p w14:paraId="169B161E" w14:textId="1299BAFA" w:rsidR="00F80A9E" w:rsidRDefault="00F844BE" w:rsidP="005C4484">
      <w:pPr>
        <w:jc w:val="both"/>
      </w:pPr>
      <w:r>
        <w:t xml:space="preserve">On the demand side, the initial sales structure as well as assumptions </w:t>
      </w:r>
      <w:r w:rsidR="00404004">
        <w:t>about</w:t>
      </w:r>
      <w:r>
        <w:t xml:space="preserve"> macro</w:t>
      </w:r>
      <w:r w:rsidR="008722EA">
        <w:t xml:space="preserve">economic variables impact on industry production in both the short and long-term. </w:t>
      </w:r>
      <w:r>
        <w:t xml:space="preserve">For example, if </w:t>
      </w:r>
      <w:r w:rsidR="001C6723">
        <w:t>private</w:t>
      </w:r>
      <w:r>
        <w:t xml:space="preserve"> consumptio</w:t>
      </w:r>
      <w:r w:rsidR="008722EA">
        <w:t>n</w:t>
      </w:r>
      <w:r>
        <w:t xml:space="preserve"> is held </w:t>
      </w:r>
      <w:r w:rsidR="008722EA">
        <w:t>fixed, then t</w:t>
      </w:r>
      <w:r>
        <w:t xml:space="preserve">here is little scope for industries selling their output to </w:t>
      </w:r>
      <w:r w:rsidR="001C6723">
        <w:t>households</w:t>
      </w:r>
      <w:r>
        <w:t xml:space="preserve"> to change their production.</w:t>
      </w:r>
      <w:r w:rsidR="008722EA">
        <w:t xml:space="preserve"> On the other hand, because export demand is assumed to be </w:t>
      </w:r>
      <w:r w:rsidR="008722EA">
        <w:lastRenderedPageBreak/>
        <w:t xml:space="preserve">relatively elastic, </w:t>
      </w:r>
      <w:r w:rsidR="00101D7D">
        <w:t xml:space="preserve">there is much more scope for </w:t>
      </w:r>
      <w:r w:rsidR="008722EA">
        <w:t>industries that ar</w:t>
      </w:r>
      <w:r w:rsidR="00101D7D">
        <w:t>e export-focussed to change their production.</w:t>
      </w:r>
    </w:p>
    <w:p w14:paraId="2877D126" w14:textId="2E6C738B" w:rsidR="00F80A9E" w:rsidRDefault="0047199A" w:rsidP="005C4484">
      <w:pPr>
        <w:jc w:val="both"/>
      </w:pPr>
      <w:r w:rsidRPr="009D7074">
        <w:fldChar w:fldCharType="begin"/>
      </w:r>
      <w:r w:rsidRPr="009D7074">
        <w:instrText xml:space="preserve"> REF _Ref505251080 \h </w:instrText>
      </w:r>
      <w:r w:rsidR="009D7074" w:rsidRPr="009D7074">
        <w:instrText xml:space="preserve"> \* MERGEFORMAT </w:instrText>
      </w:r>
      <w:r w:rsidRPr="009D7074">
        <w:fldChar w:fldCharType="separate"/>
      </w:r>
      <w:r w:rsidRPr="009D7074">
        <w:rPr>
          <w:color w:val="000000" w:themeColor="text1"/>
          <w:sz w:val="22"/>
        </w:rPr>
        <w:t xml:space="preserve">Table </w:t>
      </w:r>
      <w:r w:rsidRPr="009D7074">
        <w:rPr>
          <w:noProof/>
          <w:color w:val="000000" w:themeColor="text1"/>
          <w:sz w:val="22"/>
        </w:rPr>
        <w:t>4</w:t>
      </w:r>
      <w:r w:rsidRPr="009D7074">
        <w:fldChar w:fldCharType="end"/>
      </w:r>
      <w:r w:rsidRPr="009D7074">
        <w:t xml:space="preserve"> </w:t>
      </w:r>
      <w:r w:rsidR="000E0091" w:rsidRPr="009D7074">
        <w:t>shows th</w:t>
      </w:r>
      <w:r w:rsidR="001C6723" w:rsidRPr="009D7074">
        <w:t>e</w:t>
      </w:r>
      <w:r w:rsidR="000E0091" w:rsidRPr="009D7074">
        <w:t xml:space="preserve"> share of </w:t>
      </w:r>
      <w:r w:rsidR="001C6723" w:rsidRPr="009D7074">
        <w:t xml:space="preserve">costs for selected industries </w:t>
      </w:r>
      <w:r w:rsidR="00764BC7" w:rsidRPr="009D7074">
        <w:t>(the agricultural</w:t>
      </w:r>
      <w:r w:rsidR="00764BC7">
        <w:t xml:space="preserve"> industries and selected manufacturing industries) </w:t>
      </w:r>
      <w:r w:rsidR="001C6723">
        <w:t xml:space="preserve">in the database. </w:t>
      </w:r>
      <w:r w:rsidR="00BA2741">
        <w:t xml:space="preserve">The first </w:t>
      </w:r>
      <w:r w:rsidR="00967B92">
        <w:t>two</w:t>
      </w:r>
      <w:r w:rsidR="008E1733">
        <w:t xml:space="preserve"> </w:t>
      </w:r>
      <w:r w:rsidR="00BA2741">
        <w:t>column</w:t>
      </w:r>
      <w:r w:rsidR="008E1733">
        <w:t>s</w:t>
      </w:r>
      <w:r w:rsidR="00BA2741">
        <w:t xml:space="preserve"> show the cost shares accounted for by intermediate inputs sourced from local or foreign markets</w:t>
      </w:r>
      <w:r w:rsidR="008E1733">
        <w:t>, followed by margin cost and commodity tax</w:t>
      </w:r>
      <w:r w:rsidR="00BA2741">
        <w:t>.</w:t>
      </w:r>
      <w:r w:rsidR="008E1733">
        <w:t xml:space="preserve"> Columns 5 to 7 show the share of factor inputs in total industry cost.</w:t>
      </w:r>
    </w:p>
    <w:p w14:paraId="5B2C2BE4" w14:textId="2CDDCA18" w:rsidR="00F80A9E" w:rsidRPr="009D7074" w:rsidRDefault="0047199A" w:rsidP="0047199A">
      <w:pPr>
        <w:pStyle w:val="Caption"/>
        <w:rPr>
          <w:color w:val="000000" w:themeColor="text1"/>
          <w:sz w:val="22"/>
          <w:szCs w:val="22"/>
        </w:rPr>
      </w:pPr>
      <w:bookmarkStart w:id="30" w:name="_Ref505251080"/>
      <w:r w:rsidRPr="009D7074">
        <w:rPr>
          <w:color w:val="000000" w:themeColor="text1"/>
          <w:sz w:val="22"/>
          <w:szCs w:val="22"/>
        </w:rPr>
        <w:t xml:space="preserve">Table </w:t>
      </w:r>
      <w:r w:rsidRPr="009D7074">
        <w:rPr>
          <w:color w:val="000000" w:themeColor="text1"/>
          <w:sz w:val="22"/>
          <w:szCs w:val="22"/>
        </w:rPr>
        <w:fldChar w:fldCharType="begin"/>
      </w:r>
      <w:r w:rsidRPr="009D7074">
        <w:rPr>
          <w:color w:val="000000" w:themeColor="text1"/>
          <w:sz w:val="22"/>
          <w:szCs w:val="22"/>
        </w:rPr>
        <w:instrText xml:space="preserve"> SEQ Table \* ARABIC </w:instrText>
      </w:r>
      <w:r w:rsidRPr="009D7074">
        <w:rPr>
          <w:color w:val="000000" w:themeColor="text1"/>
          <w:sz w:val="22"/>
          <w:szCs w:val="22"/>
        </w:rPr>
        <w:fldChar w:fldCharType="separate"/>
      </w:r>
      <w:r w:rsidR="00692D91" w:rsidRPr="009D7074">
        <w:rPr>
          <w:noProof/>
          <w:color w:val="000000" w:themeColor="text1"/>
          <w:sz w:val="22"/>
          <w:szCs w:val="22"/>
        </w:rPr>
        <w:t>4</w:t>
      </w:r>
      <w:r w:rsidRPr="009D7074">
        <w:rPr>
          <w:color w:val="000000" w:themeColor="text1"/>
          <w:sz w:val="22"/>
          <w:szCs w:val="22"/>
        </w:rPr>
        <w:fldChar w:fldCharType="end"/>
      </w:r>
      <w:bookmarkEnd w:id="30"/>
      <w:r w:rsidR="008C38C3" w:rsidRPr="009D7074">
        <w:rPr>
          <w:color w:val="000000" w:themeColor="text1"/>
          <w:sz w:val="22"/>
          <w:szCs w:val="22"/>
        </w:rPr>
        <w:t>. Cost shares for selected industries (2010)</w:t>
      </w:r>
    </w:p>
    <w:p w14:paraId="3B7671D9" w14:textId="7FF72FAE" w:rsidR="00F80A9E" w:rsidRDefault="0047199A" w:rsidP="006D265D">
      <w:r w:rsidRPr="0047199A">
        <w:rPr>
          <w:noProof/>
          <w:lang w:eastAsia="en-ZA"/>
        </w:rPr>
        <w:drawing>
          <wp:inline distT="0" distB="0" distL="0" distR="0" wp14:anchorId="218856F2" wp14:editId="31C38008">
            <wp:extent cx="5731510" cy="3882388"/>
            <wp:effectExtent l="0" t="0" r="254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3882388"/>
                    </a:xfrm>
                    <a:prstGeom prst="rect">
                      <a:avLst/>
                    </a:prstGeom>
                    <a:noFill/>
                    <a:ln>
                      <a:noFill/>
                    </a:ln>
                  </pic:spPr>
                </pic:pic>
              </a:graphicData>
            </a:graphic>
          </wp:inline>
        </w:drawing>
      </w:r>
    </w:p>
    <w:p w14:paraId="1944AE44" w14:textId="67B606B1" w:rsidR="00457DE1" w:rsidRPr="002915AA" w:rsidRDefault="00457DE1" w:rsidP="006D265D">
      <w:pPr>
        <w:rPr>
          <w:sz w:val="20"/>
          <w:szCs w:val="20"/>
        </w:rPr>
      </w:pPr>
      <w:r w:rsidRPr="002915AA">
        <w:rPr>
          <w:sz w:val="20"/>
          <w:szCs w:val="20"/>
        </w:rPr>
        <w:t>Source: Authors</w:t>
      </w:r>
      <w:r w:rsidR="002915AA">
        <w:rPr>
          <w:sz w:val="20"/>
          <w:szCs w:val="20"/>
        </w:rPr>
        <w:t>’</w:t>
      </w:r>
      <w:r w:rsidRPr="002915AA">
        <w:rPr>
          <w:sz w:val="20"/>
          <w:szCs w:val="20"/>
        </w:rPr>
        <w:t xml:space="preserve"> calculations </w:t>
      </w:r>
      <w:r w:rsidR="002915AA">
        <w:rPr>
          <w:sz w:val="20"/>
          <w:szCs w:val="20"/>
        </w:rPr>
        <w:t>from</w:t>
      </w:r>
      <w:r w:rsidRPr="002915AA">
        <w:rPr>
          <w:sz w:val="20"/>
          <w:szCs w:val="20"/>
        </w:rPr>
        <w:t xml:space="preserve"> the database</w:t>
      </w:r>
    </w:p>
    <w:p w14:paraId="242D17C0" w14:textId="765A8CEF" w:rsidR="00F80A9E" w:rsidRDefault="0047199A" w:rsidP="005C4484">
      <w:pPr>
        <w:jc w:val="both"/>
      </w:pPr>
      <w:r>
        <w:t xml:space="preserve">The costs shares show that agricultural sectors use land as an input. </w:t>
      </w:r>
      <w:r w:rsidR="00C20413">
        <w:t xml:space="preserve">Land is fixed by assumption and can therefore not be substituted for other inputs given changes in relative price. </w:t>
      </w:r>
      <w:r w:rsidR="005322E5">
        <w:t xml:space="preserve">The share of capital in production cost is fairly high </w:t>
      </w:r>
      <w:r w:rsidR="004014F0">
        <w:t xml:space="preserve">(rows 1-13, column 6) </w:t>
      </w:r>
      <w:r w:rsidR="005322E5">
        <w:t xml:space="preserve">with the average capital share for the entire agricultural sector higher than 40 per cent. </w:t>
      </w:r>
      <w:r w:rsidR="00083F18">
        <w:t>The share of locally and imported intermediate inputs (column 1) is lower for the agricultural sectors (rows 1- 13) tha</w:t>
      </w:r>
      <w:r w:rsidR="002915AA">
        <w:t>n</w:t>
      </w:r>
      <w:r w:rsidR="00083F18">
        <w:t xml:space="preserve"> for manufacturing sectors (row 14 – 22). For example, </w:t>
      </w:r>
      <w:r w:rsidR="00083F18" w:rsidRPr="009D7074">
        <w:fldChar w:fldCharType="begin"/>
      </w:r>
      <w:r w:rsidR="00083F18" w:rsidRPr="009D7074">
        <w:instrText xml:space="preserve"> REF _Ref505251080 \h </w:instrText>
      </w:r>
      <w:r w:rsidR="009D7074" w:rsidRPr="009D7074">
        <w:instrText xml:space="preserve"> \* MERGEFORMAT </w:instrText>
      </w:r>
      <w:r w:rsidR="00083F18" w:rsidRPr="009D7074">
        <w:fldChar w:fldCharType="separate"/>
      </w:r>
      <w:r w:rsidR="00083F18" w:rsidRPr="009D7074">
        <w:rPr>
          <w:color w:val="000000" w:themeColor="text1"/>
          <w:sz w:val="22"/>
        </w:rPr>
        <w:t xml:space="preserve">Table </w:t>
      </w:r>
      <w:r w:rsidR="00083F18" w:rsidRPr="009D7074">
        <w:rPr>
          <w:noProof/>
          <w:color w:val="000000" w:themeColor="text1"/>
          <w:sz w:val="22"/>
        </w:rPr>
        <w:t>4</w:t>
      </w:r>
      <w:r w:rsidR="00083F18" w:rsidRPr="009D7074">
        <w:fldChar w:fldCharType="end"/>
      </w:r>
      <w:r w:rsidR="00083F18" w:rsidRPr="009D7074">
        <w:t xml:space="preserve"> shows that the meat processing industry (row 14) use 93.3 per cent</w:t>
      </w:r>
      <w:r w:rsidR="00083F18">
        <w:t xml:space="preserve"> of locally sourced intermediate commodities during the production process. Further investigation shows that 97.7 per cent of the</w:t>
      </w:r>
      <w:r w:rsidR="00936BDE">
        <w:t xml:space="preserve"> domestically sourced</w:t>
      </w:r>
      <w:r w:rsidR="00083F18">
        <w:t xml:space="preserve"> intermediate inputs are livestock.</w:t>
      </w:r>
      <w:r w:rsidR="00936BDE">
        <w:t xml:space="preserve"> Livestock in turn use 29.8 per cent domestically source</w:t>
      </w:r>
      <w:r w:rsidR="002915AA">
        <w:t>d</w:t>
      </w:r>
      <w:r w:rsidR="00936BDE">
        <w:t xml:space="preserve"> intermediate inputs, mostly cassava</w:t>
      </w:r>
      <w:r w:rsidR="002915AA">
        <w:t>,</w:t>
      </w:r>
      <w:r w:rsidR="00936BDE">
        <w:t xml:space="preserve"> as feeding. </w:t>
      </w:r>
      <w:r w:rsidR="00692D91">
        <w:t xml:space="preserve">Similarly, coffee production uses 67.6 per cent locally sourced </w:t>
      </w:r>
      <w:r w:rsidR="002915AA">
        <w:t xml:space="preserve">coffee beans as </w:t>
      </w:r>
      <w:r w:rsidR="00692D91">
        <w:lastRenderedPageBreak/>
        <w:t xml:space="preserve">inputs. These examples show the linkages between agricultural and manufacturing sectors. </w:t>
      </w:r>
    </w:p>
    <w:p w14:paraId="2F525118" w14:textId="463FE82E" w:rsidR="00692D91" w:rsidRPr="009D7074" w:rsidRDefault="00692D91" w:rsidP="00692D91">
      <w:pPr>
        <w:pStyle w:val="Caption"/>
        <w:rPr>
          <w:color w:val="auto"/>
          <w:sz w:val="22"/>
          <w:szCs w:val="22"/>
        </w:rPr>
      </w:pPr>
      <w:bookmarkStart w:id="31" w:name="_Ref505253394"/>
      <w:r w:rsidRPr="009D7074">
        <w:rPr>
          <w:color w:val="auto"/>
          <w:sz w:val="22"/>
          <w:szCs w:val="22"/>
        </w:rPr>
        <w:t xml:space="preserve">Table </w:t>
      </w:r>
      <w:r w:rsidRPr="009D7074">
        <w:rPr>
          <w:color w:val="auto"/>
          <w:sz w:val="22"/>
          <w:szCs w:val="22"/>
        </w:rPr>
        <w:fldChar w:fldCharType="begin"/>
      </w:r>
      <w:r w:rsidRPr="009D7074">
        <w:rPr>
          <w:color w:val="auto"/>
          <w:sz w:val="22"/>
          <w:szCs w:val="22"/>
        </w:rPr>
        <w:instrText xml:space="preserve"> SEQ Table \* ARABIC </w:instrText>
      </w:r>
      <w:r w:rsidRPr="009D7074">
        <w:rPr>
          <w:color w:val="auto"/>
          <w:sz w:val="22"/>
          <w:szCs w:val="22"/>
        </w:rPr>
        <w:fldChar w:fldCharType="separate"/>
      </w:r>
      <w:r w:rsidRPr="009D7074">
        <w:rPr>
          <w:noProof/>
          <w:color w:val="auto"/>
          <w:sz w:val="22"/>
          <w:szCs w:val="22"/>
        </w:rPr>
        <w:t>5</w:t>
      </w:r>
      <w:r w:rsidRPr="009D7074">
        <w:rPr>
          <w:color w:val="auto"/>
          <w:sz w:val="22"/>
          <w:szCs w:val="22"/>
        </w:rPr>
        <w:fldChar w:fldCharType="end"/>
      </w:r>
      <w:bookmarkEnd w:id="31"/>
      <w:r w:rsidRPr="009D7074">
        <w:rPr>
          <w:color w:val="auto"/>
          <w:sz w:val="22"/>
          <w:szCs w:val="22"/>
        </w:rPr>
        <w:t xml:space="preserve"> Sales shares of selected industries (2010)</w:t>
      </w:r>
    </w:p>
    <w:p w14:paraId="1CBAFCA9" w14:textId="135FA8F5" w:rsidR="00646EC5" w:rsidRDefault="00CE4931" w:rsidP="00646EC5">
      <w:r w:rsidRPr="00CE4931">
        <w:rPr>
          <w:noProof/>
          <w:lang w:eastAsia="en-ZA"/>
        </w:rPr>
        <w:drawing>
          <wp:inline distT="0" distB="0" distL="0" distR="0" wp14:anchorId="17E4AB49" wp14:editId="31730299">
            <wp:extent cx="5731510" cy="4694073"/>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4694073"/>
                    </a:xfrm>
                    <a:prstGeom prst="rect">
                      <a:avLst/>
                    </a:prstGeom>
                    <a:noFill/>
                    <a:ln>
                      <a:noFill/>
                    </a:ln>
                  </pic:spPr>
                </pic:pic>
              </a:graphicData>
            </a:graphic>
          </wp:inline>
        </w:drawing>
      </w:r>
    </w:p>
    <w:p w14:paraId="004D7AB6" w14:textId="2230858F" w:rsidR="006105FF" w:rsidRPr="002915AA" w:rsidRDefault="006105FF" w:rsidP="006105FF">
      <w:pPr>
        <w:rPr>
          <w:sz w:val="20"/>
          <w:szCs w:val="20"/>
        </w:rPr>
      </w:pPr>
      <w:r w:rsidRPr="002915AA">
        <w:rPr>
          <w:sz w:val="20"/>
          <w:szCs w:val="20"/>
        </w:rPr>
        <w:t>Source: Authors</w:t>
      </w:r>
      <w:r w:rsidR="002915AA">
        <w:rPr>
          <w:sz w:val="20"/>
          <w:szCs w:val="20"/>
        </w:rPr>
        <w:t>’</w:t>
      </w:r>
      <w:r w:rsidRPr="002915AA">
        <w:rPr>
          <w:sz w:val="20"/>
          <w:szCs w:val="20"/>
        </w:rPr>
        <w:t xml:space="preserve"> calculations </w:t>
      </w:r>
      <w:r w:rsidR="002915AA">
        <w:rPr>
          <w:sz w:val="20"/>
          <w:szCs w:val="20"/>
        </w:rPr>
        <w:t>from</w:t>
      </w:r>
      <w:r w:rsidRPr="002915AA">
        <w:rPr>
          <w:sz w:val="20"/>
          <w:szCs w:val="20"/>
        </w:rPr>
        <w:t xml:space="preserve"> the database</w:t>
      </w:r>
    </w:p>
    <w:p w14:paraId="4ED7C919" w14:textId="7B5D3135" w:rsidR="00692D91" w:rsidRDefault="00646EC5" w:rsidP="005C4484">
      <w:pPr>
        <w:jc w:val="both"/>
      </w:pPr>
      <w:r w:rsidRPr="009D7074">
        <w:fldChar w:fldCharType="begin"/>
      </w:r>
      <w:r w:rsidRPr="009D7074">
        <w:instrText xml:space="preserve"> REF _Ref505253394 \h </w:instrText>
      </w:r>
      <w:r w:rsidR="009D7074" w:rsidRPr="009D7074">
        <w:instrText xml:space="preserve"> \* MERGEFORMAT </w:instrText>
      </w:r>
      <w:r w:rsidRPr="009D7074">
        <w:fldChar w:fldCharType="separate"/>
      </w:r>
      <w:r w:rsidRPr="009D7074">
        <w:rPr>
          <w:sz w:val="22"/>
        </w:rPr>
        <w:t xml:space="preserve">Table </w:t>
      </w:r>
      <w:r w:rsidRPr="009D7074">
        <w:rPr>
          <w:noProof/>
          <w:sz w:val="22"/>
        </w:rPr>
        <w:t>5</w:t>
      </w:r>
      <w:r w:rsidRPr="009D7074">
        <w:fldChar w:fldCharType="end"/>
      </w:r>
      <w:r w:rsidRPr="009D7074">
        <w:t xml:space="preserve"> shows the sales structure for selected commodities over various</w:t>
      </w:r>
      <w:r>
        <w:t xml:space="preserve"> users</w:t>
      </w:r>
      <w:r w:rsidR="007E107A">
        <w:t xml:space="preserve"> (c</w:t>
      </w:r>
      <w:r>
        <w:t>olumns 1 to 6</w:t>
      </w:r>
      <w:r w:rsidR="007E107A">
        <w:t>)</w:t>
      </w:r>
      <w:r w:rsidR="00BC3E08">
        <w:t xml:space="preserve">, </w:t>
      </w:r>
      <w:r>
        <w:t>rang</w:t>
      </w:r>
      <w:r w:rsidR="00BC3E08">
        <w:t>ing</w:t>
      </w:r>
      <w:r>
        <w:t xml:space="preserve"> from domestic producers (column 1) to households (column 3) and foreign markets (columns 4). We note that none </w:t>
      </w:r>
      <w:r w:rsidRPr="009D7074">
        <w:t xml:space="preserve">of the selected commodities in </w:t>
      </w:r>
      <w:r w:rsidRPr="009D7074">
        <w:fldChar w:fldCharType="begin"/>
      </w:r>
      <w:r w:rsidRPr="009D7074">
        <w:instrText xml:space="preserve"> REF _Ref505253394 \h </w:instrText>
      </w:r>
      <w:r w:rsidR="009D7074" w:rsidRPr="009D7074">
        <w:instrText xml:space="preserve"> \* MERGEFORMAT </w:instrText>
      </w:r>
      <w:r w:rsidRPr="009D7074">
        <w:fldChar w:fldCharType="separate"/>
      </w:r>
      <w:r w:rsidRPr="009D7074">
        <w:rPr>
          <w:sz w:val="22"/>
        </w:rPr>
        <w:t xml:space="preserve">Table </w:t>
      </w:r>
      <w:r w:rsidRPr="009D7074">
        <w:rPr>
          <w:noProof/>
          <w:sz w:val="22"/>
        </w:rPr>
        <w:t>5</w:t>
      </w:r>
      <w:r w:rsidRPr="009D7074">
        <w:fldChar w:fldCharType="end"/>
      </w:r>
      <w:r w:rsidRPr="009D7074">
        <w:t xml:space="preserve"> are used to create capital (column</w:t>
      </w:r>
      <w:r>
        <w:t xml:space="preserve"> 2)</w:t>
      </w:r>
      <w:r>
        <w:rPr>
          <w:rStyle w:val="FootnoteReference"/>
        </w:rPr>
        <w:footnoteReference w:id="10"/>
      </w:r>
      <w:r>
        <w:t xml:space="preserve">, </w:t>
      </w:r>
      <w:r w:rsidR="00967B92">
        <w:t xml:space="preserve">are used by </w:t>
      </w:r>
      <w:r>
        <w:t>the government (column 5)</w:t>
      </w:r>
      <w:r w:rsidR="00BC3E08">
        <w:rPr>
          <w:rStyle w:val="FootnoteReference"/>
        </w:rPr>
        <w:footnoteReference w:id="11"/>
      </w:r>
      <w:r>
        <w:t xml:space="preserve"> or</w:t>
      </w:r>
      <w:r w:rsidR="00967B92">
        <w:t xml:space="preserve"> are</w:t>
      </w:r>
      <w:r>
        <w:t xml:space="preserve"> kept as stocks (column 6).</w:t>
      </w:r>
      <w:r w:rsidR="00D638E0">
        <w:t xml:space="preserve"> </w:t>
      </w:r>
      <w:r w:rsidR="00D638E0" w:rsidRPr="009D7074">
        <w:fldChar w:fldCharType="begin"/>
      </w:r>
      <w:r w:rsidR="00D638E0" w:rsidRPr="009D7074">
        <w:instrText xml:space="preserve"> REF _Ref505253394 \h </w:instrText>
      </w:r>
      <w:r w:rsidR="009D7074" w:rsidRPr="009D7074">
        <w:instrText xml:space="preserve"> \* MERGEFORMAT </w:instrText>
      </w:r>
      <w:r w:rsidR="00D638E0" w:rsidRPr="009D7074">
        <w:fldChar w:fldCharType="separate"/>
      </w:r>
      <w:r w:rsidR="00D638E0" w:rsidRPr="009D7074">
        <w:rPr>
          <w:sz w:val="22"/>
        </w:rPr>
        <w:t xml:space="preserve">Table </w:t>
      </w:r>
      <w:r w:rsidR="00D638E0" w:rsidRPr="009D7074">
        <w:rPr>
          <w:noProof/>
          <w:sz w:val="22"/>
        </w:rPr>
        <w:t>5</w:t>
      </w:r>
      <w:r w:rsidR="00D638E0" w:rsidRPr="009D7074">
        <w:fldChar w:fldCharType="end"/>
      </w:r>
      <w:r w:rsidR="00D638E0" w:rsidRPr="009D7074">
        <w:t xml:space="preserve"> shows that domestically produced neutrals, sorghum, other cereals,</w:t>
      </w:r>
      <w:r w:rsidR="00D638E0">
        <w:t xml:space="preserve"> pulses, root</w:t>
      </w:r>
      <w:r w:rsidR="002915AA">
        <w:t xml:space="preserve"> </w:t>
      </w:r>
      <w:r w:rsidR="00D638E0">
        <w:t>crops, cassava and bananas are mostly consumed by households. Therefore</w:t>
      </w:r>
      <w:r w:rsidR="00522012">
        <w:t>,</w:t>
      </w:r>
      <w:r w:rsidR="00D638E0">
        <w:t xml:space="preserve"> any negative shocks to these commodities, such as a prolonged drought, will impact households directly. Commodities such as wheat, maize and live</w:t>
      </w:r>
      <w:r w:rsidR="00AE3B21">
        <w:t xml:space="preserve">stock are used as intermediate inputs in the grains industry and meat processing industry. </w:t>
      </w:r>
      <w:r w:rsidR="00C15696">
        <w:t>Interestingly, we see that coffee beans are mainly exported</w:t>
      </w:r>
      <w:r w:rsidR="00D638E0">
        <w:t xml:space="preserve"> </w:t>
      </w:r>
      <w:r w:rsidR="00C15696">
        <w:t xml:space="preserve">while </w:t>
      </w:r>
      <w:r w:rsidR="00C15696">
        <w:lastRenderedPageBreak/>
        <w:t>wheat sold on the local market are mainly imported. Therefore</w:t>
      </w:r>
      <w:r w:rsidR="0065122A">
        <w:t>,</w:t>
      </w:r>
      <w:r w:rsidR="00C15696">
        <w:t xml:space="preserve"> </w:t>
      </w:r>
      <w:r w:rsidR="004F16A5">
        <w:t>these commodities are sensitive to changes in the real exchange rate</w:t>
      </w:r>
      <w:r w:rsidR="00C15696">
        <w:t xml:space="preserve">. </w:t>
      </w:r>
    </w:p>
    <w:p w14:paraId="6994CAC3" w14:textId="43C52042" w:rsidR="00587DA5" w:rsidRDefault="00587DA5" w:rsidP="004F16A5">
      <w:pPr>
        <w:pStyle w:val="Heading1"/>
      </w:pPr>
      <w:bookmarkStart w:id="32" w:name="_Toc525042501"/>
      <w:r w:rsidRPr="004F16A5">
        <w:t>Simulation</w:t>
      </w:r>
      <w:r>
        <w:t xml:space="preserve"> </w:t>
      </w:r>
      <w:r w:rsidR="00936BAC">
        <w:t xml:space="preserve">design and </w:t>
      </w:r>
      <w:r w:rsidR="00B30294">
        <w:t>assumptions</w:t>
      </w:r>
      <w:bookmarkEnd w:id="32"/>
    </w:p>
    <w:p w14:paraId="6A39EDD6" w14:textId="2DEC8CAF" w:rsidR="00967B92" w:rsidRDefault="004F16A5" w:rsidP="002915AA">
      <w:pPr>
        <w:jc w:val="both"/>
      </w:pPr>
      <w:r>
        <w:t xml:space="preserve">Policy analysis with </w:t>
      </w:r>
      <w:r w:rsidR="007538A9">
        <w:t>UgAGE</w:t>
      </w:r>
      <w:r>
        <w:t xml:space="preserve"> requires two simulations. </w:t>
      </w:r>
      <w:r w:rsidR="00CC588B">
        <w:t>The first is the baseline simulation. This simulation models the growth of the Ugandan economy in the absence of a shock, such as a permanent reduction in agricultural production due to</w:t>
      </w:r>
      <w:r w:rsidR="00967B92">
        <w:t xml:space="preserve"> rainfall deficiency (climate change)</w:t>
      </w:r>
      <w:r w:rsidR="00CC588B">
        <w:t xml:space="preserve">. </w:t>
      </w:r>
      <w:r w:rsidR="007538A9">
        <w:t>UgAGE</w:t>
      </w:r>
      <w:r w:rsidR="00CC588B">
        <w:t xml:space="preserve"> is used to trace out the implications of the forecast at a high level of sectoral detail. </w:t>
      </w:r>
      <w:r w:rsidR="00C96B7A">
        <w:t>For this chapter, the baseline simulation incorporates observed national accounting data for the main macro variables</w:t>
      </w:r>
      <w:r w:rsidR="00F00E1A">
        <w:rPr>
          <w:rStyle w:val="FootnoteReference"/>
        </w:rPr>
        <w:footnoteReference w:id="12"/>
      </w:r>
      <w:r w:rsidR="00C96B7A">
        <w:t xml:space="preserve"> and forecasts adopted from the International Monetary Fund (IMF) for GDP, employment and population growth. </w:t>
      </w:r>
    </w:p>
    <w:p w14:paraId="2A316557" w14:textId="366560A8" w:rsidR="00C96B7A" w:rsidRDefault="00C96B7A" w:rsidP="002915AA">
      <w:pPr>
        <w:jc w:val="both"/>
      </w:pPr>
      <w:r>
        <w:t>The second simulation is the policy simulation and incorporates all the features of the baseline simulation and now also includes the shock</w:t>
      </w:r>
      <w:r w:rsidR="002915AA">
        <w:t>s</w:t>
      </w:r>
      <w:r>
        <w:t xml:space="preserve"> reflecting the impact of climate change</w:t>
      </w:r>
      <w:r w:rsidR="00663745">
        <w:t xml:space="preserve"> as a reduction in agricultural output</w:t>
      </w:r>
      <w:r>
        <w:t xml:space="preserve">. The results of the policy simulation are typically reported as </w:t>
      </w:r>
      <w:r w:rsidR="002915AA">
        <w:t>per</w:t>
      </w:r>
      <w:r w:rsidR="00BA2F9C">
        <w:t>cent</w:t>
      </w:r>
      <w:r>
        <w:t>age deviation</w:t>
      </w:r>
      <w:r w:rsidR="002915AA">
        <w:t>s</w:t>
      </w:r>
      <w:r>
        <w:t xml:space="preserve"> away from the baseline.  We solve the model using GEMPACK (Harrison </w:t>
      </w:r>
      <w:r w:rsidRPr="006E0613">
        <w:rPr>
          <w:i/>
        </w:rPr>
        <w:t>et al</w:t>
      </w:r>
      <w:r>
        <w:t xml:space="preserve">., 2014; Harrison and Pearson, 1996). </w:t>
      </w:r>
    </w:p>
    <w:p w14:paraId="4BC48917" w14:textId="6648116B" w:rsidR="002B1F3C" w:rsidRDefault="00332013" w:rsidP="005C4484">
      <w:pPr>
        <w:jc w:val="both"/>
      </w:pPr>
      <w:r>
        <w:t>The baseline simulation suggests that</w:t>
      </w:r>
      <w:r w:rsidR="002B1F3C">
        <w:t xml:space="preserve">, given the </w:t>
      </w:r>
      <w:r w:rsidR="00B41BBC">
        <w:t>imposed</w:t>
      </w:r>
      <w:r w:rsidR="002B1F3C">
        <w:t xml:space="preserve"> growth rates for GDP at 6 per cent per annum and employment of 3 per cent, capital grows at 5 per cent per annum. For capital to grow at 5 per cent requires annual investments of approximately 5 per cent in the medium to long-run. </w:t>
      </w:r>
      <w:r w:rsidR="00B41BBC">
        <w:t>For all other macro variables, the annual year-on-year growth rate</w:t>
      </w:r>
      <w:r w:rsidR="00967B92">
        <w:t>s vary</w:t>
      </w:r>
      <w:r w:rsidR="00B41BBC">
        <w:t xml:space="preserve"> between 5 and 6 per cent. </w:t>
      </w:r>
      <w:r w:rsidR="00EA3ED8">
        <w:t>We note that t</w:t>
      </w:r>
      <w:r w:rsidR="00B41BBC">
        <w:t xml:space="preserve">hroughout the simulation period, export growth exceeds imports. This is consistent with a fall in the terms of trade. </w:t>
      </w:r>
      <w:r w:rsidR="00B41BBC" w:rsidRPr="00537045">
        <w:rPr>
          <w:i/>
        </w:rPr>
        <w:t>Ceteris paribus</w:t>
      </w:r>
      <w:r w:rsidR="00B41BBC">
        <w:t>, this requires real depreciation of the Ugandan Shilling</w:t>
      </w:r>
      <w:r w:rsidR="00392E3F">
        <w:t>. With no specific industry forecasts imposed during the baseline simulation, we expect all industries to expand over time</w:t>
      </w:r>
      <w:r w:rsidR="00F326C4">
        <w:t xml:space="preserve"> in line with the GDP forecast</w:t>
      </w:r>
      <w:r w:rsidR="00392E3F">
        <w:t xml:space="preserve">. </w:t>
      </w:r>
    </w:p>
    <w:p w14:paraId="28F8DA1F" w14:textId="4586D7B9" w:rsidR="002B1F3C" w:rsidRDefault="00583B65" w:rsidP="00583B65">
      <w:pPr>
        <w:pStyle w:val="Heading2"/>
      </w:pPr>
      <w:bookmarkStart w:id="33" w:name="_Toc525042502"/>
      <w:r>
        <w:t>Modelling a fall in agricultural output</w:t>
      </w:r>
      <w:bookmarkEnd w:id="33"/>
    </w:p>
    <w:p w14:paraId="510AC3F4" w14:textId="5B196C43" w:rsidR="001164B5" w:rsidRDefault="00EF3EA7" w:rsidP="005C4484">
      <w:pPr>
        <w:jc w:val="both"/>
      </w:pPr>
      <w:r>
        <w:t xml:space="preserve">It is assumed for the baseline that </w:t>
      </w:r>
      <w:r w:rsidR="00583B65">
        <w:t xml:space="preserve">growth in agricultural </w:t>
      </w:r>
      <w:r>
        <w:t>production (</w:t>
      </w:r>
      <w:r w:rsidR="00583B65">
        <w:t>in the absence of climate change</w:t>
      </w:r>
      <w:r>
        <w:t>)</w:t>
      </w:r>
      <w:r w:rsidR="00583B65">
        <w:t xml:space="preserve"> is</w:t>
      </w:r>
      <w:r>
        <w:t xml:space="preserve"> roughly</w:t>
      </w:r>
      <w:r w:rsidR="00583B65">
        <w:t xml:space="preserve"> in line with GDP.</w:t>
      </w:r>
      <w:r w:rsidR="00114DDA">
        <w:t xml:space="preserve"> </w:t>
      </w:r>
      <w:r w:rsidR="009D7074">
        <w:t xml:space="preserve">Given the initial value of output in the base year and the year-on-year </w:t>
      </w:r>
      <w:r w:rsidR="005C4484">
        <w:t>per</w:t>
      </w:r>
      <w:r w:rsidR="00BA2F9C">
        <w:t>cent</w:t>
      </w:r>
      <w:r w:rsidR="009D7074">
        <w:t>age change over the simulation period, w</w:t>
      </w:r>
      <w:r w:rsidR="00114DDA">
        <w:t>e are able to calculate the</w:t>
      </w:r>
      <w:r w:rsidR="009D7074">
        <w:t xml:space="preserve"> value of</w:t>
      </w:r>
      <w:r w:rsidR="00114DDA">
        <w:t xml:space="preserve"> real output by sector over the baseline period.</w:t>
      </w:r>
      <w:r w:rsidR="00114DDA">
        <w:rPr>
          <w:rStyle w:val="FootnoteReference"/>
        </w:rPr>
        <w:footnoteReference w:id="13"/>
      </w:r>
      <w:r w:rsidR="009D7074">
        <w:t xml:space="preserve"> </w:t>
      </w:r>
    </w:p>
    <w:p w14:paraId="648D95A4" w14:textId="1F565384" w:rsidR="0020445B" w:rsidRDefault="001164B5" w:rsidP="001354A6">
      <w:pPr>
        <w:jc w:val="both"/>
        <w:rPr>
          <w:lang w:val="en-AU"/>
        </w:rPr>
      </w:pPr>
      <w:r>
        <w:t xml:space="preserve">In the policy simulation we reduce the output of agricultural sectors in line with forecasts reported in </w:t>
      </w:r>
      <w:r w:rsidR="00EF3EA7">
        <w:t>Table 3</w:t>
      </w:r>
      <w:r>
        <w:t>.</w:t>
      </w:r>
      <w:r w:rsidR="00EF3EA7">
        <w:t xml:space="preserve"> To understand how we calibrate the output shocks, consider the case of coffee. </w:t>
      </w:r>
      <w:r w:rsidR="00EF3EA7">
        <w:rPr>
          <w:lang w:val="en-AU"/>
        </w:rPr>
        <w:t>According to the baseline,</w:t>
      </w:r>
      <w:r w:rsidR="004A693E">
        <w:rPr>
          <w:lang w:val="en-AU"/>
        </w:rPr>
        <w:t xml:space="preserve"> the real level of </w:t>
      </w:r>
      <w:r w:rsidR="00EF3EA7">
        <w:rPr>
          <w:lang w:val="en-AU"/>
        </w:rPr>
        <w:lastRenderedPageBreak/>
        <w:t xml:space="preserve">coffee bean </w:t>
      </w:r>
      <w:r w:rsidR="004A693E">
        <w:rPr>
          <w:lang w:val="en-AU"/>
        </w:rPr>
        <w:t xml:space="preserve">output in 2050 is </w:t>
      </w:r>
      <w:r w:rsidR="00EF3EA7">
        <w:rPr>
          <w:lang w:val="en-AU"/>
        </w:rPr>
        <w:t xml:space="preserve">projected to be </w:t>
      </w:r>
      <w:r w:rsidR="004A693E">
        <w:rPr>
          <w:lang w:val="en-AU"/>
        </w:rPr>
        <w:t>5,279 billion Shilling.</w:t>
      </w:r>
      <w:r w:rsidR="00EF3EA7">
        <w:rPr>
          <w:lang w:val="en-AU"/>
        </w:rPr>
        <w:t xml:space="preserve"> According to Table 3, weather-related changes related to climate change will reduce coffee output in the long-run by 30 per cent. We assume that the long-run means 2050. Thus, we assume that the coffee output in the policy simulation in 2050 will be 30 per cent lower than in the baseline. In other words, in the policy simulation in </w:t>
      </w:r>
      <w:r w:rsidR="004A693E">
        <w:rPr>
          <w:lang w:val="en-AU"/>
        </w:rPr>
        <w:t xml:space="preserve">2050 </w:t>
      </w:r>
      <w:r w:rsidR="00EF3EA7">
        <w:rPr>
          <w:lang w:val="en-AU"/>
        </w:rPr>
        <w:t xml:space="preserve">the </w:t>
      </w:r>
      <w:r w:rsidR="004A693E">
        <w:rPr>
          <w:lang w:val="en-AU"/>
        </w:rPr>
        <w:t xml:space="preserve">value of coffee </w:t>
      </w:r>
      <w:r w:rsidR="00EF3EA7">
        <w:rPr>
          <w:lang w:val="en-AU"/>
        </w:rPr>
        <w:t xml:space="preserve">production will be </w:t>
      </w:r>
      <w:r w:rsidR="004A693E">
        <w:rPr>
          <w:lang w:val="en-AU"/>
        </w:rPr>
        <w:t>3,695</w:t>
      </w:r>
      <w:r w:rsidR="00EF3EA7">
        <w:rPr>
          <w:lang w:val="en-AU"/>
        </w:rPr>
        <w:t xml:space="preserve"> billion Shilling</w:t>
      </w:r>
      <w:r w:rsidR="004A693E">
        <w:rPr>
          <w:lang w:val="en-AU"/>
        </w:rPr>
        <w:t>.</w:t>
      </w:r>
      <w:r w:rsidR="00EF3EA7">
        <w:rPr>
          <w:lang w:val="en-AU"/>
        </w:rPr>
        <w:t xml:space="preserve"> Given an identical starting</w:t>
      </w:r>
      <w:r w:rsidR="0020445B">
        <w:rPr>
          <w:lang w:val="en-AU"/>
        </w:rPr>
        <w:t xml:space="preserve"> point, but different end point</w:t>
      </w:r>
      <w:r w:rsidR="00EF3EA7">
        <w:rPr>
          <w:lang w:val="en-AU"/>
        </w:rPr>
        <w:t xml:space="preserve"> we calculate that production of coffee </w:t>
      </w:r>
      <w:r w:rsidR="0020445B">
        <w:rPr>
          <w:lang w:val="en-AU"/>
        </w:rPr>
        <w:t xml:space="preserve">has to grow on average by 0.89 percentage points less than in the baseline. </w:t>
      </w:r>
    </w:p>
    <w:p w14:paraId="50AD281C" w14:textId="1F9FC4E6" w:rsidR="004A693E" w:rsidRDefault="0020445B" w:rsidP="001354A6">
      <w:pPr>
        <w:jc w:val="both"/>
        <w:rPr>
          <w:lang w:val="en-AU"/>
        </w:rPr>
      </w:pPr>
      <w:r>
        <w:rPr>
          <w:lang w:val="en-AU"/>
        </w:rPr>
        <w:t>Figure 3 s</w:t>
      </w:r>
      <w:r w:rsidR="00875DA8">
        <w:rPr>
          <w:lang w:val="en-AU"/>
        </w:rPr>
        <w:t xml:space="preserve">hows the cumulative </w:t>
      </w:r>
      <w:r w:rsidR="00BA2F9C">
        <w:rPr>
          <w:lang w:val="en-AU"/>
        </w:rPr>
        <w:t>percent</w:t>
      </w:r>
      <w:r w:rsidR="00875DA8">
        <w:rPr>
          <w:lang w:val="en-AU"/>
        </w:rPr>
        <w:t>age change</w:t>
      </w:r>
      <w:r>
        <w:rPr>
          <w:lang w:val="en-AU"/>
        </w:rPr>
        <w:t>s</w:t>
      </w:r>
      <w:r w:rsidR="00875DA8">
        <w:rPr>
          <w:lang w:val="en-AU"/>
        </w:rPr>
        <w:t xml:space="preserve"> in output </w:t>
      </w:r>
      <w:r>
        <w:rPr>
          <w:lang w:val="en-AU"/>
        </w:rPr>
        <w:t xml:space="preserve">for </w:t>
      </w:r>
      <w:r w:rsidR="00875DA8">
        <w:rPr>
          <w:lang w:val="en-AU"/>
        </w:rPr>
        <w:t>the agricultural sectors</w:t>
      </w:r>
      <w:r>
        <w:rPr>
          <w:lang w:val="en-AU"/>
        </w:rPr>
        <w:t xml:space="preserve">, as </w:t>
      </w:r>
      <w:r w:rsidR="001354A6">
        <w:rPr>
          <w:lang w:val="en-AU"/>
        </w:rPr>
        <w:t xml:space="preserve">implemented in the </w:t>
      </w:r>
      <w:r>
        <w:rPr>
          <w:lang w:val="en-AU"/>
        </w:rPr>
        <w:t xml:space="preserve">policy </w:t>
      </w:r>
      <w:r w:rsidR="001354A6">
        <w:rPr>
          <w:lang w:val="en-AU"/>
        </w:rPr>
        <w:t>simulation</w:t>
      </w:r>
      <w:r w:rsidR="00875DA8">
        <w:rPr>
          <w:lang w:val="en-AU"/>
        </w:rPr>
        <w:t xml:space="preserve">. </w:t>
      </w:r>
      <w:r w:rsidR="00C40287">
        <w:rPr>
          <w:lang w:val="en-AU"/>
        </w:rPr>
        <w:t xml:space="preserve">These changes in output are forced on the model, via model-determined changes in all-factor saving technological progress in each sector. For example, to achieve 62 per cent contraction in wheat production by 2050, the model determines year-by-year the </w:t>
      </w:r>
      <w:r w:rsidR="00247D41">
        <w:rPr>
          <w:lang w:val="en-AU"/>
        </w:rPr>
        <w:t>amount of</w:t>
      </w:r>
      <w:r w:rsidR="00C40287">
        <w:rPr>
          <w:lang w:val="en-AU"/>
        </w:rPr>
        <w:t xml:space="preserve"> technological regress (notionally attributed to climate change) sufficient to contract wheat’s supply schedule </w:t>
      </w:r>
      <w:r w:rsidR="00247D41">
        <w:rPr>
          <w:lang w:val="en-AU"/>
        </w:rPr>
        <w:t>to achieve the assumed reduction in output.</w:t>
      </w:r>
    </w:p>
    <w:p w14:paraId="59EEE2A9" w14:textId="2AF19B97" w:rsidR="00875DA8" w:rsidRPr="00875DA8" w:rsidRDefault="00875DA8" w:rsidP="00875DA8">
      <w:pPr>
        <w:pStyle w:val="Caption"/>
        <w:rPr>
          <w:sz w:val="22"/>
          <w:szCs w:val="22"/>
          <w:lang w:val="en-AU"/>
        </w:rPr>
      </w:pPr>
      <w:bookmarkStart w:id="34" w:name="_Ref505281189"/>
      <w:r w:rsidRPr="00875DA8">
        <w:rPr>
          <w:sz w:val="22"/>
          <w:szCs w:val="22"/>
        </w:rPr>
        <w:t xml:space="preserve">Figure </w:t>
      </w:r>
      <w:r w:rsidRPr="00875DA8">
        <w:rPr>
          <w:sz w:val="22"/>
          <w:szCs w:val="22"/>
        </w:rPr>
        <w:fldChar w:fldCharType="begin"/>
      </w:r>
      <w:r w:rsidRPr="00875DA8">
        <w:rPr>
          <w:sz w:val="22"/>
          <w:szCs w:val="22"/>
        </w:rPr>
        <w:instrText xml:space="preserve"> SEQ Figure \* ARABIC </w:instrText>
      </w:r>
      <w:r w:rsidRPr="00875DA8">
        <w:rPr>
          <w:sz w:val="22"/>
          <w:szCs w:val="22"/>
        </w:rPr>
        <w:fldChar w:fldCharType="separate"/>
      </w:r>
      <w:r w:rsidRPr="00875DA8">
        <w:rPr>
          <w:noProof/>
          <w:sz w:val="22"/>
          <w:szCs w:val="22"/>
        </w:rPr>
        <w:t>3</w:t>
      </w:r>
      <w:r w:rsidRPr="00875DA8">
        <w:rPr>
          <w:sz w:val="22"/>
          <w:szCs w:val="22"/>
        </w:rPr>
        <w:fldChar w:fldCharType="end"/>
      </w:r>
      <w:bookmarkEnd w:id="34"/>
      <w:r w:rsidR="005C4484">
        <w:rPr>
          <w:sz w:val="22"/>
          <w:szCs w:val="22"/>
        </w:rPr>
        <w:t xml:space="preserve">. </w:t>
      </w:r>
      <w:r w:rsidRPr="00875DA8">
        <w:rPr>
          <w:sz w:val="22"/>
          <w:szCs w:val="22"/>
        </w:rPr>
        <w:t xml:space="preserve"> </w:t>
      </w:r>
      <w:r w:rsidR="005C4484">
        <w:rPr>
          <w:sz w:val="22"/>
          <w:szCs w:val="22"/>
        </w:rPr>
        <w:t>Simulated f</w:t>
      </w:r>
      <w:r w:rsidRPr="00875DA8">
        <w:rPr>
          <w:sz w:val="22"/>
          <w:szCs w:val="22"/>
        </w:rPr>
        <w:t>all in output level</w:t>
      </w:r>
      <w:r w:rsidR="005C4484">
        <w:rPr>
          <w:sz w:val="22"/>
          <w:szCs w:val="22"/>
        </w:rPr>
        <w:t>s</w:t>
      </w:r>
      <w:r w:rsidRPr="00875DA8">
        <w:rPr>
          <w:sz w:val="22"/>
          <w:szCs w:val="22"/>
        </w:rPr>
        <w:t xml:space="preserve"> of selected agricultural sectors (cumulative </w:t>
      </w:r>
      <w:r w:rsidR="005C4484">
        <w:rPr>
          <w:sz w:val="22"/>
          <w:szCs w:val="22"/>
        </w:rPr>
        <w:t>per</w:t>
      </w:r>
      <w:r w:rsidR="00BA2F9C">
        <w:rPr>
          <w:sz w:val="22"/>
          <w:szCs w:val="22"/>
        </w:rPr>
        <w:t>cent</w:t>
      </w:r>
      <w:r w:rsidRPr="00875DA8">
        <w:rPr>
          <w:sz w:val="22"/>
          <w:szCs w:val="22"/>
        </w:rPr>
        <w:t>age change</w:t>
      </w:r>
      <w:r w:rsidR="00C40287">
        <w:rPr>
          <w:sz w:val="22"/>
          <w:szCs w:val="22"/>
        </w:rPr>
        <w:t>s</w:t>
      </w:r>
      <w:r w:rsidRPr="00875DA8">
        <w:rPr>
          <w:sz w:val="22"/>
          <w:szCs w:val="22"/>
        </w:rPr>
        <w:t>)</w:t>
      </w:r>
    </w:p>
    <w:p w14:paraId="08DAB8E8" w14:textId="0543C81B" w:rsidR="00583B65" w:rsidRDefault="001354A6" w:rsidP="002B1F3C">
      <w:r>
        <w:rPr>
          <w:noProof/>
          <w:lang w:eastAsia="en-ZA"/>
        </w:rPr>
        <w:drawing>
          <wp:inline distT="0" distB="0" distL="0" distR="0" wp14:anchorId="14606CAF" wp14:editId="16BEF21D">
            <wp:extent cx="4133850" cy="2584450"/>
            <wp:effectExtent l="0" t="0" r="19050" b="2540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2718E6C" w14:textId="487169C1" w:rsidR="00B30294" w:rsidRDefault="00B30294" w:rsidP="00B30294">
      <w:pPr>
        <w:pStyle w:val="Heading1"/>
      </w:pPr>
      <w:bookmarkStart w:id="35" w:name="_Toc525042503"/>
      <w:r>
        <w:t>Results</w:t>
      </w:r>
      <w:bookmarkEnd w:id="35"/>
    </w:p>
    <w:p w14:paraId="5D72DEC9" w14:textId="77777777" w:rsidR="00B30294" w:rsidRDefault="00B30294" w:rsidP="00B30294">
      <w:pPr>
        <w:pStyle w:val="Heading2"/>
      </w:pPr>
      <w:bookmarkStart w:id="36" w:name="_Toc525042504"/>
      <w:r>
        <w:t>Macro results</w:t>
      </w:r>
      <w:bookmarkEnd w:id="36"/>
    </w:p>
    <w:p w14:paraId="1AD99BB7" w14:textId="4566094C" w:rsidR="00B30294" w:rsidRDefault="00B30294" w:rsidP="00B30294">
      <w:pPr>
        <w:jc w:val="both"/>
      </w:pPr>
      <w:r>
        <w:t xml:space="preserve">Figures </w:t>
      </w:r>
      <w:r w:rsidR="00247D41">
        <w:t>4</w:t>
      </w:r>
      <w:r>
        <w:t xml:space="preserve"> to </w:t>
      </w:r>
      <w:r w:rsidR="00247D41">
        <w:t>8</w:t>
      </w:r>
      <w:r>
        <w:t xml:space="preserve"> </w:t>
      </w:r>
      <w:r w:rsidR="002D1C56">
        <w:t xml:space="preserve">show results for the key macroeconomic variables, expressed as percentage deviations away from baseline values. For example, Figure 4 shows that in 2050, </w:t>
      </w:r>
      <w:r w:rsidR="00767DCE">
        <w:t xml:space="preserve">climate change will reduce real GDP by </w:t>
      </w:r>
      <w:r w:rsidR="002D1C56">
        <w:t>4.1 per cent</w:t>
      </w:r>
      <w:r w:rsidR="00767DCE">
        <w:t xml:space="preserve"> relative to its level in the baseline forecast.</w:t>
      </w:r>
    </w:p>
    <w:p w14:paraId="2E01D5A0" w14:textId="77777777" w:rsidR="00247D41" w:rsidRDefault="00247D41">
      <w:pPr>
        <w:rPr>
          <w:i/>
          <w:iCs/>
          <w:sz w:val="22"/>
        </w:rPr>
      </w:pPr>
      <w:bookmarkStart w:id="37" w:name="_Ref505244579"/>
      <w:r>
        <w:rPr>
          <w:sz w:val="22"/>
        </w:rPr>
        <w:br w:type="page"/>
      </w:r>
    </w:p>
    <w:p w14:paraId="29377507" w14:textId="70F97B73" w:rsidR="00B30294" w:rsidRPr="00186EDF" w:rsidRDefault="00B30294" w:rsidP="00B30294">
      <w:pPr>
        <w:pStyle w:val="Caption"/>
        <w:rPr>
          <w:color w:val="auto"/>
          <w:sz w:val="22"/>
          <w:szCs w:val="22"/>
        </w:rPr>
      </w:pPr>
      <w:r w:rsidRPr="00186EDF">
        <w:rPr>
          <w:color w:val="auto"/>
          <w:sz w:val="22"/>
          <w:szCs w:val="22"/>
        </w:rPr>
        <w:lastRenderedPageBreak/>
        <w:t xml:space="preserve">Figure </w:t>
      </w:r>
      <w:r w:rsidRPr="00186EDF">
        <w:rPr>
          <w:color w:val="auto"/>
          <w:sz w:val="22"/>
          <w:szCs w:val="22"/>
        </w:rPr>
        <w:fldChar w:fldCharType="begin"/>
      </w:r>
      <w:r w:rsidRPr="00186EDF">
        <w:rPr>
          <w:color w:val="auto"/>
          <w:sz w:val="22"/>
          <w:szCs w:val="22"/>
        </w:rPr>
        <w:instrText xml:space="preserve"> SEQ Figure \* ARABIC </w:instrText>
      </w:r>
      <w:r w:rsidRPr="00186EDF">
        <w:rPr>
          <w:color w:val="auto"/>
          <w:sz w:val="22"/>
          <w:szCs w:val="22"/>
        </w:rPr>
        <w:fldChar w:fldCharType="separate"/>
      </w:r>
      <w:r w:rsidR="00875DA8">
        <w:rPr>
          <w:noProof/>
          <w:color w:val="auto"/>
          <w:sz w:val="22"/>
          <w:szCs w:val="22"/>
        </w:rPr>
        <w:t>4</w:t>
      </w:r>
      <w:r w:rsidRPr="00186EDF">
        <w:rPr>
          <w:color w:val="auto"/>
          <w:sz w:val="22"/>
          <w:szCs w:val="22"/>
        </w:rPr>
        <w:fldChar w:fldCharType="end"/>
      </w:r>
      <w:bookmarkEnd w:id="37"/>
      <w:r>
        <w:rPr>
          <w:color w:val="auto"/>
          <w:sz w:val="22"/>
          <w:szCs w:val="22"/>
        </w:rPr>
        <w:t>.</w:t>
      </w:r>
      <w:r w:rsidRPr="00186EDF">
        <w:rPr>
          <w:color w:val="auto"/>
          <w:sz w:val="22"/>
          <w:szCs w:val="22"/>
        </w:rPr>
        <w:t xml:space="preserve"> Real GDP and factor inputs (% deviation from baseline forecasts)</w:t>
      </w:r>
    </w:p>
    <w:p w14:paraId="4F915433" w14:textId="77777777" w:rsidR="00B30294" w:rsidRDefault="00B30294" w:rsidP="00B30294">
      <w:pPr>
        <w:jc w:val="both"/>
      </w:pPr>
      <w:r>
        <w:rPr>
          <w:noProof/>
          <w:lang w:eastAsia="en-ZA"/>
        </w:rPr>
        <w:drawing>
          <wp:inline distT="0" distB="0" distL="0" distR="0" wp14:anchorId="59B701A6" wp14:editId="5CC71C2A">
            <wp:extent cx="4086225" cy="2714625"/>
            <wp:effectExtent l="0" t="0" r="9525" b="952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CE05B63" w14:textId="35666BC5" w:rsidR="001354A6" w:rsidRDefault="001354A6">
      <w:pPr>
        <w:rPr>
          <w:sz w:val="22"/>
        </w:rPr>
      </w:pPr>
      <w:bookmarkStart w:id="38" w:name="_Ref505244695"/>
    </w:p>
    <w:p w14:paraId="15580D62" w14:textId="26065B11" w:rsidR="00B30294" w:rsidRPr="001354A6" w:rsidRDefault="00B30294" w:rsidP="00C154CC">
      <w:pPr>
        <w:rPr>
          <w:i/>
          <w:sz w:val="22"/>
        </w:rPr>
      </w:pPr>
      <w:r w:rsidRPr="001354A6">
        <w:rPr>
          <w:i/>
          <w:sz w:val="22"/>
        </w:rPr>
        <w:t xml:space="preserve">Figure </w:t>
      </w:r>
      <w:r w:rsidRPr="001354A6">
        <w:rPr>
          <w:i/>
          <w:sz w:val="22"/>
        </w:rPr>
        <w:fldChar w:fldCharType="begin"/>
      </w:r>
      <w:r w:rsidRPr="001354A6">
        <w:rPr>
          <w:i/>
          <w:sz w:val="22"/>
        </w:rPr>
        <w:instrText xml:space="preserve"> SEQ Figure \* ARABIC </w:instrText>
      </w:r>
      <w:r w:rsidRPr="001354A6">
        <w:rPr>
          <w:i/>
          <w:sz w:val="22"/>
        </w:rPr>
        <w:fldChar w:fldCharType="separate"/>
      </w:r>
      <w:r w:rsidR="00875DA8" w:rsidRPr="001354A6">
        <w:rPr>
          <w:i/>
          <w:noProof/>
          <w:sz w:val="22"/>
        </w:rPr>
        <w:t>5</w:t>
      </w:r>
      <w:r w:rsidRPr="001354A6">
        <w:rPr>
          <w:i/>
          <w:sz w:val="22"/>
        </w:rPr>
        <w:fldChar w:fldCharType="end"/>
      </w:r>
      <w:bookmarkEnd w:id="38"/>
      <w:r w:rsidRPr="001354A6">
        <w:rPr>
          <w:i/>
          <w:sz w:val="22"/>
        </w:rPr>
        <w:t>.  Real wage rate and aggregate employment (% deviations from baseline)</w:t>
      </w:r>
    </w:p>
    <w:p w14:paraId="6E062ECF" w14:textId="77777777" w:rsidR="00B30294" w:rsidRDefault="00B30294" w:rsidP="00B30294">
      <w:pPr>
        <w:jc w:val="both"/>
      </w:pPr>
      <w:r>
        <w:rPr>
          <w:noProof/>
          <w:lang w:eastAsia="en-ZA"/>
        </w:rPr>
        <w:drawing>
          <wp:inline distT="0" distB="0" distL="0" distR="0" wp14:anchorId="5D904F72" wp14:editId="0444C09A">
            <wp:extent cx="4086225" cy="2495550"/>
            <wp:effectExtent l="0" t="0" r="9525" b="1905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89CB41B" w14:textId="77777777" w:rsidR="002D1C56" w:rsidRDefault="002D1C56">
      <w:pPr>
        <w:rPr>
          <w:i/>
          <w:sz w:val="22"/>
        </w:rPr>
      </w:pPr>
      <w:bookmarkStart w:id="39" w:name="_Ref505244746"/>
      <w:r>
        <w:rPr>
          <w:i/>
          <w:sz w:val="22"/>
        </w:rPr>
        <w:br w:type="page"/>
      </w:r>
    </w:p>
    <w:p w14:paraId="430AC53E" w14:textId="6757A689" w:rsidR="00B30294" w:rsidRPr="001354A6" w:rsidRDefault="00B30294" w:rsidP="00C154CC">
      <w:pPr>
        <w:rPr>
          <w:i/>
          <w:sz w:val="22"/>
        </w:rPr>
      </w:pPr>
      <w:r w:rsidRPr="001354A6">
        <w:rPr>
          <w:i/>
          <w:sz w:val="22"/>
        </w:rPr>
        <w:lastRenderedPageBreak/>
        <w:t xml:space="preserve">Figure </w:t>
      </w:r>
      <w:r w:rsidRPr="001354A6">
        <w:rPr>
          <w:i/>
          <w:sz w:val="22"/>
        </w:rPr>
        <w:fldChar w:fldCharType="begin"/>
      </w:r>
      <w:r w:rsidRPr="001354A6">
        <w:rPr>
          <w:i/>
          <w:sz w:val="22"/>
        </w:rPr>
        <w:instrText xml:space="preserve"> SEQ Figure \* ARABIC </w:instrText>
      </w:r>
      <w:r w:rsidRPr="001354A6">
        <w:rPr>
          <w:i/>
          <w:sz w:val="22"/>
        </w:rPr>
        <w:fldChar w:fldCharType="separate"/>
      </w:r>
      <w:r w:rsidR="00875DA8" w:rsidRPr="001354A6">
        <w:rPr>
          <w:i/>
          <w:noProof/>
          <w:sz w:val="22"/>
        </w:rPr>
        <w:t>6</w:t>
      </w:r>
      <w:r w:rsidRPr="001354A6">
        <w:rPr>
          <w:i/>
          <w:sz w:val="22"/>
        </w:rPr>
        <w:fldChar w:fldCharType="end"/>
      </w:r>
      <w:bookmarkEnd w:id="39"/>
      <w:r w:rsidRPr="001354A6">
        <w:rPr>
          <w:i/>
          <w:sz w:val="22"/>
        </w:rPr>
        <w:t>.  Contributions to real GDP from the income side (% deviations from baseline)</w:t>
      </w:r>
    </w:p>
    <w:p w14:paraId="0F3DBAC3" w14:textId="77777777" w:rsidR="00B30294" w:rsidRDefault="00B30294" w:rsidP="00B30294">
      <w:r>
        <w:rPr>
          <w:noProof/>
          <w:lang w:eastAsia="en-ZA"/>
        </w:rPr>
        <w:drawing>
          <wp:inline distT="0" distB="0" distL="0" distR="0" wp14:anchorId="5C9D94E8" wp14:editId="246674A1">
            <wp:extent cx="4086225" cy="2486025"/>
            <wp:effectExtent l="0" t="0" r="9525" b="952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B019E95" w14:textId="77777777" w:rsidR="002D1C56" w:rsidRDefault="002D1C56" w:rsidP="00B30294">
      <w:pPr>
        <w:pStyle w:val="Caption"/>
        <w:rPr>
          <w:color w:val="auto"/>
          <w:sz w:val="22"/>
          <w:szCs w:val="22"/>
        </w:rPr>
      </w:pPr>
      <w:bookmarkStart w:id="40" w:name="_Ref505244768"/>
    </w:p>
    <w:p w14:paraId="4E327925" w14:textId="67A39E6D" w:rsidR="00B30294" w:rsidRPr="003E0AFB" w:rsidRDefault="00B30294" w:rsidP="00B30294">
      <w:pPr>
        <w:pStyle w:val="Caption"/>
        <w:rPr>
          <w:color w:val="auto"/>
          <w:sz w:val="22"/>
          <w:szCs w:val="22"/>
        </w:rPr>
      </w:pPr>
      <w:r w:rsidRPr="003E0AFB">
        <w:rPr>
          <w:color w:val="auto"/>
          <w:sz w:val="22"/>
          <w:szCs w:val="22"/>
        </w:rPr>
        <w:t xml:space="preserve">Figure </w:t>
      </w:r>
      <w:r w:rsidRPr="003E0AFB">
        <w:rPr>
          <w:color w:val="auto"/>
          <w:sz w:val="22"/>
          <w:szCs w:val="22"/>
        </w:rPr>
        <w:fldChar w:fldCharType="begin"/>
      </w:r>
      <w:r w:rsidRPr="003E0AFB">
        <w:rPr>
          <w:color w:val="auto"/>
          <w:sz w:val="22"/>
          <w:szCs w:val="22"/>
        </w:rPr>
        <w:instrText xml:space="preserve"> SEQ Figure \* ARABIC </w:instrText>
      </w:r>
      <w:r w:rsidRPr="003E0AFB">
        <w:rPr>
          <w:color w:val="auto"/>
          <w:sz w:val="22"/>
          <w:szCs w:val="22"/>
        </w:rPr>
        <w:fldChar w:fldCharType="separate"/>
      </w:r>
      <w:r w:rsidR="00875DA8">
        <w:rPr>
          <w:noProof/>
          <w:color w:val="auto"/>
          <w:sz w:val="22"/>
          <w:szCs w:val="22"/>
        </w:rPr>
        <w:t>7</w:t>
      </w:r>
      <w:r w:rsidRPr="003E0AFB">
        <w:rPr>
          <w:color w:val="auto"/>
          <w:sz w:val="22"/>
          <w:szCs w:val="22"/>
        </w:rPr>
        <w:fldChar w:fldCharType="end"/>
      </w:r>
      <w:bookmarkEnd w:id="40"/>
      <w:r w:rsidRPr="003E0AFB">
        <w:rPr>
          <w:color w:val="auto"/>
          <w:sz w:val="22"/>
          <w:szCs w:val="22"/>
        </w:rPr>
        <w:t>.  Real investment, private consumption and GDP (% deviations from baseline)</w:t>
      </w:r>
    </w:p>
    <w:p w14:paraId="015E6406" w14:textId="77777777" w:rsidR="00B30294" w:rsidRDefault="00B30294" w:rsidP="00B30294">
      <w:r>
        <w:rPr>
          <w:noProof/>
          <w:lang w:eastAsia="en-ZA"/>
        </w:rPr>
        <w:drawing>
          <wp:inline distT="0" distB="0" distL="0" distR="0" wp14:anchorId="099510FE" wp14:editId="36B9A535">
            <wp:extent cx="4086225" cy="2400300"/>
            <wp:effectExtent l="0" t="0" r="9525" b="1905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9358C0E" w14:textId="77777777" w:rsidR="002D1C56" w:rsidRDefault="002D1C56">
      <w:pPr>
        <w:rPr>
          <w:i/>
          <w:iCs/>
          <w:sz w:val="22"/>
        </w:rPr>
      </w:pPr>
      <w:bookmarkStart w:id="41" w:name="_Ref505244792"/>
      <w:r>
        <w:rPr>
          <w:sz w:val="22"/>
        </w:rPr>
        <w:br w:type="page"/>
      </w:r>
    </w:p>
    <w:p w14:paraId="1D2FFD05" w14:textId="1B1AAB97" w:rsidR="00B30294" w:rsidRPr="00A34757" w:rsidRDefault="00B30294" w:rsidP="00B30294">
      <w:pPr>
        <w:pStyle w:val="Caption"/>
        <w:rPr>
          <w:color w:val="auto"/>
          <w:sz w:val="22"/>
          <w:szCs w:val="22"/>
        </w:rPr>
      </w:pPr>
      <w:r w:rsidRPr="00A34757">
        <w:rPr>
          <w:color w:val="auto"/>
          <w:sz w:val="22"/>
          <w:szCs w:val="22"/>
        </w:rPr>
        <w:lastRenderedPageBreak/>
        <w:t xml:space="preserve">Figure </w:t>
      </w:r>
      <w:r w:rsidRPr="00A34757">
        <w:rPr>
          <w:color w:val="auto"/>
          <w:sz w:val="22"/>
          <w:szCs w:val="22"/>
        </w:rPr>
        <w:fldChar w:fldCharType="begin"/>
      </w:r>
      <w:r w:rsidRPr="00A34757">
        <w:rPr>
          <w:color w:val="auto"/>
          <w:sz w:val="22"/>
          <w:szCs w:val="22"/>
        </w:rPr>
        <w:instrText xml:space="preserve"> SEQ Figure \* ARABIC </w:instrText>
      </w:r>
      <w:r w:rsidRPr="00A34757">
        <w:rPr>
          <w:color w:val="auto"/>
          <w:sz w:val="22"/>
          <w:szCs w:val="22"/>
        </w:rPr>
        <w:fldChar w:fldCharType="separate"/>
      </w:r>
      <w:r w:rsidR="00875DA8">
        <w:rPr>
          <w:noProof/>
          <w:color w:val="auto"/>
          <w:sz w:val="22"/>
          <w:szCs w:val="22"/>
        </w:rPr>
        <w:t>8</w:t>
      </w:r>
      <w:r w:rsidRPr="00A34757">
        <w:rPr>
          <w:color w:val="auto"/>
          <w:sz w:val="22"/>
          <w:szCs w:val="22"/>
        </w:rPr>
        <w:fldChar w:fldCharType="end"/>
      </w:r>
      <w:bookmarkEnd w:id="41"/>
      <w:r w:rsidRPr="00A34757">
        <w:rPr>
          <w:color w:val="auto"/>
          <w:sz w:val="22"/>
          <w:szCs w:val="22"/>
        </w:rPr>
        <w:t>.  Macroeconomic trade variables (% deviations from baseline)</w:t>
      </w:r>
    </w:p>
    <w:p w14:paraId="550A5D31" w14:textId="77777777" w:rsidR="00B30294" w:rsidRDefault="00B30294" w:rsidP="00B30294">
      <w:pPr>
        <w:jc w:val="both"/>
      </w:pPr>
      <w:r>
        <w:rPr>
          <w:noProof/>
          <w:lang w:eastAsia="en-ZA"/>
        </w:rPr>
        <w:drawing>
          <wp:inline distT="0" distB="0" distL="0" distR="0" wp14:anchorId="0B03C04B" wp14:editId="29F4AF26">
            <wp:extent cx="4086225" cy="2362200"/>
            <wp:effectExtent l="0" t="0" r="9525" b="1905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9A604DF" w14:textId="77777777" w:rsidR="00B30294" w:rsidRDefault="00B30294" w:rsidP="00B30294">
      <w:pPr>
        <w:jc w:val="both"/>
      </w:pPr>
    </w:p>
    <w:p w14:paraId="4115958F" w14:textId="666E03DE" w:rsidR="00B30294" w:rsidRDefault="00B30294" w:rsidP="00B30294">
      <w:pPr>
        <w:jc w:val="both"/>
      </w:pPr>
      <w:r>
        <w:t>We use a</w:t>
      </w:r>
      <w:r w:rsidR="00767DCE">
        <w:t xml:space="preserve"> Back of the Envelope (BOTE) model </w:t>
      </w:r>
      <w:r>
        <w:t>to provide the reader with a</w:t>
      </w:r>
      <w:r w:rsidR="00767DCE">
        <w:t xml:space="preserve">n understanding </w:t>
      </w:r>
      <w:r>
        <w:t xml:space="preserve">of the reasons why the model gives </w:t>
      </w:r>
      <w:r w:rsidR="00F31AA8">
        <w:t>the</w:t>
      </w:r>
      <w:r>
        <w:t xml:space="preserve"> macroeconomic results</w:t>
      </w:r>
      <w:r w:rsidR="00F31AA8">
        <w:t xml:space="preserve"> shown above.</w:t>
      </w:r>
      <w:r>
        <w:t xml:space="preserve"> </w:t>
      </w:r>
    </w:p>
    <w:p w14:paraId="741771C7" w14:textId="02E06F25" w:rsidR="00B30294" w:rsidRDefault="00043B74" w:rsidP="00C154CC">
      <w:pPr>
        <w:pStyle w:val="Heading2"/>
      </w:pPr>
      <w:bookmarkStart w:id="42" w:name="_Toc525042505"/>
      <w:r>
        <w:t>A</w:t>
      </w:r>
      <w:r w:rsidR="00B30294">
        <w:t xml:space="preserve"> BOTE</w:t>
      </w:r>
      <w:r>
        <w:t xml:space="preserve"> explanation of the Macroeconomic results</w:t>
      </w:r>
      <w:bookmarkEnd w:id="42"/>
    </w:p>
    <w:p w14:paraId="4274CF89" w14:textId="77777777" w:rsidR="00B30294" w:rsidRDefault="00B30294" w:rsidP="00B30294">
      <w:r>
        <w:t xml:space="preserve">Total production in the economy is a function of capital, labour and technology: </w:t>
      </w:r>
    </w:p>
    <w:p w14:paraId="28D171D7" w14:textId="77777777" w:rsidR="00F31AA8" w:rsidRDefault="00B30294" w:rsidP="00B30294">
      <w:pPr>
        <w:rPr>
          <w:rFonts w:eastAsiaTheme="minorEastAsia"/>
        </w:rPr>
      </w:pPr>
      <m:oMath>
        <m:r>
          <w:rPr>
            <w:rFonts w:ascii="Cambria Math" w:hAnsi="Cambria Math"/>
          </w:rPr>
          <m:t>Y=A*F(K,L)</m:t>
        </m:r>
      </m:oMath>
      <w:r>
        <w:rPr>
          <w:rFonts w:eastAsiaTheme="minorEastAsia"/>
        </w:rPr>
        <w:tab/>
      </w:r>
      <w:r>
        <w:rPr>
          <w:rFonts w:eastAsiaTheme="minorEastAsia"/>
        </w:rPr>
        <w:tab/>
      </w:r>
      <w:r>
        <w:rPr>
          <w:rFonts w:eastAsiaTheme="minorEastAsia"/>
        </w:rPr>
        <w:tab/>
        <w:t>(1)</w:t>
      </w:r>
      <w:r w:rsidR="00F31AA8">
        <w:rPr>
          <w:rFonts w:eastAsiaTheme="minorEastAsia"/>
        </w:rPr>
        <w:t>,</w:t>
      </w:r>
    </w:p>
    <w:p w14:paraId="46C96F9E" w14:textId="550FB021" w:rsidR="00B30294" w:rsidRDefault="00B30294" w:rsidP="00B30294">
      <w:r>
        <w:rPr>
          <w:rFonts w:eastAsiaTheme="minorEastAsia"/>
        </w:rPr>
        <w:t>where</w:t>
      </w:r>
      <w:r w:rsidR="00F31AA8">
        <w:rPr>
          <w:rFonts w:eastAsiaTheme="minorEastAsia"/>
        </w:rPr>
        <w:t xml:space="preserve">: </w:t>
      </w:r>
      <w:r>
        <w:rPr>
          <w:rFonts w:eastAsiaTheme="minorEastAsia"/>
        </w:rPr>
        <w:t xml:space="preserve">Y is domestic output; K and L are inputs of capital and labour;  F is a homogeneous function of degree one (constant returns to scale); and A is a technology variable, with increases in A representing technological improvements </w:t>
      </w:r>
      <w:sdt>
        <w:sdtPr>
          <w:rPr>
            <w:rFonts w:eastAsiaTheme="minorEastAsia"/>
          </w:rPr>
          <w:id w:val="-1581600149"/>
          <w:citation/>
        </w:sdtPr>
        <w:sdtContent>
          <w:r>
            <w:rPr>
              <w:rFonts w:eastAsiaTheme="minorEastAsia"/>
            </w:rPr>
            <w:fldChar w:fldCharType="begin"/>
          </w:r>
          <w:r>
            <w:rPr>
              <w:rFonts w:eastAsiaTheme="minorEastAsia"/>
            </w:rPr>
            <w:instrText xml:space="preserve"> CITATION Dix02 \l 3081 </w:instrText>
          </w:r>
          <w:r>
            <w:rPr>
              <w:rFonts w:eastAsiaTheme="minorEastAsia"/>
            </w:rPr>
            <w:fldChar w:fldCharType="separate"/>
          </w:r>
          <w:r w:rsidRPr="00231E28">
            <w:rPr>
              <w:rFonts w:eastAsiaTheme="minorEastAsia"/>
              <w:noProof/>
            </w:rPr>
            <w:t>(Dixon &amp; Rimmer, 2002)</w:t>
          </w:r>
          <w:r>
            <w:rPr>
              <w:rFonts w:eastAsiaTheme="minorEastAsia"/>
            </w:rPr>
            <w:fldChar w:fldCharType="end"/>
          </w:r>
        </w:sdtContent>
      </w:sdt>
      <w:r>
        <w:rPr>
          <w:rFonts w:eastAsiaTheme="minorEastAsia"/>
        </w:rPr>
        <w:t xml:space="preserve">. </w:t>
      </w:r>
    </w:p>
    <w:p w14:paraId="38CBE9AC" w14:textId="77777777" w:rsidR="00B30294" w:rsidRDefault="00B30294" w:rsidP="00B30294">
      <w:r>
        <w:t>Labour and capital are paid the value of their marginal products:</w:t>
      </w:r>
    </w:p>
    <w:p w14:paraId="63FDA808" w14:textId="77777777" w:rsidR="00F31AA8" w:rsidRDefault="00B30294" w:rsidP="00B30294">
      <w:pPr>
        <w:rPr>
          <w:rFonts w:eastAsiaTheme="minorEastAsia"/>
        </w:rPr>
      </w:pPr>
      <m:oMath>
        <m:r>
          <w:rPr>
            <w:rFonts w:ascii="Cambria Math" w:hAnsi="Cambria Math"/>
          </w:rPr>
          <m:t>W=</m:t>
        </m:r>
        <m:sSub>
          <m:sSubPr>
            <m:ctrlPr>
              <w:rPr>
                <w:rFonts w:ascii="Cambria Math" w:hAnsi="Cambria Math"/>
                <w:i/>
              </w:rPr>
            </m:ctrlPr>
          </m:sSubPr>
          <m:e>
            <m:r>
              <w:rPr>
                <w:rFonts w:ascii="Cambria Math" w:hAnsi="Cambria Math"/>
              </w:rPr>
              <m:t>P</m:t>
            </m:r>
          </m:e>
          <m:sub>
            <m:r>
              <w:rPr>
                <w:rFonts w:ascii="Cambria Math" w:hAnsi="Cambria Math"/>
              </w:rPr>
              <m:t>G</m:t>
            </m:r>
          </m:sub>
        </m:sSub>
        <m:r>
          <w:rPr>
            <w:rFonts w:ascii="Cambria Math" w:hAnsi="Cambria Math"/>
          </w:rPr>
          <m:t>*A*</m:t>
        </m:r>
        <m:sSub>
          <m:sSubPr>
            <m:ctrlPr>
              <w:rPr>
                <w:rFonts w:ascii="Cambria Math" w:hAnsi="Cambria Math"/>
                <w:i/>
              </w:rPr>
            </m:ctrlPr>
          </m:sSubPr>
          <m:e>
            <m:r>
              <w:rPr>
                <w:rFonts w:ascii="Cambria Math" w:hAnsi="Cambria Math"/>
              </w:rPr>
              <m:t>F</m:t>
            </m:r>
          </m:e>
          <m:sub>
            <m:r>
              <w:rPr>
                <w:rFonts w:ascii="Cambria Math" w:hAnsi="Cambria Math"/>
              </w:rPr>
              <m:t>L</m:t>
            </m:r>
          </m:sub>
        </m:sSub>
      </m:oMath>
      <w:r>
        <w:rPr>
          <w:rFonts w:eastAsiaTheme="minorEastAsia"/>
        </w:rPr>
        <w:tab/>
      </w:r>
      <w:r>
        <w:rPr>
          <w:rFonts w:eastAsiaTheme="minorEastAsia"/>
        </w:rPr>
        <w:tab/>
      </w:r>
      <w:r>
        <w:rPr>
          <w:rFonts w:eastAsiaTheme="minorEastAsia"/>
        </w:rPr>
        <w:tab/>
        <w:t>(2)</w:t>
      </w:r>
    </w:p>
    <w:p w14:paraId="1C0A3390" w14:textId="66A5D5C8" w:rsidR="00F31AA8" w:rsidRDefault="00B30294" w:rsidP="00B30294">
      <w:pPr>
        <w:rPr>
          <w:rFonts w:eastAsiaTheme="minorEastAsia"/>
        </w:rPr>
      </w:pPr>
      <w:r>
        <w:rPr>
          <w:rFonts w:eastAsiaTheme="minorEastAsia"/>
        </w:rPr>
        <w:t>and</w:t>
      </w:r>
    </w:p>
    <w:p w14:paraId="01D04D32" w14:textId="2D01A3BD" w:rsidR="00B30294" w:rsidRDefault="00B30294" w:rsidP="00B30294">
      <w:pPr>
        <w:rPr>
          <w:rFonts w:eastAsiaTheme="minorEastAsia"/>
        </w:rPr>
      </w:pPr>
      <m:oMath>
        <m:r>
          <w:rPr>
            <w:rFonts w:ascii="Cambria Math" w:hAnsi="Cambria Math"/>
          </w:rPr>
          <m:t>Q=</m:t>
        </m:r>
        <m:sSub>
          <m:sSubPr>
            <m:ctrlPr>
              <w:rPr>
                <w:rFonts w:ascii="Cambria Math" w:hAnsi="Cambria Math"/>
                <w:i/>
              </w:rPr>
            </m:ctrlPr>
          </m:sSubPr>
          <m:e>
            <m:r>
              <w:rPr>
                <w:rFonts w:ascii="Cambria Math" w:hAnsi="Cambria Math"/>
              </w:rPr>
              <m:t>P</m:t>
            </m:r>
          </m:e>
          <m:sub>
            <m:r>
              <w:rPr>
                <w:rFonts w:ascii="Cambria Math" w:hAnsi="Cambria Math"/>
              </w:rPr>
              <m:t>V</m:t>
            </m:r>
          </m:sub>
        </m:sSub>
        <m:r>
          <w:rPr>
            <w:rFonts w:ascii="Cambria Math" w:hAnsi="Cambria Math"/>
          </w:rPr>
          <m:t>*A*</m:t>
        </m:r>
        <m:sSub>
          <m:sSubPr>
            <m:ctrlPr>
              <w:rPr>
                <w:rFonts w:ascii="Cambria Math" w:hAnsi="Cambria Math"/>
                <w:i/>
              </w:rPr>
            </m:ctrlPr>
          </m:sSubPr>
          <m:e>
            <m:r>
              <w:rPr>
                <w:rFonts w:ascii="Cambria Math" w:hAnsi="Cambria Math"/>
              </w:rPr>
              <m:t>F</m:t>
            </m:r>
          </m:e>
          <m:sub>
            <m:r>
              <w:rPr>
                <w:rFonts w:ascii="Cambria Math" w:hAnsi="Cambria Math"/>
              </w:rPr>
              <m:t>K</m:t>
            </m:r>
          </m:sub>
        </m:sSub>
      </m:oMath>
      <w:r>
        <w:rPr>
          <w:rFonts w:eastAsiaTheme="minorEastAsia"/>
        </w:rPr>
        <w:tab/>
      </w:r>
      <w:r w:rsidR="00F31AA8">
        <w:rPr>
          <w:rFonts w:eastAsiaTheme="minorEastAsia"/>
        </w:rPr>
        <w:tab/>
      </w:r>
      <w:r>
        <w:rPr>
          <w:rFonts w:eastAsiaTheme="minorEastAsia"/>
        </w:rPr>
        <w:tab/>
        <w:t>(3)</w:t>
      </w:r>
    </w:p>
    <w:p w14:paraId="2F2E253F" w14:textId="77777777" w:rsidR="00B30294" w:rsidRDefault="00B30294" w:rsidP="00B30294">
      <w:r>
        <w:t>where W is the wage rate; P</w:t>
      </w:r>
      <w:r>
        <w:rPr>
          <w:vertAlign w:val="subscript"/>
        </w:rPr>
        <w:t>G</w:t>
      </w:r>
      <w:r>
        <w:t xml:space="preserve"> is the price of grain</w:t>
      </w:r>
      <w:r>
        <w:rPr>
          <w:rStyle w:val="FootnoteReference"/>
        </w:rPr>
        <w:footnoteReference w:id="14"/>
      </w:r>
      <w:r>
        <w:t>; Q is the rental rate on capital; P</w:t>
      </w:r>
      <w:r>
        <w:rPr>
          <w:vertAlign w:val="subscript"/>
        </w:rPr>
        <w:t>V</w:t>
      </w:r>
      <w:r>
        <w:t xml:space="preserve"> is the price of vehicles and F</w:t>
      </w:r>
      <w:r>
        <w:rPr>
          <w:vertAlign w:val="subscript"/>
        </w:rPr>
        <w:t>i</w:t>
      </w:r>
      <w:r>
        <w:t xml:space="preserve">  is the first derivative of function F, for i=K,L. F</w:t>
      </w:r>
      <w:r>
        <w:rPr>
          <w:vertAlign w:val="subscript"/>
        </w:rPr>
        <w:t>K</w:t>
      </w:r>
      <w:r>
        <w:t xml:space="preserve"> is a decreasing function of K/L while F</w:t>
      </w:r>
      <w:r>
        <w:rPr>
          <w:vertAlign w:val="subscript"/>
        </w:rPr>
        <w:t>L</w:t>
      </w:r>
      <w:r>
        <w:t xml:space="preserve"> is an increasing function.  </w:t>
      </w:r>
    </w:p>
    <w:p w14:paraId="1857B091" w14:textId="77777777" w:rsidR="00B30294" w:rsidRDefault="00B30294" w:rsidP="00B30294">
      <w:r>
        <w:t>The price deflators for consumption and investment are defined by</w:t>
      </w:r>
    </w:p>
    <w:p w14:paraId="1C1F0042" w14:textId="77777777" w:rsidR="00F31AA8" w:rsidRDefault="004472A7" w:rsidP="00B30294">
      <w:pPr>
        <w:rPr>
          <w:rFonts w:eastAsiaTheme="minorEastAsia"/>
        </w:rPr>
      </w:pPr>
      <m:oMath>
        <m:sSub>
          <m:sSubPr>
            <m:ctrlPr>
              <w:rPr>
                <w:rFonts w:ascii="Cambria Math" w:hAnsi="Cambria Math"/>
                <w:i/>
              </w:rPr>
            </m:ctrlPr>
          </m:sSubPr>
          <m:e>
            <m:r>
              <w:rPr>
                <w:rFonts w:ascii="Cambria Math" w:hAnsi="Cambria Math"/>
              </w:rPr>
              <m:t>P</m:t>
            </m:r>
          </m:e>
          <m:sub>
            <m:r>
              <w:rPr>
                <w:rFonts w:ascii="Cambria Math" w:hAnsi="Cambria Math"/>
              </w:rPr>
              <m:t>C</m:t>
            </m:r>
          </m:sub>
        </m:sSub>
        <m:r>
          <w:rPr>
            <w:rFonts w:ascii="Cambria Math" w:hAnsi="Cambria Math"/>
          </w:rPr>
          <m:t>=</m:t>
        </m:r>
        <m:sSubSup>
          <m:sSubSupPr>
            <m:ctrlPr>
              <w:rPr>
                <w:rFonts w:ascii="Cambria Math" w:hAnsi="Cambria Math"/>
                <w:i/>
              </w:rPr>
            </m:ctrlPr>
          </m:sSubSupPr>
          <m:e>
            <m:r>
              <w:rPr>
                <w:rFonts w:ascii="Cambria Math" w:hAnsi="Cambria Math"/>
              </w:rPr>
              <m:t>P</m:t>
            </m:r>
          </m:e>
          <m:sub>
            <m:r>
              <w:rPr>
                <w:rFonts w:ascii="Cambria Math" w:hAnsi="Cambria Math"/>
              </w:rPr>
              <m:t>G</m:t>
            </m:r>
          </m:sub>
          <m:sup>
            <m:r>
              <w:rPr>
                <w:rFonts w:ascii="Cambria Math" w:hAnsi="Cambria Math"/>
              </w:rPr>
              <m:t>γ</m:t>
            </m:r>
          </m:sup>
        </m:sSubSup>
        <m:r>
          <w:rPr>
            <w:rFonts w:ascii="Cambria Math" w:hAnsi="Cambria Math"/>
          </w:rPr>
          <m:t>*</m:t>
        </m:r>
        <m:sSubSup>
          <m:sSubSupPr>
            <m:ctrlPr>
              <w:rPr>
                <w:rFonts w:ascii="Cambria Math" w:hAnsi="Cambria Math"/>
                <w:i/>
              </w:rPr>
            </m:ctrlPr>
          </m:sSubSupPr>
          <m:e>
            <m:r>
              <w:rPr>
                <w:rFonts w:ascii="Cambria Math" w:hAnsi="Cambria Math"/>
              </w:rPr>
              <m:t>P</m:t>
            </m:r>
          </m:e>
          <m:sub>
            <m:r>
              <w:rPr>
                <w:rFonts w:ascii="Cambria Math" w:hAnsi="Cambria Math"/>
              </w:rPr>
              <m:t>V</m:t>
            </m:r>
          </m:sub>
          <m:sup>
            <m:r>
              <w:rPr>
                <w:rFonts w:ascii="Cambria Math" w:hAnsi="Cambria Math"/>
              </w:rPr>
              <m:t>1-γ</m:t>
            </m:r>
          </m:sup>
        </m:sSubSup>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C</m:t>
            </m:r>
          </m:sub>
        </m:sSub>
      </m:oMath>
      <w:r w:rsidR="00B30294">
        <w:rPr>
          <w:rFonts w:eastAsiaTheme="minorEastAsia"/>
        </w:rPr>
        <w:tab/>
        <w:t xml:space="preserve">    </w:t>
      </w:r>
      <w:r w:rsidR="00B30294">
        <w:rPr>
          <w:rFonts w:eastAsiaTheme="minorEastAsia"/>
        </w:rPr>
        <w:tab/>
      </w:r>
      <w:r w:rsidR="00B30294">
        <w:rPr>
          <w:rFonts w:eastAsiaTheme="minorEastAsia"/>
        </w:rPr>
        <w:tab/>
        <w:t>(4)</w:t>
      </w:r>
    </w:p>
    <w:p w14:paraId="2C6DE210" w14:textId="0CC6C907" w:rsidR="00F31AA8" w:rsidRPr="00F31AA8" w:rsidRDefault="00B30294" w:rsidP="00B30294">
      <w:pPr>
        <w:rPr>
          <w:rFonts w:eastAsiaTheme="minorEastAsia"/>
        </w:rPr>
      </w:pPr>
      <w:r>
        <w:rPr>
          <w:rFonts w:eastAsiaTheme="minorEastAsia"/>
        </w:rPr>
        <w:t>and</w:t>
      </w:r>
    </w:p>
    <w:p w14:paraId="771D6A83" w14:textId="30B6E6BE" w:rsidR="00B30294" w:rsidRPr="00F31AA8" w:rsidRDefault="004472A7" w:rsidP="00B30294">
      <w:pPr>
        <w:rPr>
          <w:rFonts w:eastAsiaTheme="minorEastAsia"/>
        </w:rPr>
      </w:pPr>
      <m:oMath>
        <m:sSub>
          <m:sSubPr>
            <m:ctrlPr>
              <w:rPr>
                <w:rFonts w:ascii="Cambria Math" w:hAnsi="Cambria Math"/>
                <w:i/>
              </w:rPr>
            </m:ctrlPr>
          </m:sSubPr>
          <m:e>
            <m:r>
              <w:rPr>
                <w:rFonts w:ascii="Cambria Math" w:hAnsi="Cambria Math"/>
              </w:rPr>
              <m:t>P</m:t>
            </m:r>
          </m:e>
          <m:sub>
            <m:r>
              <w:rPr>
                <w:rFonts w:ascii="Cambria Math" w:hAnsi="Cambria Math"/>
              </w:rPr>
              <m:t>I</m:t>
            </m:r>
          </m:sub>
        </m:sSub>
        <m:r>
          <w:rPr>
            <w:rFonts w:ascii="Cambria Math" w:hAnsi="Cambria Math"/>
          </w:rPr>
          <m:t>=</m:t>
        </m:r>
        <m:sSubSup>
          <m:sSubSupPr>
            <m:ctrlPr>
              <w:rPr>
                <w:rFonts w:ascii="Cambria Math" w:hAnsi="Cambria Math"/>
                <w:i/>
              </w:rPr>
            </m:ctrlPr>
          </m:sSubSupPr>
          <m:e>
            <m:r>
              <w:rPr>
                <w:rFonts w:ascii="Cambria Math" w:hAnsi="Cambria Math"/>
              </w:rPr>
              <m:t>P</m:t>
            </m:r>
          </m:e>
          <m:sub>
            <m:r>
              <w:rPr>
                <w:rFonts w:ascii="Cambria Math" w:hAnsi="Cambria Math"/>
              </w:rPr>
              <m:t>G</m:t>
            </m:r>
          </m:sub>
          <m:sup>
            <m:r>
              <w:rPr>
                <w:rFonts w:ascii="Cambria Math" w:hAnsi="Cambria Math"/>
              </w:rPr>
              <m:t>δ</m:t>
            </m:r>
          </m:sup>
        </m:sSubSup>
        <m:r>
          <w:rPr>
            <w:rFonts w:ascii="Cambria Math" w:hAnsi="Cambria Math"/>
          </w:rPr>
          <m:t>*</m:t>
        </m:r>
        <m:sSubSup>
          <m:sSubSupPr>
            <m:ctrlPr>
              <w:rPr>
                <w:rFonts w:ascii="Cambria Math" w:hAnsi="Cambria Math"/>
                <w:i/>
              </w:rPr>
            </m:ctrlPr>
          </m:sSubSupPr>
          <m:e>
            <m:r>
              <w:rPr>
                <w:rFonts w:ascii="Cambria Math" w:hAnsi="Cambria Math"/>
              </w:rPr>
              <m:t>P</m:t>
            </m:r>
          </m:e>
          <m:sub>
            <m:r>
              <w:rPr>
                <w:rFonts w:ascii="Cambria Math" w:hAnsi="Cambria Math"/>
              </w:rPr>
              <m:t>V</m:t>
            </m:r>
          </m:sub>
          <m:sup>
            <m:r>
              <w:rPr>
                <w:rFonts w:ascii="Cambria Math" w:hAnsi="Cambria Math"/>
              </w:rPr>
              <m:t>1-δ</m:t>
            </m:r>
          </m:sup>
        </m:sSubSup>
      </m:oMath>
      <w:r w:rsidR="00B30294">
        <w:rPr>
          <w:rFonts w:eastAsiaTheme="minorEastAsia"/>
        </w:rPr>
        <w:tab/>
      </w:r>
      <w:r w:rsidR="00B30294">
        <w:rPr>
          <w:rFonts w:eastAsiaTheme="minorEastAsia"/>
        </w:rPr>
        <w:tab/>
      </w:r>
      <w:r w:rsidR="00B30294">
        <w:rPr>
          <w:rFonts w:eastAsiaTheme="minorEastAsia"/>
        </w:rPr>
        <w:tab/>
        <w:t>(5)</w:t>
      </w:r>
    </w:p>
    <w:p w14:paraId="3E8C1A80" w14:textId="4F66940C" w:rsidR="00B30294" w:rsidRPr="00FA6ECD" w:rsidRDefault="00F31AA8" w:rsidP="00B30294">
      <w:pPr>
        <w:rPr>
          <w:rFonts w:eastAsiaTheme="minorEastAsia"/>
        </w:rPr>
      </w:pPr>
      <w:r>
        <w:rPr>
          <w:rFonts w:eastAsiaTheme="minorEastAsia"/>
        </w:rPr>
        <w:t>w</w:t>
      </w:r>
      <w:r w:rsidR="00B30294">
        <w:rPr>
          <w:rFonts w:eastAsiaTheme="minorEastAsia"/>
        </w:rPr>
        <w:t xml:space="preserve">here T is the power (1+rate) of the tax on consumption; and  </w:t>
      </w:r>
      <m:oMath>
        <m:r>
          <w:rPr>
            <w:rFonts w:ascii="Cambria Math" w:eastAsiaTheme="minorEastAsia" w:hAnsi="Cambria Math"/>
          </w:rPr>
          <m:t>γ and δ</m:t>
        </m:r>
      </m:oMath>
      <w:r w:rsidR="00B30294">
        <w:rPr>
          <w:rFonts w:eastAsiaTheme="minorEastAsia"/>
        </w:rPr>
        <w:t xml:space="preserve"> are positive parameters reflecting the share of grain in consumption and investment. </w:t>
      </w:r>
    </w:p>
    <w:p w14:paraId="1FE18488" w14:textId="77777777" w:rsidR="00B30294" w:rsidRPr="00FA6ECD" w:rsidRDefault="00B30294" w:rsidP="00B30294">
      <w:pPr>
        <w:rPr>
          <w:rFonts w:eastAsiaTheme="minorEastAsia"/>
        </w:rPr>
      </w:pPr>
      <w:r>
        <w:rPr>
          <w:rFonts w:eastAsiaTheme="minorEastAsia"/>
        </w:rPr>
        <w:t>From (2) to (5) we find that</w:t>
      </w:r>
    </w:p>
    <w:p w14:paraId="4743D810" w14:textId="77777777" w:rsidR="00F31AA8" w:rsidRDefault="00B30294" w:rsidP="00B30294">
      <w:pPr>
        <w:rPr>
          <w:rFonts w:eastAsiaTheme="minorEastAsia"/>
        </w:rPr>
      </w:pPr>
      <m:oMath>
        <m:r>
          <w:rPr>
            <w:rFonts w:ascii="Cambria Math" w:hAnsi="Cambria Math"/>
          </w:rPr>
          <m:t>RW=</m:t>
        </m:r>
        <m:f>
          <m:fPr>
            <m:ctrlPr>
              <w:rPr>
                <w:rFonts w:ascii="Cambria Math" w:hAnsi="Cambria Math"/>
                <w:i/>
              </w:rPr>
            </m:ctrlPr>
          </m:fPr>
          <m:num>
            <m:r>
              <w:rPr>
                <w:rFonts w:ascii="Cambria Math" w:hAnsi="Cambria Math"/>
              </w:rPr>
              <m:t>W</m:t>
            </m:r>
          </m:num>
          <m:den>
            <m:sSub>
              <m:sSubPr>
                <m:ctrlPr>
                  <w:rPr>
                    <w:rFonts w:ascii="Cambria Math" w:hAnsi="Cambria Math"/>
                    <w:i/>
                  </w:rPr>
                </m:ctrlPr>
              </m:sSubPr>
              <m:e>
                <m:r>
                  <w:rPr>
                    <w:rFonts w:ascii="Cambria Math" w:hAnsi="Cambria Math"/>
                  </w:rPr>
                  <m:t>P</m:t>
                </m:r>
              </m:e>
              <m:sub>
                <m:r>
                  <w:rPr>
                    <w:rFonts w:ascii="Cambria Math" w:hAnsi="Cambria Math"/>
                  </w:rPr>
                  <m:t>C</m:t>
                </m:r>
              </m:sub>
            </m:sSub>
          </m:den>
        </m:f>
        <m:r>
          <w:rPr>
            <w:rFonts w:ascii="Cambria Math" w:hAnsi="Cambria Math"/>
          </w:rPr>
          <m:t>=</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T</m:t>
                </m:r>
              </m:e>
              <m:sub>
                <m:r>
                  <w:rPr>
                    <w:rFonts w:ascii="Cambria Math" w:hAnsi="Cambria Math"/>
                  </w:rPr>
                  <m:t>C</m:t>
                </m:r>
              </m:sub>
            </m:sSub>
          </m:den>
        </m:f>
        <m:r>
          <w:rPr>
            <w:rFonts w:ascii="Cambria Math" w:hAnsi="Cambria Math"/>
          </w:rPr>
          <m:t>*</m:t>
        </m:r>
        <m:sSup>
          <m:sSupPr>
            <m:ctrlPr>
              <w:rPr>
                <w:rFonts w:ascii="Cambria Math" w:hAnsi="Cambria Math"/>
                <w:i/>
              </w:rPr>
            </m:ctrlPr>
          </m:sSupPr>
          <m:e>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G</m:t>
                    </m:r>
                  </m:sub>
                </m:sSub>
              </m:num>
              <m:den>
                <m:sSub>
                  <m:sSubPr>
                    <m:ctrlPr>
                      <w:rPr>
                        <w:rFonts w:ascii="Cambria Math" w:hAnsi="Cambria Math"/>
                        <w:i/>
                      </w:rPr>
                    </m:ctrlPr>
                  </m:sSubPr>
                  <m:e>
                    <m:r>
                      <w:rPr>
                        <w:rFonts w:ascii="Cambria Math" w:hAnsi="Cambria Math"/>
                      </w:rPr>
                      <m:t>P</m:t>
                    </m:r>
                  </m:e>
                  <m:sub>
                    <m:r>
                      <w:rPr>
                        <w:rFonts w:ascii="Cambria Math" w:hAnsi="Cambria Math"/>
                      </w:rPr>
                      <m:t>V</m:t>
                    </m:r>
                  </m:sub>
                </m:sSub>
              </m:den>
            </m:f>
          </m:e>
          <m:sup>
            <m:r>
              <w:rPr>
                <w:rFonts w:ascii="Cambria Math" w:hAnsi="Cambria Math"/>
              </w:rPr>
              <m:t>1-γ</m:t>
            </m:r>
          </m:sup>
        </m:sSup>
        <m:r>
          <w:rPr>
            <w:rFonts w:ascii="Cambria Math" w:hAnsi="Cambria Math"/>
          </w:rPr>
          <m:t>*A*</m:t>
        </m:r>
        <m:sSub>
          <m:sSubPr>
            <m:ctrlPr>
              <w:rPr>
                <w:rFonts w:ascii="Cambria Math" w:hAnsi="Cambria Math"/>
                <w:i/>
              </w:rPr>
            </m:ctrlPr>
          </m:sSubPr>
          <m:e>
            <m:r>
              <w:rPr>
                <w:rFonts w:ascii="Cambria Math" w:hAnsi="Cambria Math"/>
              </w:rPr>
              <m:t>F</m:t>
            </m:r>
          </m:e>
          <m:sub>
            <m:r>
              <w:rPr>
                <w:rFonts w:ascii="Cambria Math" w:hAnsi="Cambria Math"/>
              </w:rPr>
              <m:t>L</m:t>
            </m:r>
          </m:sub>
        </m:sSub>
      </m:oMath>
      <w:r>
        <w:rPr>
          <w:rFonts w:eastAsiaTheme="minorEastAsia"/>
        </w:rPr>
        <w:tab/>
      </w:r>
      <w:r>
        <w:rPr>
          <w:rFonts w:eastAsiaTheme="minorEastAsia"/>
        </w:rPr>
        <w:tab/>
        <w:t>(6)</w:t>
      </w:r>
    </w:p>
    <w:p w14:paraId="04FB19F2" w14:textId="1A68428E" w:rsidR="00F31AA8" w:rsidRDefault="00B30294" w:rsidP="00B30294">
      <w:pPr>
        <w:rPr>
          <w:rFonts w:eastAsiaTheme="minorEastAsia"/>
        </w:rPr>
      </w:pPr>
      <w:r>
        <w:rPr>
          <w:rFonts w:eastAsiaTheme="minorEastAsia"/>
        </w:rPr>
        <w:t>and</w:t>
      </w:r>
    </w:p>
    <w:p w14:paraId="29A61BB1" w14:textId="2FB3F54C" w:rsidR="00B30294" w:rsidRDefault="00B30294" w:rsidP="00B30294">
      <w:pPr>
        <w:rPr>
          <w:rFonts w:eastAsiaTheme="minorEastAsia"/>
        </w:rPr>
      </w:pPr>
      <m:oMath>
        <m:r>
          <w:rPr>
            <w:rFonts w:ascii="Cambria Math" w:hAnsi="Cambria Math"/>
          </w:rPr>
          <m:t>ROR=</m:t>
        </m:r>
        <m:f>
          <m:fPr>
            <m:ctrlPr>
              <w:rPr>
                <w:rFonts w:ascii="Cambria Math" w:hAnsi="Cambria Math"/>
                <w:i/>
              </w:rPr>
            </m:ctrlPr>
          </m:fPr>
          <m:num>
            <m:r>
              <w:rPr>
                <w:rFonts w:ascii="Cambria Math" w:hAnsi="Cambria Math"/>
              </w:rPr>
              <m:t>Q</m:t>
            </m:r>
          </m:num>
          <m:den>
            <m:sSub>
              <m:sSubPr>
                <m:ctrlPr>
                  <w:rPr>
                    <w:rFonts w:ascii="Cambria Math" w:hAnsi="Cambria Math"/>
                    <w:i/>
                  </w:rPr>
                </m:ctrlPr>
              </m:sSubPr>
              <m:e>
                <m:r>
                  <w:rPr>
                    <w:rFonts w:ascii="Cambria Math" w:hAnsi="Cambria Math"/>
                  </w:rPr>
                  <m:t>P</m:t>
                </m:r>
              </m:e>
              <m:sub>
                <m:r>
                  <w:rPr>
                    <w:rFonts w:ascii="Cambria Math" w:hAnsi="Cambria Math"/>
                  </w:rPr>
                  <m:t>I</m:t>
                </m:r>
              </m:sub>
            </m:sSub>
          </m:den>
        </m:f>
        <m:r>
          <w:rPr>
            <w:rFonts w:ascii="Cambria Math" w:hAnsi="Cambria Math"/>
          </w:rPr>
          <m:t>=</m:t>
        </m:r>
        <m:sSup>
          <m:sSupPr>
            <m:ctrlPr>
              <w:rPr>
                <w:rFonts w:ascii="Cambria Math" w:hAnsi="Cambria Math"/>
                <w:i/>
              </w:rPr>
            </m:ctrlPr>
          </m:sSupPr>
          <m:e>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G</m:t>
                    </m:r>
                  </m:sub>
                </m:sSub>
              </m:num>
              <m:den>
                <m:sSub>
                  <m:sSubPr>
                    <m:ctrlPr>
                      <w:rPr>
                        <w:rFonts w:ascii="Cambria Math" w:hAnsi="Cambria Math"/>
                        <w:i/>
                      </w:rPr>
                    </m:ctrlPr>
                  </m:sSubPr>
                  <m:e>
                    <m:r>
                      <w:rPr>
                        <w:rFonts w:ascii="Cambria Math" w:hAnsi="Cambria Math"/>
                      </w:rPr>
                      <m:t>P</m:t>
                    </m:r>
                  </m:e>
                  <m:sub>
                    <m:r>
                      <w:rPr>
                        <w:rFonts w:ascii="Cambria Math" w:hAnsi="Cambria Math"/>
                      </w:rPr>
                      <m:t>V</m:t>
                    </m:r>
                  </m:sub>
                </m:sSub>
              </m:den>
            </m:f>
          </m:e>
          <m:sup>
            <m:r>
              <w:rPr>
                <w:rFonts w:ascii="Cambria Math" w:hAnsi="Cambria Math"/>
              </w:rPr>
              <m:t>1-δ</m:t>
            </m:r>
          </m:sup>
        </m:sSup>
        <m:r>
          <w:rPr>
            <w:rFonts w:ascii="Cambria Math" w:hAnsi="Cambria Math"/>
          </w:rPr>
          <m:t>*A*</m:t>
        </m:r>
        <m:sSub>
          <m:sSubPr>
            <m:ctrlPr>
              <w:rPr>
                <w:rFonts w:ascii="Cambria Math" w:hAnsi="Cambria Math"/>
                <w:i/>
              </w:rPr>
            </m:ctrlPr>
          </m:sSubPr>
          <m:e>
            <m:r>
              <w:rPr>
                <w:rFonts w:ascii="Cambria Math" w:hAnsi="Cambria Math"/>
              </w:rPr>
              <m:t>F</m:t>
            </m:r>
          </m:e>
          <m:sub>
            <m:r>
              <w:rPr>
                <w:rFonts w:ascii="Cambria Math" w:hAnsi="Cambria Math"/>
              </w:rPr>
              <m:t>K</m:t>
            </m:r>
          </m:sub>
        </m:sSub>
      </m:oMath>
      <w:r>
        <w:rPr>
          <w:rFonts w:eastAsiaTheme="minorEastAsia"/>
        </w:rPr>
        <w:tab/>
      </w:r>
      <w:r w:rsidR="00F31AA8">
        <w:rPr>
          <w:rFonts w:eastAsiaTheme="minorEastAsia"/>
        </w:rPr>
        <w:tab/>
      </w:r>
      <w:r w:rsidR="00F31AA8">
        <w:rPr>
          <w:rFonts w:eastAsiaTheme="minorEastAsia"/>
        </w:rPr>
        <w:tab/>
      </w:r>
      <w:r>
        <w:rPr>
          <w:rFonts w:eastAsiaTheme="minorEastAsia"/>
        </w:rPr>
        <w:t>(7)</w:t>
      </w:r>
    </w:p>
    <w:p w14:paraId="64811750" w14:textId="1E024FD2" w:rsidR="00B30294" w:rsidRDefault="00B30294" w:rsidP="00B30294">
      <w:pPr>
        <w:rPr>
          <w:rFonts w:eastAsiaTheme="minorEastAsia"/>
        </w:rPr>
      </w:pPr>
      <w:r>
        <w:rPr>
          <w:rFonts w:eastAsiaTheme="minorEastAsia"/>
        </w:rPr>
        <w:t>where RW is the real wage and ROR is the real rate of return on capital</w:t>
      </w:r>
      <w:r w:rsidR="00AE6062">
        <w:rPr>
          <w:rFonts w:eastAsiaTheme="minorEastAsia"/>
        </w:rPr>
        <w:t xml:space="preserve">. The price ration, </w:t>
      </w:r>
      <m:oMath>
        <m:sSup>
          <m:sSupPr>
            <m:ctrlPr>
              <w:rPr>
                <w:rFonts w:ascii="Cambria Math" w:hAnsi="Cambria Math"/>
                <w:i/>
              </w:rPr>
            </m:ctrlPr>
          </m:sSupPr>
          <m:e>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G</m:t>
                    </m:r>
                  </m:sub>
                </m:sSub>
              </m:num>
              <m:den>
                <m:sSub>
                  <m:sSubPr>
                    <m:ctrlPr>
                      <w:rPr>
                        <w:rFonts w:ascii="Cambria Math" w:hAnsi="Cambria Math"/>
                        <w:i/>
                      </w:rPr>
                    </m:ctrlPr>
                  </m:sSubPr>
                  <m:e>
                    <m:r>
                      <w:rPr>
                        <w:rFonts w:ascii="Cambria Math" w:hAnsi="Cambria Math"/>
                      </w:rPr>
                      <m:t>P</m:t>
                    </m:r>
                  </m:e>
                  <m:sub>
                    <m:r>
                      <w:rPr>
                        <w:rFonts w:ascii="Cambria Math" w:hAnsi="Cambria Math"/>
                      </w:rPr>
                      <m:t>V</m:t>
                    </m:r>
                  </m:sub>
                </m:sSub>
              </m:den>
            </m:f>
          </m:e>
          <m:sup>
            <m:r>
              <w:rPr>
                <w:rFonts w:ascii="Cambria Math" w:hAnsi="Cambria Math"/>
              </w:rPr>
              <m:t xml:space="preserve"> </m:t>
            </m:r>
          </m:sup>
        </m:sSup>
      </m:oMath>
      <w:r w:rsidR="00AE6062">
        <w:rPr>
          <w:rFonts w:eastAsiaTheme="minorEastAsia"/>
        </w:rPr>
        <w:t xml:space="preserve">, can be thought of as </w:t>
      </w:r>
      <w:r>
        <w:rPr>
          <w:rFonts w:eastAsiaTheme="minorEastAsia"/>
        </w:rPr>
        <w:t>the</w:t>
      </w:r>
      <w:r w:rsidR="00AE6062">
        <w:rPr>
          <w:rFonts w:eastAsiaTheme="minorEastAsia"/>
        </w:rPr>
        <w:t xml:space="preserve"> economy’s</w:t>
      </w:r>
      <w:r>
        <w:rPr>
          <w:rFonts w:eastAsiaTheme="minorEastAsia"/>
        </w:rPr>
        <w:t xml:space="preserve"> terms of trade. </w:t>
      </w:r>
    </w:p>
    <w:p w14:paraId="476832E0" w14:textId="6952FA34" w:rsidR="00B30294" w:rsidRDefault="00B30294" w:rsidP="00B30294">
      <w:pPr>
        <w:jc w:val="both"/>
        <w:rPr>
          <w:rFonts w:eastAsiaTheme="minorEastAsia"/>
        </w:rPr>
      </w:pPr>
      <w:r>
        <w:rPr>
          <w:rFonts w:eastAsiaTheme="minorEastAsia"/>
        </w:rPr>
        <w:t xml:space="preserve">We start </w:t>
      </w:r>
      <w:r w:rsidR="00AE6062">
        <w:rPr>
          <w:rFonts w:eastAsiaTheme="minorEastAsia"/>
        </w:rPr>
        <w:t xml:space="preserve">our explanation of </w:t>
      </w:r>
      <w:r>
        <w:rPr>
          <w:rFonts w:eastAsiaTheme="minorEastAsia"/>
        </w:rPr>
        <w:t>results using equation (7)</w:t>
      </w:r>
      <w:r w:rsidR="00043B74">
        <w:rPr>
          <w:rFonts w:eastAsiaTheme="minorEastAsia"/>
        </w:rPr>
        <w:t xml:space="preserve">. The reduction in agricultural production </w:t>
      </w:r>
      <w:r w:rsidR="00AE6062">
        <w:rPr>
          <w:rFonts w:eastAsiaTheme="minorEastAsia"/>
        </w:rPr>
        <w:t>imposed in the modelling (Figure 3), requires</w:t>
      </w:r>
      <w:r w:rsidR="00043B74">
        <w:rPr>
          <w:rFonts w:eastAsiaTheme="minorEastAsia"/>
        </w:rPr>
        <w:t xml:space="preserve"> </w:t>
      </w:r>
      <w:r w:rsidR="00AE6062">
        <w:rPr>
          <w:rFonts w:eastAsiaTheme="minorEastAsia"/>
        </w:rPr>
        <w:t>a significant deterioration</w:t>
      </w:r>
      <w:r w:rsidR="00043B74">
        <w:rPr>
          <w:rFonts w:eastAsiaTheme="minorEastAsia"/>
        </w:rPr>
        <w:t xml:space="preserve"> in</w:t>
      </w:r>
      <w:r w:rsidR="00AE6062">
        <w:rPr>
          <w:rFonts w:eastAsiaTheme="minorEastAsia"/>
        </w:rPr>
        <w:t xml:space="preserve"> the rate of</w:t>
      </w:r>
      <w:r w:rsidR="00043B74">
        <w:rPr>
          <w:rFonts w:eastAsiaTheme="minorEastAsia"/>
        </w:rPr>
        <w:t xml:space="preserve"> technological progress within the agricultural sector. In terms of the BOTE</w:t>
      </w:r>
      <w:r w:rsidR="00AE6062">
        <w:rPr>
          <w:rFonts w:eastAsiaTheme="minorEastAsia"/>
        </w:rPr>
        <w:t xml:space="preserve"> model</w:t>
      </w:r>
      <w:r w:rsidR="00043B74">
        <w:rPr>
          <w:rFonts w:eastAsiaTheme="minorEastAsia"/>
        </w:rPr>
        <w:t xml:space="preserve">, this means a reduction to the </w:t>
      </w:r>
      <w:r>
        <w:rPr>
          <w:rFonts w:eastAsiaTheme="minorEastAsia"/>
        </w:rPr>
        <w:t>technology variable</w:t>
      </w:r>
      <w:r w:rsidR="00043B74">
        <w:rPr>
          <w:rFonts w:eastAsiaTheme="minorEastAsia"/>
        </w:rPr>
        <w:t xml:space="preserve"> </w:t>
      </w:r>
      <w:r>
        <w:rPr>
          <w:rFonts w:eastAsiaTheme="minorEastAsia"/>
        </w:rPr>
        <w:t>(A)</w:t>
      </w:r>
      <w:r w:rsidR="00043B74">
        <w:rPr>
          <w:rFonts w:eastAsiaTheme="minorEastAsia"/>
        </w:rPr>
        <w:t>.</w:t>
      </w:r>
      <w:r>
        <w:rPr>
          <w:rFonts w:eastAsiaTheme="minorEastAsia"/>
        </w:rPr>
        <w:t xml:space="preserve"> In the long run</w:t>
      </w:r>
      <w:r w:rsidR="00043B74">
        <w:rPr>
          <w:rFonts w:eastAsiaTheme="minorEastAsia"/>
        </w:rPr>
        <w:t>, the rate of return on capit</w:t>
      </w:r>
      <w:r w:rsidR="00AE6062">
        <w:rPr>
          <w:rFonts w:eastAsiaTheme="minorEastAsia"/>
        </w:rPr>
        <w:t xml:space="preserve">al (ROR) </w:t>
      </w:r>
      <w:r w:rsidR="004A3484">
        <w:rPr>
          <w:rFonts w:eastAsiaTheme="minorEastAsia"/>
        </w:rPr>
        <w:t>changes little relative to baseline levels du</w:t>
      </w:r>
      <w:r w:rsidR="00AE6062">
        <w:rPr>
          <w:rFonts w:eastAsiaTheme="minorEastAsia"/>
        </w:rPr>
        <w:t>e to capital adjustment</w:t>
      </w:r>
      <w:r w:rsidR="00AE6062">
        <w:rPr>
          <w:rStyle w:val="FootnoteReference"/>
          <w:rFonts w:eastAsiaTheme="minorEastAsia"/>
        </w:rPr>
        <w:footnoteReference w:id="15"/>
      </w:r>
      <w:r w:rsidR="00043B74">
        <w:rPr>
          <w:rFonts w:eastAsiaTheme="minorEastAsia"/>
        </w:rPr>
        <w:t>. Also, there is relatively little change in the terms of trade (</w:t>
      </w:r>
      <m:oMath>
        <m:sSup>
          <m:sSupPr>
            <m:ctrlPr>
              <w:rPr>
                <w:rFonts w:ascii="Cambria Math" w:hAnsi="Cambria Math"/>
                <w:i/>
              </w:rPr>
            </m:ctrlPr>
          </m:sSupPr>
          <m:e>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G</m:t>
                    </m:r>
                  </m:sub>
                </m:sSub>
              </m:num>
              <m:den>
                <m:sSub>
                  <m:sSubPr>
                    <m:ctrlPr>
                      <w:rPr>
                        <w:rFonts w:ascii="Cambria Math" w:hAnsi="Cambria Math"/>
                        <w:i/>
                      </w:rPr>
                    </m:ctrlPr>
                  </m:sSubPr>
                  <m:e>
                    <m:r>
                      <w:rPr>
                        <w:rFonts w:ascii="Cambria Math" w:hAnsi="Cambria Math"/>
                      </w:rPr>
                      <m:t>P</m:t>
                    </m:r>
                  </m:e>
                  <m:sub>
                    <m:r>
                      <w:rPr>
                        <w:rFonts w:ascii="Cambria Math" w:hAnsi="Cambria Math"/>
                      </w:rPr>
                      <m:t>V</m:t>
                    </m:r>
                  </m:sub>
                </m:sSub>
              </m:den>
            </m:f>
          </m:e>
          <m:sup>
            <m:r>
              <w:rPr>
                <w:rFonts w:ascii="Cambria Math" w:hAnsi="Cambria Math"/>
              </w:rPr>
              <m:t xml:space="preserve"> </m:t>
            </m:r>
          </m:sup>
        </m:sSup>
      </m:oMath>
      <w:r w:rsidR="00043B74">
        <w:rPr>
          <w:rFonts w:eastAsiaTheme="minorEastAsia"/>
        </w:rPr>
        <w:t>). Thus, according to equation (7) there must be an increase in the marginal product of capital (</w:t>
      </w:r>
      <w:r>
        <w:rPr>
          <w:rFonts w:eastAsiaTheme="minorEastAsia"/>
        </w:rPr>
        <w:t>F</w:t>
      </w:r>
      <w:r>
        <w:rPr>
          <w:rFonts w:eastAsiaTheme="minorEastAsia"/>
          <w:vertAlign w:val="subscript"/>
        </w:rPr>
        <w:t>K</w:t>
      </w:r>
      <w:r w:rsidR="00043B74">
        <w:rPr>
          <w:rFonts w:eastAsiaTheme="minorEastAsia"/>
        </w:rPr>
        <w:t xml:space="preserve">). </w:t>
      </w:r>
      <w:r>
        <w:rPr>
          <w:rFonts w:eastAsiaTheme="minorEastAsia"/>
        </w:rPr>
        <w:t xml:space="preserve">That means the K/L ratio </w:t>
      </w:r>
      <w:r w:rsidR="004A3484">
        <w:rPr>
          <w:rFonts w:eastAsiaTheme="minorEastAsia"/>
        </w:rPr>
        <w:t xml:space="preserve">will </w:t>
      </w:r>
      <w:r>
        <w:rPr>
          <w:rFonts w:eastAsiaTheme="minorEastAsia"/>
        </w:rPr>
        <w:t xml:space="preserve">fall, since </w:t>
      </w:r>
      <w:r w:rsidR="00043B74">
        <w:rPr>
          <w:rFonts w:eastAsiaTheme="minorEastAsia"/>
        </w:rPr>
        <w:t>F</w:t>
      </w:r>
      <w:r w:rsidR="00043B74">
        <w:rPr>
          <w:rFonts w:eastAsiaTheme="minorEastAsia"/>
          <w:vertAlign w:val="subscript"/>
        </w:rPr>
        <w:t>K</w:t>
      </w:r>
      <w:r w:rsidR="00043B74" w:rsidDel="00043B74">
        <w:rPr>
          <w:rFonts w:eastAsiaTheme="minorEastAsia"/>
        </w:rPr>
        <w:t xml:space="preserve"> </w:t>
      </w:r>
      <w:r>
        <w:rPr>
          <w:rFonts w:eastAsiaTheme="minorEastAsia"/>
        </w:rPr>
        <w:t xml:space="preserve">is a decreasing function of K/L. </w:t>
      </w:r>
      <w:r w:rsidR="00043B74">
        <w:rPr>
          <w:rFonts w:eastAsiaTheme="minorEastAsia"/>
        </w:rPr>
        <w:t>Figure 4 shows that the economy wide ratio</w:t>
      </w:r>
      <w:r w:rsidR="004A3484">
        <w:rPr>
          <w:rFonts w:eastAsiaTheme="minorEastAsia"/>
        </w:rPr>
        <w:t xml:space="preserve"> of capital to labour does fall</w:t>
      </w:r>
      <w:r w:rsidR="00043B74">
        <w:rPr>
          <w:rFonts w:eastAsiaTheme="minorEastAsia"/>
        </w:rPr>
        <w:t>. In 2050, there is little change in employment, but capital is down 1.5 per cent relative to its baseline level.</w:t>
      </w:r>
    </w:p>
    <w:p w14:paraId="03749AEA" w14:textId="09853C81" w:rsidR="00B30294" w:rsidRDefault="00043B74" w:rsidP="00B30294">
      <w:pPr>
        <w:jc w:val="both"/>
        <w:rPr>
          <w:rFonts w:eastAsiaTheme="minorEastAsia"/>
        </w:rPr>
      </w:pPr>
      <w:r>
        <w:rPr>
          <w:rFonts w:eastAsiaTheme="minorEastAsia"/>
        </w:rPr>
        <w:t>As F</w:t>
      </w:r>
      <w:r>
        <w:rPr>
          <w:rFonts w:eastAsiaTheme="minorEastAsia"/>
          <w:vertAlign w:val="subscript"/>
        </w:rPr>
        <w:t>K</w:t>
      </w:r>
      <w:r w:rsidDel="00043B74">
        <w:rPr>
          <w:rFonts w:eastAsiaTheme="minorEastAsia"/>
        </w:rPr>
        <w:t xml:space="preserve"> </w:t>
      </w:r>
      <w:r>
        <w:rPr>
          <w:rFonts w:eastAsiaTheme="minorEastAsia"/>
        </w:rPr>
        <w:t xml:space="preserve">increases, so </w:t>
      </w:r>
      <w:r w:rsidR="00B30294">
        <w:rPr>
          <w:rFonts w:eastAsiaTheme="minorEastAsia"/>
        </w:rPr>
        <w:t>F</w:t>
      </w:r>
      <w:r w:rsidR="00B30294">
        <w:rPr>
          <w:rFonts w:eastAsiaTheme="minorEastAsia"/>
          <w:vertAlign w:val="subscript"/>
        </w:rPr>
        <w:t>L</w:t>
      </w:r>
      <w:r w:rsidR="00B30294">
        <w:rPr>
          <w:rFonts w:eastAsiaTheme="minorEastAsia"/>
        </w:rPr>
        <w:t xml:space="preserve"> </w:t>
      </w:r>
      <w:r w:rsidR="004A3484">
        <w:rPr>
          <w:rFonts w:eastAsiaTheme="minorEastAsia"/>
        </w:rPr>
        <w:t xml:space="preserve">must </w:t>
      </w:r>
      <w:r w:rsidR="00B30294">
        <w:rPr>
          <w:rFonts w:eastAsiaTheme="minorEastAsia"/>
        </w:rPr>
        <w:t>decrease</w:t>
      </w:r>
      <w:r w:rsidR="004A3484">
        <w:rPr>
          <w:rFonts w:eastAsiaTheme="minorEastAsia"/>
        </w:rPr>
        <w:t xml:space="preserve">, leading via </w:t>
      </w:r>
      <w:r w:rsidR="00B30294">
        <w:rPr>
          <w:rFonts w:eastAsiaTheme="minorEastAsia"/>
        </w:rPr>
        <w:t xml:space="preserve">equation (6) </w:t>
      </w:r>
      <w:r w:rsidR="004A3484">
        <w:rPr>
          <w:rFonts w:eastAsiaTheme="minorEastAsia"/>
        </w:rPr>
        <w:t>to a fall in the real wage rate (</w:t>
      </w:r>
      <w:r w:rsidR="00B30294">
        <w:rPr>
          <w:rFonts w:eastAsiaTheme="minorEastAsia"/>
        </w:rPr>
        <w:t>RW</w:t>
      </w:r>
      <w:r w:rsidR="004A3484">
        <w:rPr>
          <w:rFonts w:eastAsiaTheme="minorEastAsia"/>
        </w:rPr>
        <w:t xml:space="preserve">). As shown in Figure 5, at the end of the period the real wage rate is down by more than 6 per cent relative to its baseline level. The reduction in real wage induces industries </w:t>
      </w:r>
      <w:r w:rsidR="00B30294">
        <w:rPr>
          <w:rFonts w:eastAsiaTheme="minorEastAsia"/>
        </w:rPr>
        <w:t>to employ more labour</w:t>
      </w:r>
      <w:r w:rsidR="004A3484">
        <w:rPr>
          <w:rFonts w:eastAsiaTheme="minorEastAsia"/>
        </w:rPr>
        <w:t xml:space="preserve">. Accordingly, national </w:t>
      </w:r>
      <w:r w:rsidR="00B30294">
        <w:rPr>
          <w:rFonts w:eastAsiaTheme="minorEastAsia"/>
        </w:rPr>
        <w:t>employment move</w:t>
      </w:r>
      <w:r w:rsidR="004A3484">
        <w:rPr>
          <w:rFonts w:eastAsiaTheme="minorEastAsia"/>
        </w:rPr>
        <w:t>s</w:t>
      </w:r>
      <w:r w:rsidR="00B30294">
        <w:rPr>
          <w:rFonts w:eastAsiaTheme="minorEastAsia"/>
        </w:rPr>
        <w:t xml:space="preserve"> back towards </w:t>
      </w:r>
      <w:r w:rsidR="004A3484">
        <w:rPr>
          <w:rFonts w:eastAsiaTheme="minorEastAsia"/>
        </w:rPr>
        <w:t xml:space="preserve">its </w:t>
      </w:r>
      <w:r w:rsidR="00B30294">
        <w:rPr>
          <w:rFonts w:eastAsiaTheme="minorEastAsia"/>
        </w:rPr>
        <w:t>baseline</w:t>
      </w:r>
      <w:r w:rsidR="004A3484">
        <w:rPr>
          <w:rFonts w:eastAsiaTheme="minorEastAsia"/>
        </w:rPr>
        <w:t xml:space="preserve"> level (Figure 5). E</w:t>
      </w:r>
      <w:r w:rsidR="00B30294">
        <w:rPr>
          <w:rFonts w:eastAsiaTheme="minorEastAsia"/>
        </w:rPr>
        <w:t xml:space="preserve">mployment </w:t>
      </w:r>
      <w:r w:rsidR="004A3484">
        <w:rPr>
          <w:rFonts w:eastAsiaTheme="minorEastAsia"/>
        </w:rPr>
        <w:t xml:space="preserve">never converges fully because the contractions in agricultural </w:t>
      </w:r>
      <w:r w:rsidR="004A3484">
        <w:rPr>
          <w:rFonts w:eastAsiaTheme="minorEastAsia"/>
        </w:rPr>
        <w:lastRenderedPageBreak/>
        <w:t>output are not once-off, but are imposed progressively through the simulation period.</w:t>
      </w:r>
      <w:r w:rsidR="00B30294">
        <w:rPr>
          <w:rFonts w:eastAsiaTheme="minorEastAsia"/>
        </w:rPr>
        <w:t xml:space="preserve"> </w:t>
      </w:r>
    </w:p>
    <w:p w14:paraId="2B67A6D3" w14:textId="122B83E9" w:rsidR="00B30294" w:rsidRDefault="004A3484" w:rsidP="00B30294">
      <w:pPr>
        <w:rPr>
          <w:rFonts w:eastAsiaTheme="minorEastAsia"/>
        </w:rPr>
      </w:pPr>
      <w:r>
        <w:rPr>
          <w:rFonts w:eastAsiaTheme="minorEastAsia"/>
        </w:rPr>
        <w:t xml:space="preserve">Equation (1) shows that with declines in A, K and L, real GDP must fall. The percentage change form of (1) is given by: </w:t>
      </w:r>
    </w:p>
    <w:p w14:paraId="4277BFBF" w14:textId="3EB7F005" w:rsidR="00B30294" w:rsidRDefault="00B30294" w:rsidP="00B30294">
      <w:pPr>
        <w:rPr>
          <w:rFonts w:eastAsiaTheme="minorEastAsia"/>
        </w:rPr>
      </w:pPr>
      <w:r>
        <w:rPr>
          <w:rFonts w:eastAsiaTheme="minorEastAsia"/>
        </w:rPr>
        <w:t>y=a + S</w:t>
      </w:r>
      <w:r>
        <w:rPr>
          <w:rFonts w:eastAsiaTheme="minorEastAsia"/>
          <w:vertAlign w:val="subscript"/>
        </w:rPr>
        <w:t>K</w:t>
      </w:r>
      <w:r>
        <w:rPr>
          <w:rFonts w:eastAsiaTheme="minorEastAsia"/>
        </w:rPr>
        <w:t xml:space="preserve"> *k + S</w:t>
      </w:r>
      <w:r>
        <w:rPr>
          <w:rFonts w:eastAsiaTheme="minorEastAsia"/>
          <w:vertAlign w:val="subscript"/>
        </w:rPr>
        <w:t>L</w:t>
      </w:r>
      <w:r>
        <w:rPr>
          <w:rFonts w:eastAsiaTheme="minorEastAsia"/>
        </w:rPr>
        <w:t>*l</w:t>
      </w:r>
      <w:r w:rsidR="00D45656">
        <w:rPr>
          <w:rFonts w:eastAsiaTheme="minorEastAsia"/>
        </w:rPr>
        <w:tab/>
      </w:r>
      <w:r w:rsidR="00D45656">
        <w:rPr>
          <w:rFonts w:eastAsiaTheme="minorEastAsia"/>
        </w:rPr>
        <w:tab/>
      </w:r>
      <w:r w:rsidR="00D45656">
        <w:rPr>
          <w:rFonts w:eastAsiaTheme="minorEastAsia"/>
        </w:rPr>
        <w:tab/>
        <w:t>(8),</w:t>
      </w:r>
    </w:p>
    <w:p w14:paraId="0703ED17" w14:textId="7A235F8B" w:rsidR="00B30294" w:rsidRDefault="00B30294" w:rsidP="005C4484">
      <w:pPr>
        <w:jc w:val="both"/>
        <w:rPr>
          <w:rFonts w:eastAsiaTheme="minorEastAsia"/>
        </w:rPr>
      </w:pPr>
      <w:r>
        <w:rPr>
          <w:rFonts w:eastAsiaTheme="minorEastAsia"/>
        </w:rPr>
        <w:t xml:space="preserve">where y, k and l are the </w:t>
      </w:r>
      <w:r w:rsidR="001354A6">
        <w:rPr>
          <w:rFonts w:eastAsiaTheme="minorEastAsia"/>
        </w:rPr>
        <w:t>per</w:t>
      </w:r>
      <w:r w:rsidR="00BA2F9C">
        <w:rPr>
          <w:rFonts w:eastAsiaTheme="minorEastAsia"/>
        </w:rPr>
        <w:t>cent</w:t>
      </w:r>
      <w:r>
        <w:rPr>
          <w:rFonts w:eastAsiaTheme="minorEastAsia"/>
        </w:rPr>
        <w:t>age changes in output, capital and labour, respectively, with S</w:t>
      </w:r>
      <w:r>
        <w:rPr>
          <w:rFonts w:eastAsiaTheme="minorEastAsia"/>
          <w:vertAlign w:val="subscript"/>
        </w:rPr>
        <w:t>K</w:t>
      </w:r>
      <w:r>
        <w:rPr>
          <w:rFonts w:eastAsiaTheme="minorEastAsia"/>
        </w:rPr>
        <w:t xml:space="preserve"> and S</w:t>
      </w:r>
      <w:r>
        <w:rPr>
          <w:rFonts w:eastAsiaTheme="minorEastAsia"/>
          <w:vertAlign w:val="subscript"/>
        </w:rPr>
        <w:t>L</w:t>
      </w:r>
      <w:r>
        <w:rPr>
          <w:rFonts w:eastAsiaTheme="minorEastAsia"/>
        </w:rPr>
        <w:t xml:space="preserve"> the shares of capital and labour in GDP.</w:t>
      </w:r>
      <w:r w:rsidR="00D45656">
        <w:rPr>
          <w:rFonts w:eastAsiaTheme="minorEastAsia"/>
        </w:rPr>
        <w:t xml:space="preserve"> The average shares of capital and labour over the projection period are 0.61 and 0.29. Thus, according to (8),</w:t>
      </w:r>
      <w:r>
        <w:rPr>
          <w:rFonts w:eastAsiaTheme="minorEastAsia"/>
        </w:rPr>
        <w:t xml:space="preserve"> </w:t>
      </w:r>
    </w:p>
    <w:p w14:paraId="3CAB31A5" w14:textId="2329F311" w:rsidR="00B30294" w:rsidRDefault="00B30294" w:rsidP="00B30294">
      <w:pPr>
        <w:rPr>
          <w:rFonts w:eastAsiaTheme="minorEastAsia"/>
        </w:rPr>
      </w:pPr>
      <w:r>
        <w:rPr>
          <w:rFonts w:eastAsiaTheme="minorEastAsia"/>
        </w:rPr>
        <w:t>y = -3.31 - (0.61)*1.5 – (0.29)*0.15  = -4.2</w:t>
      </w:r>
      <w:r w:rsidR="00D45656">
        <w:rPr>
          <w:rFonts w:eastAsiaTheme="minorEastAsia"/>
        </w:rPr>
        <w:t>7.</w:t>
      </w:r>
      <w:r w:rsidR="00D45656">
        <w:rPr>
          <w:rStyle w:val="FootnoteReference"/>
          <w:rFonts w:eastAsiaTheme="minorEastAsia"/>
        </w:rPr>
        <w:footnoteReference w:id="16"/>
      </w:r>
    </w:p>
    <w:p w14:paraId="0E9C59D1" w14:textId="274DDB04" w:rsidR="00B30294" w:rsidRDefault="00B30294" w:rsidP="005C4484">
      <w:pPr>
        <w:jc w:val="both"/>
        <w:rPr>
          <w:rFonts w:eastAsiaTheme="minorEastAsia"/>
        </w:rPr>
      </w:pPr>
      <w:r>
        <w:rPr>
          <w:rFonts w:eastAsiaTheme="minorEastAsia"/>
        </w:rPr>
        <w:t xml:space="preserve">This is close to the long-run decrease in GDP shown in </w:t>
      </w:r>
      <w:r w:rsidR="00D45656">
        <w:rPr>
          <w:rFonts w:eastAsiaTheme="minorEastAsia"/>
        </w:rPr>
        <w:t>Figure 4</w:t>
      </w:r>
      <w:r>
        <w:rPr>
          <w:rFonts w:eastAsiaTheme="minorEastAsia"/>
        </w:rPr>
        <w:t>, while</w:t>
      </w:r>
      <w:r w:rsidR="00D45656">
        <w:rPr>
          <w:rFonts w:eastAsiaTheme="minorEastAsia"/>
        </w:rPr>
        <w:t xml:space="preserve"> Figure</w:t>
      </w:r>
      <w:r>
        <w:rPr>
          <w:rFonts w:eastAsiaTheme="minorEastAsia"/>
        </w:rPr>
        <w:t xml:space="preserve"> </w:t>
      </w:r>
      <w:r w:rsidR="00D45656">
        <w:rPr>
          <w:rFonts w:eastAsiaTheme="minorEastAsia"/>
        </w:rPr>
        <w:t>6</w:t>
      </w:r>
      <w:r>
        <w:rPr>
          <w:rFonts w:eastAsiaTheme="minorEastAsia"/>
        </w:rPr>
        <w:t xml:space="preserve"> confirms this effect on real GDP in the long run, as well as the fact that the decrease in technology is the driving force behind the drop in real GDP. </w:t>
      </w:r>
    </w:p>
    <w:p w14:paraId="4AE3303F" w14:textId="77777777" w:rsidR="002242DC" w:rsidRDefault="009F32A8" w:rsidP="005C4484">
      <w:pPr>
        <w:jc w:val="both"/>
        <w:rPr>
          <w:rFonts w:eastAsiaTheme="minorEastAsia"/>
        </w:rPr>
      </w:pPr>
      <w:r>
        <w:rPr>
          <w:rFonts w:eastAsiaTheme="minorEastAsia"/>
        </w:rPr>
        <w:t xml:space="preserve">Figure 7 shows deviations in </w:t>
      </w:r>
      <w:r w:rsidR="00DC6C57">
        <w:rPr>
          <w:rFonts w:eastAsiaTheme="minorEastAsia"/>
        </w:rPr>
        <w:t xml:space="preserve">two of the </w:t>
      </w:r>
      <w:r>
        <w:rPr>
          <w:rFonts w:eastAsiaTheme="minorEastAsia"/>
        </w:rPr>
        <w:t>main domestic expenditure components of real GDP, namely private consumption and investment</w:t>
      </w:r>
      <w:r w:rsidR="00DC6C57">
        <w:rPr>
          <w:rFonts w:eastAsiaTheme="minorEastAsia"/>
        </w:rPr>
        <w:t xml:space="preserve"> (private plus public)</w:t>
      </w:r>
      <w:r>
        <w:rPr>
          <w:rFonts w:eastAsiaTheme="minorEastAsia"/>
        </w:rPr>
        <w:t>.</w:t>
      </w:r>
      <w:r w:rsidR="00DC6C57">
        <w:rPr>
          <w:rFonts w:eastAsiaTheme="minorEastAsia"/>
        </w:rPr>
        <w:t xml:space="preserve"> In this simulation, public consumption is fixed to its baseline level. In each year, real private consumption falls slightly relative to real GDP, while real investment rises relative to GDP. </w:t>
      </w:r>
      <w:r w:rsidR="002242DC">
        <w:rPr>
          <w:rFonts w:eastAsiaTheme="minorEastAsia"/>
        </w:rPr>
        <w:t>In the modelling, p</w:t>
      </w:r>
      <w:r w:rsidR="00DC6C57">
        <w:rPr>
          <w:rFonts w:eastAsiaTheme="minorEastAsia"/>
        </w:rPr>
        <w:t xml:space="preserve">rivate consumption is determined by a consumption function </w:t>
      </w:r>
      <w:r w:rsidR="00820F17">
        <w:rPr>
          <w:rFonts w:eastAsiaTheme="minorEastAsia"/>
        </w:rPr>
        <w:t>that</w:t>
      </w:r>
      <w:r w:rsidR="00DC6C57">
        <w:rPr>
          <w:rFonts w:eastAsiaTheme="minorEastAsia"/>
        </w:rPr>
        <w:t xml:space="preserve"> relates nominal consumption to nominal GDP (the proxy for household income) via a fixed marginal propensity to consume. Thus nominal household consumption moves with nominal GDP. Real consumption, however, can deviate from real GDP due to changes in the </w:t>
      </w:r>
      <w:r w:rsidR="002242DC">
        <w:rPr>
          <w:rFonts w:eastAsiaTheme="minorEastAsia"/>
        </w:rPr>
        <w:t>price of consumption relative to the price of GDP. In this simulation, the price of consumption rises relative to the price of GDP because agricultural products (whose prices increase) have a greater representation in national consumption than in national value added.</w:t>
      </w:r>
    </w:p>
    <w:p w14:paraId="1F2E565C" w14:textId="040DBC10" w:rsidR="00B30294" w:rsidRDefault="00B30294" w:rsidP="005C4484">
      <w:pPr>
        <w:jc w:val="both"/>
        <w:rPr>
          <w:rFonts w:eastAsiaTheme="minorEastAsia"/>
        </w:rPr>
      </w:pPr>
      <w:r>
        <w:rPr>
          <w:rFonts w:eastAsiaTheme="minorEastAsia"/>
        </w:rPr>
        <w:t xml:space="preserve">Investment </w:t>
      </w:r>
      <w:r w:rsidR="002242DC">
        <w:rPr>
          <w:rFonts w:eastAsiaTheme="minorEastAsia"/>
        </w:rPr>
        <w:t>falls relative to baseline levels in line with the mild contraction in capital (Figure 4) - b</w:t>
      </w:r>
      <w:r w:rsidR="00820F17">
        <w:rPr>
          <w:rFonts w:eastAsiaTheme="minorEastAsia"/>
        </w:rPr>
        <w:t xml:space="preserve">ecause the economy requires less capital, it also requires less investment to maintain the required capital. </w:t>
      </w:r>
      <w:r w:rsidR="002242DC">
        <w:rPr>
          <w:rFonts w:eastAsiaTheme="minorEastAsia"/>
        </w:rPr>
        <w:t>Investment falls by less than real GDP, in line with the relative changes in capital and GDP (see Figure 3).</w:t>
      </w:r>
    </w:p>
    <w:p w14:paraId="3101DEA3" w14:textId="1C59F7C5" w:rsidR="003F4282" w:rsidRDefault="002242DC" w:rsidP="005C4484">
      <w:pPr>
        <w:jc w:val="both"/>
        <w:rPr>
          <w:rFonts w:eastAsiaTheme="minorEastAsia"/>
        </w:rPr>
      </w:pPr>
      <w:r>
        <w:rPr>
          <w:rFonts w:eastAsiaTheme="minorEastAsia"/>
        </w:rPr>
        <w:t xml:space="preserve">Overall, real GDP (Y) falls by more than real Gross National Expenditure (C+I+G). Hence the net volume of trade (X-M) </w:t>
      </w:r>
      <w:r w:rsidR="003F4282">
        <w:rPr>
          <w:rFonts w:eastAsiaTheme="minorEastAsia"/>
        </w:rPr>
        <w:t xml:space="preserve">must deteriorate. </w:t>
      </w:r>
      <w:r w:rsidR="00B30294">
        <w:rPr>
          <w:rFonts w:eastAsiaTheme="minorEastAsia"/>
        </w:rPr>
        <w:fldChar w:fldCharType="begin"/>
      </w:r>
      <w:r w:rsidR="00B30294">
        <w:rPr>
          <w:rFonts w:eastAsiaTheme="minorEastAsia"/>
        </w:rPr>
        <w:instrText xml:space="preserve"> REF _Ref505244792 \h </w:instrText>
      </w:r>
      <w:r w:rsidR="00B30294">
        <w:rPr>
          <w:rFonts w:eastAsiaTheme="minorEastAsia"/>
        </w:rPr>
      </w:r>
      <w:r w:rsidR="00B30294">
        <w:rPr>
          <w:rFonts w:eastAsiaTheme="minorEastAsia"/>
        </w:rPr>
        <w:fldChar w:fldCharType="separate"/>
      </w:r>
      <w:r w:rsidR="00B30294" w:rsidRPr="00A34757">
        <w:t xml:space="preserve">Figure </w:t>
      </w:r>
      <w:r w:rsidR="00B30294">
        <w:rPr>
          <w:noProof/>
        </w:rPr>
        <w:t>5</w:t>
      </w:r>
      <w:r w:rsidR="00B30294">
        <w:rPr>
          <w:rFonts w:eastAsiaTheme="minorEastAsia"/>
        </w:rPr>
        <w:fldChar w:fldCharType="end"/>
      </w:r>
      <w:r w:rsidR="00B30294">
        <w:rPr>
          <w:rFonts w:eastAsiaTheme="minorEastAsia"/>
        </w:rPr>
        <w:t xml:space="preserve"> shows movements away from the baseline in both exports and import</w:t>
      </w:r>
      <w:r w:rsidR="00A1726C">
        <w:rPr>
          <w:rFonts w:eastAsiaTheme="minorEastAsia"/>
        </w:rPr>
        <w:t>s</w:t>
      </w:r>
      <w:r w:rsidR="003F4282">
        <w:rPr>
          <w:rFonts w:eastAsiaTheme="minorEastAsia"/>
        </w:rPr>
        <w:t>. In 2050</w:t>
      </w:r>
      <w:r w:rsidR="00B30294">
        <w:rPr>
          <w:rFonts w:eastAsiaTheme="minorEastAsia"/>
        </w:rPr>
        <w:t>,</w:t>
      </w:r>
      <w:r w:rsidR="003F4282">
        <w:rPr>
          <w:rFonts w:eastAsiaTheme="minorEastAsia"/>
        </w:rPr>
        <w:t xml:space="preserve"> the volume of exports is 5.3 per cent below its baseline level, while the volume of imports is down 2.0 per cent. The deterioration in net volume of trade is accompanied by real appreciation of the Ugandan currency. Real appreciation </w:t>
      </w:r>
      <w:r w:rsidR="003F4282">
        <w:rPr>
          <w:rFonts w:eastAsiaTheme="minorEastAsia"/>
        </w:rPr>
        <w:lastRenderedPageBreak/>
        <w:t>reduces the competiveness of Ugandan products exported to world markets</w:t>
      </w:r>
      <w:r w:rsidR="00B30294">
        <w:rPr>
          <w:rFonts w:eastAsiaTheme="minorEastAsia"/>
        </w:rPr>
        <w:t xml:space="preserve"> </w:t>
      </w:r>
      <w:r w:rsidR="003F4282">
        <w:rPr>
          <w:rFonts w:eastAsiaTheme="minorEastAsia"/>
        </w:rPr>
        <w:t xml:space="preserve">and competing against imports on local markets. </w:t>
      </w:r>
    </w:p>
    <w:p w14:paraId="4FB3BA13" w14:textId="53C3FE6D" w:rsidR="00B30294" w:rsidRDefault="003F4282" w:rsidP="005C4484">
      <w:pPr>
        <w:jc w:val="both"/>
        <w:rPr>
          <w:rFonts w:eastAsiaTheme="minorEastAsia"/>
        </w:rPr>
      </w:pPr>
      <w:r>
        <w:rPr>
          <w:rFonts w:eastAsiaTheme="minorEastAsia"/>
        </w:rPr>
        <w:t>In UgAGE, it is assumed that Ugandan producers face downward sloping world demand schedules for their products. In terms of a supply and demand diagram, the real appreciation causes the supply schedules for Ugandan products to shi</w:t>
      </w:r>
      <w:r w:rsidR="00A1726C">
        <w:rPr>
          <w:rFonts w:eastAsiaTheme="minorEastAsia"/>
        </w:rPr>
        <w:t>f</w:t>
      </w:r>
      <w:r>
        <w:rPr>
          <w:rFonts w:eastAsiaTheme="minorEastAsia"/>
        </w:rPr>
        <w:t>t to the left. This reduces export volumes, but also lifts the world prices at which they are sold. Thus, despite all the bad news associated with the climate change effects modelled, there is some good news with the Ugandan economy projected to experience a small improvement in its terms of trade.</w:t>
      </w:r>
    </w:p>
    <w:p w14:paraId="3CF63CA6" w14:textId="77777777" w:rsidR="00B30294" w:rsidRDefault="00B30294" w:rsidP="00C154CC">
      <w:pPr>
        <w:pStyle w:val="Heading2"/>
        <w:rPr>
          <w:rFonts w:eastAsiaTheme="minorEastAsia"/>
        </w:rPr>
      </w:pPr>
      <w:bookmarkStart w:id="43" w:name="_Toc525042506"/>
      <w:r>
        <w:rPr>
          <w:rFonts w:eastAsiaTheme="minorEastAsia"/>
        </w:rPr>
        <w:t>Industry results</w:t>
      </w:r>
      <w:bookmarkEnd w:id="43"/>
    </w:p>
    <w:p w14:paraId="6AEB12DC" w14:textId="21B3EF89" w:rsidR="00A81A5D" w:rsidRDefault="00B30294" w:rsidP="00B30294">
      <w:pPr>
        <w:jc w:val="both"/>
        <w:rPr>
          <w:rFonts w:eastAsiaTheme="minorEastAsia"/>
        </w:rPr>
      </w:pPr>
      <w:r>
        <w:rPr>
          <w:rFonts w:eastAsiaTheme="minorEastAsia"/>
        </w:rPr>
        <w:t xml:space="preserve">The </w:t>
      </w:r>
      <w:r w:rsidR="007538A9">
        <w:rPr>
          <w:rFonts w:eastAsiaTheme="minorEastAsia"/>
        </w:rPr>
        <w:t>UgAGE</w:t>
      </w:r>
      <w:r>
        <w:rPr>
          <w:rFonts w:eastAsiaTheme="minorEastAsia"/>
        </w:rPr>
        <w:t xml:space="preserve"> model produces results for 95 industries. In </w:t>
      </w:r>
      <w:r w:rsidR="003F64B3">
        <w:rPr>
          <w:rFonts w:eastAsiaTheme="minorEastAsia"/>
        </w:rPr>
        <w:t xml:space="preserve">Figure </w:t>
      </w:r>
      <w:r w:rsidR="00920719">
        <w:rPr>
          <w:rFonts w:eastAsiaTheme="minorEastAsia"/>
        </w:rPr>
        <w:t>9</w:t>
      </w:r>
      <w:r>
        <w:rPr>
          <w:rFonts w:eastAsiaTheme="minorEastAsia"/>
        </w:rPr>
        <w:t xml:space="preserve"> we show the ten industries that </w:t>
      </w:r>
      <w:r w:rsidR="00920719">
        <w:rPr>
          <w:rFonts w:eastAsiaTheme="minorEastAsia"/>
        </w:rPr>
        <w:t xml:space="preserve">are </w:t>
      </w:r>
      <w:r>
        <w:rPr>
          <w:rFonts w:eastAsiaTheme="minorEastAsia"/>
        </w:rPr>
        <w:t xml:space="preserve">affected most by the shocks to </w:t>
      </w:r>
      <w:r w:rsidR="00920719">
        <w:rPr>
          <w:rFonts w:eastAsiaTheme="minorEastAsia"/>
        </w:rPr>
        <w:t xml:space="preserve">agricultural production. </w:t>
      </w:r>
      <w:r w:rsidR="00215A7D">
        <w:rPr>
          <w:rFonts w:eastAsiaTheme="minorEastAsia"/>
        </w:rPr>
        <w:t>For each of the industries we show the percentage deviation in total production in the final year of the simulation (2050) as a black bar.</w:t>
      </w:r>
      <w:r w:rsidR="00A81A5D">
        <w:rPr>
          <w:rFonts w:eastAsiaTheme="minorEastAsia"/>
        </w:rPr>
        <w:t xml:space="preserve"> Four</w:t>
      </w:r>
      <w:r w:rsidR="00215A7D">
        <w:rPr>
          <w:rFonts w:eastAsiaTheme="minorEastAsia"/>
        </w:rPr>
        <w:t xml:space="preserve"> of the industries</w:t>
      </w:r>
      <w:r w:rsidR="00A81A5D">
        <w:rPr>
          <w:rFonts w:eastAsiaTheme="minorEastAsia"/>
        </w:rPr>
        <w:t xml:space="preserve"> shown in</w:t>
      </w:r>
      <w:r w:rsidR="00215A7D">
        <w:rPr>
          <w:rFonts w:eastAsiaTheme="minorEastAsia"/>
        </w:rPr>
        <w:t xml:space="preserve"> Figure</w:t>
      </w:r>
      <w:r w:rsidR="00A81A5D">
        <w:rPr>
          <w:rFonts w:eastAsiaTheme="minorEastAsia"/>
        </w:rPr>
        <w:t xml:space="preserve"> 9</w:t>
      </w:r>
      <w:r w:rsidR="00215A7D">
        <w:rPr>
          <w:rFonts w:eastAsiaTheme="minorEastAsia"/>
        </w:rPr>
        <w:t xml:space="preserve"> experience increases in production due to the modelled effects of climate change – the textiles sector (“TextilePrd”), the fabricated metal products industry (“FabMetalPrd”)</w:t>
      </w:r>
      <w:r w:rsidR="00A81A5D">
        <w:rPr>
          <w:rFonts w:eastAsiaTheme="minorEastAsia"/>
        </w:rPr>
        <w:t xml:space="preserve">, </w:t>
      </w:r>
      <w:r w:rsidR="00215A7D">
        <w:rPr>
          <w:rFonts w:eastAsiaTheme="minorEastAsia"/>
        </w:rPr>
        <w:t xml:space="preserve">the Annuals product </w:t>
      </w:r>
      <w:commentRangeStart w:id="44"/>
      <w:r w:rsidR="00215A7D">
        <w:rPr>
          <w:rFonts w:eastAsiaTheme="minorEastAsia"/>
        </w:rPr>
        <w:t>industry</w:t>
      </w:r>
      <w:commentRangeEnd w:id="44"/>
      <w:r w:rsidR="00A81A5D">
        <w:rPr>
          <w:rFonts w:eastAsiaTheme="minorEastAsia"/>
        </w:rPr>
        <w:t xml:space="preserve"> (“Annuals”), and the wearing apparel sector (“WearAppPrd”)</w:t>
      </w:r>
      <w:bookmarkStart w:id="45" w:name="_GoBack"/>
      <w:bookmarkEnd w:id="45"/>
      <w:r w:rsidR="00215A7D">
        <w:rPr>
          <w:rStyle w:val="CommentReference"/>
        </w:rPr>
        <w:commentReference w:id="44"/>
      </w:r>
      <w:r w:rsidR="00215A7D">
        <w:rPr>
          <w:rFonts w:eastAsiaTheme="minorEastAsia"/>
        </w:rPr>
        <w:t>.</w:t>
      </w:r>
      <w:r w:rsidR="00A81A5D">
        <w:rPr>
          <w:rFonts w:eastAsiaTheme="minorEastAsia"/>
        </w:rPr>
        <w:t xml:space="preserve"> The remaining six industries are projected to experience relatively large contractions in output in 2050.</w:t>
      </w:r>
    </w:p>
    <w:p w14:paraId="4D818CA9" w14:textId="0D0B41AD" w:rsidR="00B30294" w:rsidRDefault="00A81A5D" w:rsidP="00B30294">
      <w:pPr>
        <w:jc w:val="both"/>
        <w:rPr>
          <w:rFonts w:eastAsiaTheme="minorEastAsia"/>
        </w:rPr>
      </w:pPr>
      <w:r>
        <w:rPr>
          <w:rFonts w:eastAsiaTheme="minorEastAsia"/>
        </w:rPr>
        <w:t xml:space="preserve">For each of the </w:t>
      </w:r>
      <w:r w:rsidR="00C45C0E">
        <w:rPr>
          <w:rFonts w:eastAsiaTheme="minorEastAsia"/>
        </w:rPr>
        <w:t>ten industries</w:t>
      </w:r>
      <w:r>
        <w:rPr>
          <w:rFonts w:eastAsiaTheme="minorEastAsia"/>
        </w:rPr>
        <w:t xml:space="preserve"> we decompose the overall change in production into three </w:t>
      </w:r>
      <w:r w:rsidR="00B30294">
        <w:rPr>
          <w:rFonts w:eastAsiaTheme="minorEastAsia"/>
        </w:rPr>
        <w:t>contributing factors: (i) the local market effect</w:t>
      </w:r>
      <w:r>
        <w:rPr>
          <w:rFonts w:eastAsiaTheme="minorEastAsia"/>
        </w:rPr>
        <w:t>, which shows the contribution of broad changes in the size of the local market</w:t>
      </w:r>
      <w:r w:rsidR="006E5F9F">
        <w:rPr>
          <w:rFonts w:eastAsiaTheme="minorEastAsia"/>
        </w:rPr>
        <w:t>;</w:t>
      </w:r>
      <w:r w:rsidR="00B30294">
        <w:rPr>
          <w:rFonts w:eastAsiaTheme="minorEastAsia"/>
        </w:rPr>
        <w:t xml:space="preserve"> (ii) the domestic share effect</w:t>
      </w:r>
      <w:r w:rsidR="006E5F9F">
        <w:rPr>
          <w:rFonts w:eastAsiaTheme="minorEastAsia"/>
        </w:rPr>
        <w:t>,</w:t>
      </w:r>
      <w:r w:rsidR="00B30294">
        <w:rPr>
          <w:rFonts w:eastAsiaTheme="minorEastAsia"/>
        </w:rPr>
        <w:t xml:space="preserve"> which show</w:t>
      </w:r>
      <w:r w:rsidR="006E5F9F">
        <w:rPr>
          <w:rFonts w:eastAsiaTheme="minorEastAsia"/>
        </w:rPr>
        <w:t>s</w:t>
      </w:r>
      <w:r w:rsidR="00B30294">
        <w:rPr>
          <w:rFonts w:eastAsiaTheme="minorEastAsia"/>
        </w:rPr>
        <w:t xml:space="preserve"> the extent to which domestic activity is replaced by imports, and (iii) the </w:t>
      </w:r>
      <w:r w:rsidR="006E5F9F">
        <w:rPr>
          <w:rFonts w:eastAsiaTheme="minorEastAsia"/>
        </w:rPr>
        <w:t xml:space="preserve">export </w:t>
      </w:r>
      <w:r w:rsidR="00B30294">
        <w:rPr>
          <w:rFonts w:eastAsiaTheme="minorEastAsia"/>
        </w:rPr>
        <w:t>effect</w:t>
      </w:r>
      <w:r w:rsidR="006E5F9F">
        <w:rPr>
          <w:rFonts w:eastAsiaTheme="minorEastAsia"/>
        </w:rPr>
        <w:t xml:space="preserve">, which shows the contribution make by changes in </w:t>
      </w:r>
      <w:r w:rsidR="00B30294">
        <w:rPr>
          <w:rFonts w:eastAsiaTheme="minorEastAsia"/>
        </w:rPr>
        <w:t>exports.</w:t>
      </w:r>
      <w:r>
        <w:rPr>
          <w:rStyle w:val="FootnoteReference"/>
          <w:rFonts w:eastAsiaTheme="minorEastAsia"/>
        </w:rPr>
        <w:footnoteReference w:id="17"/>
      </w:r>
      <w:r w:rsidR="00B30294">
        <w:rPr>
          <w:rFonts w:eastAsiaTheme="minorEastAsia"/>
        </w:rPr>
        <w:t xml:space="preserve"> </w:t>
      </w:r>
    </w:p>
    <w:p w14:paraId="043A38E3" w14:textId="255BF9C9" w:rsidR="006E5F9F" w:rsidRDefault="006E5F9F">
      <w:pPr>
        <w:rPr>
          <w:rFonts w:eastAsiaTheme="minorEastAsia"/>
        </w:rPr>
      </w:pPr>
      <w:r>
        <w:rPr>
          <w:rFonts w:eastAsiaTheme="minorEastAsia"/>
        </w:rPr>
        <w:br w:type="page"/>
      </w:r>
    </w:p>
    <w:p w14:paraId="3841AEA5" w14:textId="53339A07" w:rsidR="00C24495" w:rsidRPr="00C24495" w:rsidRDefault="00C24495" w:rsidP="00C24495">
      <w:pPr>
        <w:rPr>
          <w:rFonts w:eastAsiaTheme="minorEastAsia"/>
          <w:i/>
          <w:sz w:val="22"/>
        </w:rPr>
      </w:pPr>
      <w:bookmarkStart w:id="47" w:name="_Ref505252519"/>
      <w:r w:rsidRPr="00C24495">
        <w:rPr>
          <w:i/>
          <w:sz w:val="22"/>
        </w:rPr>
        <w:lastRenderedPageBreak/>
        <w:t xml:space="preserve">Figure </w:t>
      </w:r>
      <w:r w:rsidRPr="00C24495">
        <w:rPr>
          <w:i/>
          <w:sz w:val="22"/>
        </w:rPr>
        <w:fldChar w:fldCharType="begin"/>
      </w:r>
      <w:r w:rsidRPr="00C24495">
        <w:rPr>
          <w:i/>
          <w:sz w:val="22"/>
        </w:rPr>
        <w:instrText xml:space="preserve"> SEQ Figure \* ARABIC </w:instrText>
      </w:r>
      <w:r w:rsidRPr="00C24495">
        <w:rPr>
          <w:i/>
          <w:sz w:val="22"/>
        </w:rPr>
        <w:fldChar w:fldCharType="separate"/>
      </w:r>
      <w:r w:rsidRPr="00C24495">
        <w:rPr>
          <w:i/>
          <w:noProof/>
          <w:sz w:val="22"/>
        </w:rPr>
        <w:t>9</w:t>
      </w:r>
      <w:r w:rsidRPr="00C24495">
        <w:rPr>
          <w:i/>
          <w:sz w:val="22"/>
        </w:rPr>
        <w:fldChar w:fldCharType="end"/>
      </w:r>
      <w:bookmarkEnd w:id="47"/>
      <w:r w:rsidRPr="00C24495">
        <w:rPr>
          <w:i/>
          <w:sz w:val="22"/>
        </w:rPr>
        <w:t>. The decomposition of the winning and losing industries</w:t>
      </w:r>
      <w:r w:rsidR="00215A7D">
        <w:rPr>
          <w:i/>
          <w:sz w:val="22"/>
        </w:rPr>
        <w:t xml:space="preserve"> in 2050</w:t>
      </w:r>
    </w:p>
    <w:p w14:paraId="4AD5D0C0" w14:textId="77777777" w:rsidR="00C24495" w:rsidRDefault="00C24495" w:rsidP="00C24495">
      <w:pPr>
        <w:rPr>
          <w:rFonts w:eastAsiaTheme="minorEastAsia"/>
        </w:rPr>
      </w:pPr>
      <w:r>
        <w:rPr>
          <w:noProof/>
          <w:lang w:eastAsia="en-ZA"/>
        </w:rPr>
        <w:drawing>
          <wp:inline distT="0" distB="0" distL="0" distR="0" wp14:anchorId="07B6234E" wp14:editId="47818AC3">
            <wp:extent cx="5572125" cy="3257550"/>
            <wp:effectExtent l="0" t="0" r="9525"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F0CC19C" w14:textId="1DF4E5E9" w:rsidR="006E5F9F" w:rsidRDefault="00C45C0E" w:rsidP="00B30294">
      <w:pPr>
        <w:jc w:val="both"/>
        <w:rPr>
          <w:rFonts w:eastAsiaTheme="minorEastAsia"/>
        </w:rPr>
      </w:pPr>
      <w:r>
        <w:rPr>
          <w:rFonts w:eastAsiaTheme="minorEastAsia"/>
        </w:rPr>
        <w:t>Comments regarding each of the industries shown in Figure 9 are given below.</w:t>
      </w:r>
    </w:p>
    <w:p w14:paraId="69AF0E44" w14:textId="0F229C3F" w:rsidR="00B30294" w:rsidRPr="001354A6" w:rsidRDefault="00B30294" w:rsidP="00D77123">
      <w:pPr>
        <w:jc w:val="both"/>
        <w:rPr>
          <w:rFonts w:eastAsiaTheme="minorEastAsia"/>
          <w:i/>
        </w:rPr>
      </w:pPr>
      <w:r w:rsidRPr="001354A6">
        <w:rPr>
          <w:rFonts w:eastAsiaTheme="minorEastAsia"/>
          <w:i/>
        </w:rPr>
        <w:t>Textile products, rank 1</w:t>
      </w:r>
      <w:r w:rsidR="005C2ACF">
        <w:rPr>
          <w:rFonts w:eastAsiaTheme="minorEastAsia"/>
          <w:i/>
        </w:rPr>
        <w:t xml:space="preserve"> and </w:t>
      </w:r>
      <w:r w:rsidR="005C2ACF" w:rsidRPr="001354A6">
        <w:rPr>
          <w:rFonts w:eastAsiaTheme="minorEastAsia"/>
          <w:i/>
        </w:rPr>
        <w:t>Fabricated metal products, rank 2</w:t>
      </w:r>
    </w:p>
    <w:p w14:paraId="45A1DC93" w14:textId="4CF7277C" w:rsidR="005C2ACF" w:rsidRDefault="005C2ACF" w:rsidP="005C4484">
      <w:pPr>
        <w:jc w:val="both"/>
      </w:pPr>
      <w:r>
        <w:t xml:space="preserve">These two industries </w:t>
      </w:r>
      <w:r w:rsidR="00B30294">
        <w:t xml:space="preserve">do not </w:t>
      </w:r>
      <w:r>
        <w:t xml:space="preserve">use agricultural products that are directly affected by the modelled aspects of climate change. </w:t>
      </w:r>
      <w:r w:rsidR="00B30294">
        <w:t xml:space="preserve">Although they lose </w:t>
      </w:r>
      <w:r>
        <w:t>very</w:t>
      </w:r>
      <w:r w:rsidR="00B30294">
        <w:t xml:space="preserve"> small part</w:t>
      </w:r>
      <w:r>
        <w:t>s</w:t>
      </w:r>
      <w:r w:rsidR="00B30294">
        <w:t xml:space="preserve"> of their local market activity</w:t>
      </w:r>
      <w:r>
        <w:t xml:space="preserve"> (the red bars shown in Figure 9)</w:t>
      </w:r>
      <w:r w:rsidR="00B30294">
        <w:t>, exacerbated by increased imports that replace some domestic production</w:t>
      </w:r>
      <w:r>
        <w:t xml:space="preserve"> (green bars)</w:t>
      </w:r>
      <w:r w:rsidR="00B30294">
        <w:t>, the industr</w:t>
      </w:r>
      <w:r>
        <w:t>ies</w:t>
      </w:r>
      <w:r w:rsidR="00B30294">
        <w:t xml:space="preserve"> </w:t>
      </w:r>
      <w:r>
        <w:t xml:space="preserve">gain </w:t>
      </w:r>
      <w:r w:rsidR="00B30294">
        <w:t>as a result of increased exports</w:t>
      </w:r>
      <w:r>
        <w:t xml:space="preserve"> (blue bars)</w:t>
      </w:r>
      <w:r w:rsidR="00B30294">
        <w:t>.</w:t>
      </w:r>
    </w:p>
    <w:p w14:paraId="61B71295" w14:textId="5DB1FAF8" w:rsidR="00B30294" w:rsidRDefault="005C2ACF" w:rsidP="005C4484">
      <w:pPr>
        <w:jc w:val="both"/>
        <w:rPr>
          <w:rFonts w:eastAsiaTheme="minorEastAsia"/>
        </w:rPr>
      </w:pPr>
      <w:r>
        <w:t>While there is a fall in total exports (see Figure 8)</w:t>
      </w:r>
      <w:r w:rsidR="00342959">
        <w:t>, some industries experience increased exports as a result of declining costs of production. For the textile and metals industries, their production costs are driven primarily by wages, which fall away significantly (see Figure 5).</w:t>
      </w:r>
      <w:r>
        <w:t xml:space="preserve"> </w:t>
      </w:r>
      <w:r w:rsidR="00B30294">
        <w:t xml:space="preserve"> </w:t>
      </w:r>
    </w:p>
    <w:p w14:paraId="4750D8B6" w14:textId="77777777" w:rsidR="00B30294" w:rsidRPr="001354A6" w:rsidRDefault="00B30294" w:rsidP="00D77123">
      <w:pPr>
        <w:pStyle w:val="Heading3"/>
        <w:numPr>
          <w:ilvl w:val="0"/>
          <w:numId w:val="0"/>
        </w:numPr>
        <w:ind w:left="720" w:hanging="720"/>
        <w:rPr>
          <w:rFonts w:eastAsiaTheme="minorEastAsia"/>
          <w:i/>
          <w:color w:val="auto"/>
        </w:rPr>
      </w:pPr>
      <w:bookmarkStart w:id="48" w:name="_Toc525042507"/>
      <w:r w:rsidRPr="001354A6">
        <w:rPr>
          <w:rFonts w:eastAsiaTheme="minorEastAsia"/>
          <w:i/>
          <w:color w:val="auto"/>
        </w:rPr>
        <w:t>Annuals products, rank 3</w:t>
      </w:r>
      <w:bookmarkEnd w:id="48"/>
    </w:p>
    <w:p w14:paraId="03969E41" w14:textId="02C6CF99" w:rsidR="00B30294" w:rsidRDefault="00B30294" w:rsidP="005C4484">
      <w:pPr>
        <w:jc w:val="both"/>
        <w:rPr>
          <w:rFonts w:eastAsiaTheme="minorEastAsia"/>
        </w:rPr>
      </w:pPr>
      <w:r>
        <w:rPr>
          <w:rFonts w:eastAsiaTheme="minorEastAsia"/>
        </w:rPr>
        <w:t>This sector has two sources of positive growth in the simulations</w:t>
      </w:r>
      <w:r w:rsidR="00342959">
        <w:rPr>
          <w:rFonts w:eastAsiaTheme="minorEastAsia"/>
        </w:rPr>
        <w:t>: (i) it</w:t>
      </w:r>
      <w:r>
        <w:rPr>
          <w:rFonts w:eastAsiaTheme="minorEastAsia"/>
        </w:rPr>
        <w:t xml:space="preserve"> benefits from its intermediate linkages to textile products as </w:t>
      </w:r>
      <w:r w:rsidR="00342959">
        <w:rPr>
          <w:rFonts w:eastAsiaTheme="minorEastAsia"/>
        </w:rPr>
        <w:t xml:space="preserve">an </w:t>
      </w:r>
      <w:r>
        <w:rPr>
          <w:rFonts w:eastAsiaTheme="minorEastAsia"/>
        </w:rPr>
        <w:t>intermediate input</w:t>
      </w:r>
      <w:r w:rsidR="00342959">
        <w:rPr>
          <w:rFonts w:eastAsiaTheme="minorEastAsia"/>
        </w:rPr>
        <w:t xml:space="preserve">; and (ii) </w:t>
      </w:r>
      <w:r>
        <w:rPr>
          <w:rFonts w:eastAsiaTheme="minorEastAsia"/>
        </w:rPr>
        <w:t>increased export sales.</w:t>
      </w:r>
    </w:p>
    <w:p w14:paraId="4441D8D0" w14:textId="77777777" w:rsidR="00B30294" w:rsidRPr="001354A6" w:rsidRDefault="00B30294" w:rsidP="00D77123">
      <w:pPr>
        <w:pStyle w:val="Heading3"/>
        <w:numPr>
          <w:ilvl w:val="0"/>
          <w:numId w:val="0"/>
        </w:numPr>
        <w:ind w:left="720" w:hanging="720"/>
        <w:rPr>
          <w:rFonts w:eastAsiaTheme="minorEastAsia"/>
          <w:i/>
          <w:color w:val="auto"/>
        </w:rPr>
      </w:pPr>
      <w:bookmarkStart w:id="49" w:name="_Toc525042508"/>
      <w:r w:rsidRPr="001354A6">
        <w:rPr>
          <w:rFonts w:eastAsiaTheme="minorEastAsia"/>
          <w:i/>
          <w:color w:val="auto"/>
        </w:rPr>
        <w:t>Wearing and Apparel products, rank 4</w:t>
      </w:r>
      <w:bookmarkEnd w:id="49"/>
    </w:p>
    <w:p w14:paraId="2D277C0E" w14:textId="24944AFF" w:rsidR="00B30294" w:rsidRPr="003F60E1" w:rsidRDefault="00B30294" w:rsidP="005C4484">
      <w:pPr>
        <w:jc w:val="both"/>
      </w:pPr>
      <w:r>
        <w:t xml:space="preserve">Wearing and Apparel products are significant exporters of commodities in the Ugandan context, and </w:t>
      </w:r>
      <w:r w:rsidR="00342959">
        <w:t>Figure 9</w:t>
      </w:r>
      <w:r>
        <w:t xml:space="preserve"> shows that increased exports is a strong driver of the increase in total output, despite decreased local activity (drops in household  and intermediate demands) and some import replacement of local production. </w:t>
      </w:r>
    </w:p>
    <w:p w14:paraId="067282F7" w14:textId="77777777" w:rsidR="00B30294" w:rsidRPr="001354A6" w:rsidRDefault="00B30294" w:rsidP="00D77123">
      <w:pPr>
        <w:pStyle w:val="Heading3"/>
        <w:numPr>
          <w:ilvl w:val="0"/>
          <w:numId w:val="0"/>
        </w:numPr>
        <w:ind w:left="720" w:hanging="720"/>
        <w:rPr>
          <w:rFonts w:eastAsiaTheme="minorEastAsia"/>
          <w:i/>
          <w:color w:val="auto"/>
        </w:rPr>
      </w:pPr>
      <w:bookmarkStart w:id="50" w:name="_Toc525042509"/>
      <w:r w:rsidRPr="001354A6">
        <w:rPr>
          <w:rFonts w:eastAsiaTheme="minorEastAsia"/>
          <w:i/>
          <w:color w:val="auto"/>
        </w:rPr>
        <w:lastRenderedPageBreak/>
        <w:t>Livestock products, 6</w:t>
      </w:r>
      <w:r w:rsidRPr="001354A6">
        <w:rPr>
          <w:rFonts w:eastAsiaTheme="minorEastAsia"/>
          <w:i/>
          <w:color w:val="auto"/>
          <w:vertAlign w:val="superscript"/>
        </w:rPr>
        <w:t>th</w:t>
      </w:r>
      <w:r w:rsidRPr="001354A6">
        <w:rPr>
          <w:rFonts w:eastAsiaTheme="minorEastAsia"/>
          <w:i/>
          <w:color w:val="auto"/>
        </w:rPr>
        <w:t xml:space="preserve"> worst loser</w:t>
      </w:r>
      <w:bookmarkEnd w:id="50"/>
    </w:p>
    <w:p w14:paraId="7216FC25" w14:textId="53E58611" w:rsidR="00B30294" w:rsidRDefault="00B30294" w:rsidP="005C4484">
      <w:pPr>
        <w:jc w:val="both"/>
        <w:rPr>
          <w:rFonts w:eastAsiaTheme="minorEastAsia"/>
        </w:rPr>
      </w:pPr>
      <w:r>
        <w:rPr>
          <w:rFonts w:eastAsiaTheme="minorEastAsia"/>
        </w:rPr>
        <w:t xml:space="preserve">Two strong forces are causing the decrease in total output of the livestock industry: (i) a </w:t>
      </w:r>
      <w:r w:rsidR="00342959">
        <w:rPr>
          <w:rFonts w:eastAsiaTheme="minorEastAsia"/>
        </w:rPr>
        <w:t xml:space="preserve">decline (relative to baseline levels) </w:t>
      </w:r>
      <w:r>
        <w:rPr>
          <w:rFonts w:eastAsiaTheme="minorEastAsia"/>
        </w:rPr>
        <w:t xml:space="preserve">in </w:t>
      </w:r>
      <w:r w:rsidR="00342959">
        <w:rPr>
          <w:rFonts w:eastAsiaTheme="minorEastAsia"/>
        </w:rPr>
        <w:t xml:space="preserve">demand; and </w:t>
      </w:r>
      <w:r>
        <w:rPr>
          <w:rFonts w:eastAsiaTheme="minorEastAsia"/>
        </w:rPr>
        <w:t>(ii)</w:t>
      </w:r>
      <w:r w:rsidR="00342959">
        <w:rPr>
          <w:rFonts w:eastAsiaTheme="minorEastAsia"/>
        </w:rPr>
        <w:t xml:space="preserve"> a</w:t>
      </w:r>
      <w:r>
        <w:rPr>
          <w:rFonts w:eastAsiaTheme="minorEastAsia"/>
        </w:rPr>
        <w:t xml:space="preserve"> strong decrease in foreign demand</w:t>
      </w:r>
      <w:r w:rsidR="00342959">
        <w:rPr>
          <w:rFonts w:eastAsiaTheme="minorEastAsia"/>
        </w:rPr>
        <w:t>. This i</w:t>
      </w:r>
      <w:r>
        <w:rPr>
          <w:rFonts w:eastAsiaTheme="minorEastAsia"/>
        </w:rPr>
        <w:t xml:space="preserve">ndustry is strongly reliant upon maize, cassava and root crops </w:t>
      </w:r>
      <w:r w:rsidR="00D02994">
        <w:rPr>
          <w:rFonts w:eastAsiaTheme="minorEastAsia"/>
        </w:rPr>
        <w:t xml:space="preserve">for stock-feed. </w:t>
      </w:r>
      <w:r>
        <w:rPr>
          <w:rFonts w:eastAsiaTheme="minorEastAsia"/>
        </w:rPr>
        <w:t>It is also a significant exporter</w:t>
      </w:r>
      <w:r w:rsidR="00D02994">
        <w:rPr>
          <w:rFonts w:eastAsiaTheme="minorEastAsia"/>
        </w:rPr>
        <w:t>,</w:t>
      </w:r>
      <w:r>
        <w:rPr>
          <w:rFonts w:eastAsiaTheme="minorEastAsia"/>
        </w:rPr>
        <w:t xml:space="preserve"> and with the higher input costs the industry becomes less competitive </w:t>
      </w:r>
      <w:r w:rsidR="00D02994">
        <w:rPr>
          <w:rFonts w:eastAsiaTheme="minorEastAsia"/>
        </w:rPr>
        <w:t>on world markets</w:t>
      </w:r>
      <w:r>
        <w:rPr>
          <w:rFonts w:eastAsiaTheme="minorEastAsia"/>
        </w:rPr>
        <w:t xml:space="preserve">, so that exports decrease. </w:t>
      </w:r>
    </w:p>
    <w:p w14:paraId="76D3FD0B" w14:textId="77777777" w:rsidR="00B30294" w:rsidRPr="001354A6" w:rsidRDefault="00B30294" w:rsidP="00D77123">
      <w:pPr>
        <w:pStyle w:val="Heading3"/>
        <w:numPr>
          <w:ilvl w:val="0"/>
          <w:numId w:val="0"/>
        </w:numPr>
        <w:ind w:left="720" w:hanging="720"/>
        <w:rPr>
          <w:rFonts w:eastAsiaTheme="minorEastAsia"/>
          <w:i/>
          <w:color w:val="auto"/>
        </w:rPr>
      </w:pPr>
      <w:bookmarkStart w:id="51" w:name="_Toc525042510"/>
      <w:r w:rsidRPr="001354A6">
        <w:rPr>
          <w:rFonts w:eastAsiaTheme="minorEastAsia"/>
          <w:i/>
          <w:color w:val="auto"/>
        </w:rPr>
        <w:t>Food and Beverage products, 5</w:t>
      </w:r>
      <w:r w:rsidRPr="001354A6">
        <w:rPr>
          <w:rFonts w:eastAsiaTheme="minorEastAsia"/>
          <w:i/>
          <w:color w:val="auto"/>
          <w:vertAlign w:val="superscript"/>
        </w:rPr>
        <w:t>th</w:t>
      </w:r>
      <w:r w:rsidRPr="001354A6">
        <w:rPr>
          <w:rFonts w:eastAsiaTheme="minorEastAsia"/>
          <w:i/>
          <w:color w:val="auto"/>
        </w:rPr>
        <w:t xml:space="preserve"> worst loser</w:t>
      </w:r>
      <w:bookmarkEnd w:id="51"/>
    </w:p>
    <w:p w14:paraId="3D9F7486" w14:textId="68040F64" w:rsidR="00B30294" w:rsidRDefault="00B30294" w:rsidP="005C4484">
      <w:pPr>
        <w:jc w:val="both"/>
        <w:rPr>
          <w:rFonts w:eastAsiaTheme="minorEastAsia"/>
        </w:rPr>
      </w:pPr>
      <w:r>
        <w:rPr>
          <w:rFonts w:eastAsiaTheme="minorEastAsia"/>
        </w:rPr>
        <w:t>Food and Beverages is the one industry in the list of ten that we report on here which is not affected by</w:t>
      </w:r>
      <w:r w:rsidR="00D02994">
        <w:rPr>
          <w:rFonts w:eastAsiaTheme="minorEastAsia"/>
        </w:rPr>
        <w:t xml:space="preserve"> changes in</w:t>
      </w:r>
      <w:r>
        <w:rPr>
          <w:rFonts w:eastAsiaTheme="minorEastAsia"/>
        </w:rPr>
        <w:t xml:space="preserve"> export demand. The total negative effect on the industry comes from within, namely a decrease in local demand. Local demand for food and beverages come from some intermediate demand by various industries, but mostly from household demand, which constitutes almost 90 </w:t>
      </w:r>
      <w:r w:rsidR="00BA2F9C">
        <w:rPr>
          <w:rFonts w:eastAsiaTheme="minorEastAsia"/>
        </w:rPr>
        <w:t>per cent</w:t>
      </w:r>
      <w:r>
        <w:rPr>
          <w:rFonts w:eastAsiaTheme="minorEastAsia"/>
        </w:rPr>
        <w:t xml:space="preserve"> of local </w:t>
      </w:r>
      <w:commentRangeStart w:id="52"/>
      <w:r>
        <w:rPr>
          <w:rFonts w:eastAsiaTheme="minorEastAsia"/>
        </w:rPr>
        <w:t>demand</w:t>
      </w:r>
      <w:commentRangeEnd w:id="52"/>
      <w:r w:rsidR="00D02994">
        <w:rPr>
          <w:rStyle w:val="CommentReference"/>
        </w:rPr>
        <w:commentReference w:id="52"/>
      </w:r>
      <w:r>
        <w:rPr>
          <w:rFonts w:eastAsiaTheme="minorEastAsia"/>
        </w:rPr>
        <w:t>.</w:t>
      </w:r>
    </w:p>
    <w:p w14:paraId="29461751" w14:textId="77777777" w:rsidR="00B30294" w:rsidRDefault="00B30294" w:rsidP="005C4484">
      <w:pPr>
        <w:jc w:val="both"/>
        <w:rPr>
          <w:rFonts w:eastAsiaTheme="minorEastAsia"/>
        </w:rPr>
      </w:pPr>
      <w:r>
        <w:rPr>
          <w:rFonts w:eastAsiaTheme="minorEastAsia"/>
        </w:rPr>
        <w:t xml:space="preserve">The local market demands less food and beverages because its output price rises as a result of higher input costs. The industry is strongly linked to the whole agricultural sector which is shocked in the model simulations. </w:t>
      </w:r>
    </w:p>
    <w:p w14:paraId="00F941B7" w14:textId="77777777" w:rsidR="00B30294" w:rsidRPr="001354A6" w:rsidRDefault="00B30294" w:rsidP="00D77123">
      <w:pPr>
        <w:pStyle w:val="Heading3"/>
        <w:numPr>
          <w:ilvl w:val="0"/>
          <w:numId w:val="0"/>
        </w:numPr>
        <w:ind w:left="720" w:hanging="720"/>
        <w:rPr>
          <w:rFonts w:eastAsiaTheme="minorEastAsia"/>
          <w:i/>
          <w:color w:val="auto"/>
        </w:rPr>
      </w:pPr>
      <w:bookmarkStart w:id="53" w:name="_Toc525042511"/>
      <w:r w:rsidRPr="001354A6">
        <w:rPr>
          <w:rFonts w:eastAsiaTheme="minorEastAsia"/>
          <w:i/>
          <w:color w:val="auto"/>
        </w:rPr>
        <w:t>Seafood products, 4</w:t>
      </w:r>
      <w:r w:rsidRPr="001354A6">
        <w:rPr>
          <w:rFonts w:eastAsiaTheme="minorEastAsia"/>
          <w:i/>
          <w:color w:val="auto"/>
          <w:vertAlign w:val="superscript"/>
        </w:rPr>
        <w:t>th</w:t>
      </w:r>
      <w:r w:rsidRPr="001354A6">
        <w:rPr>
          <w:rFonts w:eastAsiaTheme="minorEastAsia"/>
          <w:i/>
          <w:color w:val="auto"/>
        </w:rPr>
        <w:t xml:space="preserve"> worst loser</w:t>
      </w:r>
      <w:bookmarkEnd w:id="53"/>
    </w:p>
    <w:p w14:paraId="755AC14D" w14:textId="51537724" w:rsidR="00B30294" w:rsidRDefault="00B30294" w:rsidP="005C4484">
      <w:pPr>
        <w:jc w:val="both"/>
        <w:rPr>
          <w:rFonts w:eastAsiaTheme="minorEastAsia"/>
        </w:rPr>
      </w:pPr>
      <w:r>
        <w:rPr>
          <w:rFonts w:eastAsiaTheme="minorEastAsia"/>
        </w:rPr>
        <w:t>This industry buys all of its inputs from the fishing industry, which is directly shocked in the model simulations. Its inputs become more expens</w:t>
      </w:r>
      <w:r w:rsidR="00E53C54">
        <w:rPr>
          <w:rFonts w:eastAsiaTheme="minorEastAsia"/>
        </w:rPr>
        <w:t>i</w:t>
      </w:r>
      <w:r>
        <w:rPr>
          <w:rFonts w:eastAsiaTheme="minorEastAsia"/>
        </w:rPr>
        <w:t xml:space="preserve">ve, </w:t>
      </w:r>
      <w:r w:rsidR="00E53C54">
        <w:rPr>
          <w:rFonts w:eastAsiaTheme="minorEastAsia"/>
        </w:rPr>
        <w:t xml:space="preserve">causing a decrease in </w:t>
      </w:r>
      <w:r>
        <w:rPr>
          <w:rFonts w:eastAsiaTheme="minorEastAsia"/>
        </w:rPr>
        <w:t>exports</w:t>
      </w:r>
      <w:r w:rsidR="00E53C54">
        <w:rPr>
          <w:rFonts w:eastAsiaTheme="minorEastAsia"/>
        </w:rPr>
        <w:t xml:space="preserve"> of the commodity</w:t>
      </w:r>
      <w:r>
        <w:rPr>
          <w:rFonts w:eastAsiaTheme="minorEastAsia"/>
        </w:rPr>
        <w:t xml:space="preserve">, which mostly explain the total decrease in </w:t>
      </w:r>
      <w:r w:rsidR="00E53C54">
        <w:rPr>
          <w:rFonts w:eastAsiaTheme="minorEastAsia"/>
        </w:rPr>
        <w:t xml:space="preserve">its </w:t>
      </w:r>
      <w:r>
        <w:rPr>
          <w:rFonts w:eastAsiaTheme="minorEastAsia"/>
        </w:rPr>
        <w:t xml:space="preserve">output. </w:t>
      </w:r>
    </w:p>
    <w:p w14:paraId="35B68D2D" w14:textId="77777777" w:rsidR="00B30294" w:rsidRPr="001354A6" w:rsidRDefault="00B30294" w:rsidP="00D77123">
      <w:pPr>
        <w:pStyle w:val="Heading3"/>
        <w:numPr>
          <w:ilvl w:val="0"/>
          <w:numId w:val="0"/>
        </w:numPr>
        <w:ind w:left="720" w:hanging="720"/>
        <w:rPr>
          <w:rFonts w:eastAsiaTheme="minorEastAsia"/>
          <w:i/>
          <w:color w:val="auto"/>
        </w:rPr>
      </w:pPr>
      <w:bookmarkStart w:id="54" w:name="_Toc525042512"/>
      <w:r w:rsidRPr="001354A6">
        <w:rPr>
          <w:rFonts w:eastAsiaTheme="minorEastAsia"/>
          <w:i/>
          <w:color w:val="auto"/>
        </w:rPr>
        <w:t>Coffee products, 3</w:t>
      </w:r>
      <w:r w:rsidRPr="001354A6">
        <w:rPr>
          <w:rFonts w:eastAsiaTheme="minorEastAsia"/>
          <w:i/>
          <w:color w:val="auto"/>
          <w:vertAlign w:val="superscript"/>
        </w:rPr>
        <w:t>rd</w:t>
      </w:r>
      <w:r w:rsidRPr="001354A6">
        <w:rPr>
          <w:rFonts w:eastAsiaTheme="minorEastAsia"/>
          <w:i/>
          <w:color w:val="auto"/>
        </w:rPr>
        <w:t xml:space="preserve"> worst loser</w:t>
      </w:r>
      <w:bookmarkEnd w:id="54"/>
    </w:p>
    <w:p w14:paraId="3752D36F" w14:textId="77777777" w:rsidR="00B30294" w:rsidRDefault="00B30294" w:rsidP="005C4484">
      <w:pPr>
        <w:jc w:val="both"/>
        <w:rPr>
          <w:rFonts w:eastAsiaTheme="minorEastAsia"/>
        </w:rPr>
      </w:pPr>
      <w:r>
        <w:rPr>
          <w:rFonts w:eastAsiaTheme="minorEastAsia"/>
        </w:rPr>
        <w:t xml:space="preserve">Coffee products are similar to seafood: it has one large intermediate input, namely raw coffee beans, which are directly affected by the shocks. Coffee production costs increase with an adverse effect on exports, which drive total output completely. </w:t>
      </w:r>
    </w:p>
    <w:p w14:paraId="7F862C3A" w14:textId="77777777" w:rsidR="00B30294" w:rsidRPr="001354A6" w:rsidRDefault="00B30294" w:rsidP="00D77123">
      <w:pPr>
        <w:pStyle w:val="Heading3"/>
        <w:numPr>
          <w:ilvl w:val="0"/>
          <w:numId w:val="0"/>
        </w:numPr>
        <w:ind w:left="720" w:hanging="720"/>
        <w:rPr>
          <w:rFonts w:eastAsiaTheme="minorEastAsia"/>
          <w:i/>
          <w:color w:val="auto"/>
        </w:rPr>
      </w:pPr>
      <w:bookmarkStart w:id="55" w:name="_Toc525042513"/>
      <w:r w:rsidRPr="001354A6">
        <w:rPr>
          <w:rFonts w:eastAsiaTheme="minorEastAsia"/>
          <w:i/>
          <w:color w:val="auto"/>
        </w:rPr>
        <w:t>Grain products, 2</w:t>
      </w:r>
      <w:r w:rsidRPr="001354A6">
        <w:rPr>
          <w:rFonts w:eastAsiaTheme="minorEastAsia"/>
          <w:i/>
          <w:color w:val="auto"/>
          <w:vertAlign w:val="superscript"/>
        </w:rPr>
        <w:t>nd</w:t>
      </w:r>
      <w:r w:rsidRPr="001354A6">
        <w:rPr>
          <w:rFonts w:eastAsiaTheme="minorEastAsia"/>
          <w:i/>
          <w:color w:val="auto"/>
        </w:rPr>
        <w:t xml:space="preserve"> worst loser</w:t>
      </w:r>
      <w:bookmarkEnd w:id="55"/>
    </w:p>
    <w:p w14:paraId="595BA448" w14:textId="06FA7440" w:rsidR="00B30294" w:rsidRDefault="00B30294" w:rsidP="005C4484">
      <w:pPr>
        <w:jc w:val="both"/>
      </w:pPr>
      <w:r>
        <w:t xml:space="preserve">Grain products use large proportions of maize, cassava, sorghum and other cereals as inputs into its production process, all of whom are adversely affected by the climate change simulations that we have run. The </w:t>
      </w:r>
      <w:r w:rsidRPr="00E53C54">
        <w:t xml:space="preserve">decomposition in </w:t>
      </w:r>
      <w:r w:rsidR="00E53C54" w:rsidRPr="00E53C54">
        <w:fldChar w:fldCharType="begin"/>
      </w:r>
      <w:r w:rsidR="00E53C54" w:rsidRPr="00E53C54">
        <w:instrText xml:space="preserve"> REF _Ref505252519 \h </w:instrText>
      </w:r>
      <w:r w:rsidR="00E53C54" w:rsidRPr="00BD6F83">
        <w:instrText xml:space="preserve"> \* MERGEFORMAT </w:instrText>
      </w:r>
      <w:r w:rsidR="00E53C54" w:rsidRPr="00E53C54">
        <w:fldChar w:fldCharType="separate"/>
      </w:r>
      <w:r w:rsidR="00E53C54" w:rsidRPr="00BD6F83">
        <w:rPr>
          <w:sz w:val="22"/>
        </w:rPr>
        <w:t xml:space="preserve">Figure </w:t>
      </w:r>
      <w:r w:rsidR="00E53C54" w:rsidRPr="00BD6F83">
        <w:rPr>
          <w:noProof/>
          <w:sz w:val="22"/>
        </w:rPr>
        <w:t>9</w:t>
      </w:r>
      <w:r w:rsidR="00E53C54" w:rsidRPr="00E53C54">
        <w:fldChar w:fldCharType="end"/>
      </w:r>
      <w:r w:rsidRPr="00E53C54">
        <w:t xml:space="preserve"> shows two sources of </w:t>
      </w:r>
      <w:r w:rsidR="00E53C54">
        <w:t>deterioration in</w:t>
      </w:r>
      <w:r w:rsidRPr="00E53C54">
        <w:t xml:space="preserve"> this industry: (i) local</w:t>
      </w:r>
      <w:r>
        <w:t xml:space="preserve"> demand decreases, and this comes mostly from the livestock and food industries, and (ii) exports decrease as a result of higher output prices.  </w:t>
      </w:r>
    </w:p>
    <w:p w14:paraId="2BBA37B2" w14:textId="77777777" w:rsidR="00B30294" w:rsidRPr="001354A6" w:rsidRDefault="00B30294" w:rsidP="00D77123">
      <w:pPr>
        <w:pStyle w:val="Heading3"/>
        <w:numPr>
          <w:ilvl w:val="0"/>
          <w:numId w:val="0"/>
        </w:numPr>
        <w:ind w:left="720" w:hanging="720"/>
        <w:rPr>
          <w:rFonts w:eastAsiaTheme="minorEastAsia"/>
          <w:i/>
          <w:color w:val="auto"/>
        </w:rPr>
      </w:pPr>
      <w:bookmarkStart w:id="56" w:name="_Toc525042514"/>
      <w:r w:rsidRPr="001354A6">
        <w:rPr>
          <w:rFonts w:eastAsiaTheme="minorEastAsia"/>
          <w:i/>
          <w:color w:val="auto"/>
        </w:rPr>
        <w:t>Oils and fats products, biggest loser</w:t>
      </w:r>
      <w:bookmarkEnd w:id="56"/>
    </w:p>
    <w:p w14:paraId="21F783D4" w14:textId="6A835C3C" w:rsidR="00B30294" w:rsidRDefault="00B30294" w:rsidP="005C4484">
      <w:pPr>
        <w:jc w:val="both"/>
      </w:pPr>
      <w:r>
        <w:t xml:space="preserve">Oils and fats sells to most other industries as intermediate input, but mostly to the food and beverage industry, which we have seen decreases by 3.5 per cent over the forecast period, relative to the baseline. The main factor in its </w:t>
      </w:r>
      <w:r w:rsidR="00D02994">
        <w:t>decline (relative to baseline levels)</w:t>
      </w:r>
      <w:r>
        <w:t xml:space="preserve">, however, is again exports, which decline by 9 per cent. </w:t>
      </w:r>
    </w:p>
    <w:p w14:paraId="2EBA8E46" w14:textId="77777777" w:rsidR="00623932" w:rsidRPr="00CC2FEA" w:rsidRDefault="00623932" w:rsidP="005C4484">
      <w:pPr>
        <w:jc w:val="both"/>
      </w:pPr>
    </w:p>
    <w:p w14:paraId="11BFC2A2" w14:textId="77777777" w:rsidR="00B30294" w:rsidRDefault="00B30294" w:rsidP="00B30294">
      <w:pPr>
        <w:pStyle w:val="Heading1"/>
        <w:rPr>
          <w:rFonts w:eastAsiaTheme="minorEastAsia"/>
        </w:rPr>
      </w:pPr>
      <w:bookmarkStart w:id="57" w:name="_Toc525042515"/>
      <w:r>
        <w:rPr>
          <w:rFonts w:eastAsiaTheme="minorEastAsia"/>
        </w:rPr>
        <w:lastRenderedPageBreak/>
        <w:t>Conclusion</w:t>
      </w:r>
      <w:bookmarkEnd w:id="57"/>
    </w:p>
    <w:p w14:paraId="7AC5EB66" w14:textId="70F590D5" w:rsidR="00B30294" w:rsidRDefault="00B30294" w:rsidP="00B30294">
      <w:pPr>
        <w:jc w:val="both"/>
      </w:pPr>
      <w:r>
        <w:t xml:space="preserve">Environmental and agricultural economists </w:t>
      </w:r>
      <w:r w:rsidR="00D02994">
        <w:t xml:space="preserve">have </w:t>
      </w:r>
      <w:r>
        <w:t xml:space="preserve">forecast severe decreases in </w:t>
      </w:r>
      <w:r w:rsidR="00D02994">
        <w:t xml:space="preserve">Ugandan production </w:t>
      </w:r>
      <w:r>
        <w:t>of coffee, wheat, maize, sorghum, other cereals, pulses, root crops and fishing. The</w:t>
      </w:r>
      <w:r w:rsidR="00D02994">
        <w:t xml:space="preserve"> effects of these decreases have been </w:t>
      </w:r>
      <w:r>
        <w:t xml:space="preserve">simulated </w:t>
      </w:r>
      <w:r w:rsidR="00D02994">
        <w:t xml:space="preserve">using the </w:t>
      </w:r>
      <w:r w:rsidR="007538A9">
        <w:t>U</w:t>
      </w:r>
      <w:r w:rsidR="00D02994">
        <w:t>g</w:t>
      </w:r>
      <w:r w:rsidR="007538A9">
        <w:t>AGE</w:t>
      </w:r>
      <w:r w:rsidR="00D02994">
        <w:t xml:space="preserve"> model. The modelling shows that f</w:t>
      </w:r>
      <w:r>
        <w:t xml:space="preserve">ood production </w:t>
      </w:r>
      <w:r w:rsidR="00D02994">
        <w:t xml:space="preserve">will </w:t>
      </w:r>
      <w:r>
        <w:t xml:space="preserve">decrease by 3.3 per cent </w:t>
      </w:r>
      <w:r w:rsidR="00D02994">
        <w:t>relative to baseline levels in 2050</w:t>
      </w:r>
      <w:r>
        <w:t xml:space="preserve">. The shocked agricultural crops form about 12 per cent of total output, and their average decline is forecast to be 16.5 per cent. That would give a direct effect of 2 per cent decrease in total output (.12*16.5). The model results show a decrease of 4.12 in real GDP, which is easily explained if we add the various indirect changes that result from the direct shocks, such as livestock (-8.6%), oils and fats products (-10.5%), seafood products (-9.8%), grain products (-10.3%), and coffee products (-9.3%), to name only a few.  </w:t>
      </w:r>
    </w:p>
    <w:p w14:paraId="15E4A2F1" w14:textId="1D650D0F" w:rsidR="00B30294" w:rsidRDefault="00B30294" w:rsidP="00B30294">
      <w:pPr>
        <w:jc w:val="both"/>
      </w:pPr>
      <w:r>
        <w:t xml:space="preserve">In the introduction to the paper we saw that food security consists of four elements, namely availability, access, utility and stability. The literature reports that many Ugandans are constantly without enough food to eat, throughout the country. If their population grow at 3 per cent per annum in the long-run, while agricultural production declines severely as a result of climate change, resulting in a decline in food production, then the food security position of Uganda would certainly </w:t>
      </w:r>
      <w:r w:rsidR="00D02994">
        <w:t>worsen</w:t>
      </w:r>
      <w:r>
        <w:t xml:space="preserve">. </w:t>
      </w:r>
    </w:p>
    <w:p w14:paraId="7F4BA6D4" w14:textId="77777777" w:rsidR="00B30294" w:rsidRDefault="00B30294" w:rsidP="00B30294">
      <w:pPr>
        <w:jc w:val="both"/>
      </w:pPr>
      <w:r>
        <w:t>At least two portions of good news comes from the model: (i) even though the ten agricultural crops decreased in production between 5 and 63 per cent below the baseline values, total food and beverage products only decreased by 3.3 per cent below the baseline, and (ii) the production of annuals, textile products and wearing apparel on the one hand, and fabricated metal products on the other, increased.</w:t>
      </w:r>
    </w:p>
    <w:p w14:paraId="144C0476" w14:textId="4369A898" w:rsidR="00B30294" w:rsidRDefault="00B30294" w:rsidP="00B30294">
      <w:pPr>
        <w:jc w:val="both"/>
      </w:pPr>
      <w:r>
        <w:t xml:space="preserve">The model showed that the adverse weather conditions in the wheat industry would cause almost a total switch to imports of wheat as input into the production of grain and other products. This addresses the availability of food, to some extent. Local droughts do not necessarily mean that Uganda could not have food available; they should always be able to import food. However, access to food includes the ability to afford and buy the food. With real GDP decreasing more than four </w:t>
      </w:r>
      <w:r w:rsidR="001354A6">
        <w:t>per</w:t>
      </w:r>
      <w:r w:rsidR="00BA2F9C">
        <w:t>cent</w:t>
      </w:r>
      <w:r>
        <w:t xml:space="preserve">age points below the baseline forecast, the country is moving backwards and its citizens become worse off in the longer run, and less able to afford enough food. </w:t>
      </w:r>
    </w:p>
    <w:p w14:paraId="4353D6A5" w14:textId="77777777" w:rsidR="00B30294" w:rsidRDefault="00B30294" w:rsidP="00B30294">
      <w:pPr>
        <w:jc w:val="both"/>
      </w:pPr>
      <w:r>
        <w:t xml:space="preserve">The second point of good news points, in our view, to a possible solution for the food security problem in Uganda. Annuals have been forecast by the literature not to be affected adversely by climate change. Our modelling results show a strong switch towards the production of annuals, resulting in expansions in the textile and wearing and apparel sectors. We also saw increases in fabricated metals production. Factors of production move out of the affected industries and into other industries that fare better and are able to expand. </w:t>
      </w:r>
    </w:p>
    <w:p w14:paraId="025E3F21" w14:textId="42264F1C" w:rsidR="00B30294" w:rsidRDefault="00D02994" w:rsidP="00B30294">
      <w:pPr>
        <w:jc w:val="both"/>
      </w:pPr>
      <w:r>
        <w:lastRenderedPageBreak/>
        <w:t xml:space="preserve">All of this </w:t>
      </w:r>
      <w:r w:rsidR="00B30294">
        <w:t xml:space="preserve">provides an opportunity for the country and its policy makers. Uganda should rely less on agriculture and diversify its production activities to include other </w:t>
      </w:r>
      <w:r>
        <w:t>crops that</w:t>
      </w:r>
      <w:r w:rsidR="00B30294">
        <w:t xml:space="preserve"> are less vulnerable to climatic changes, and stimulate the manufacturing industry. </w:t>
      </w:r>
    </w:p>
    <w:p w14:paraId="74A87787" w14:textId="7F9F57BD" w:rsidR="00B30294" w:rsidRDefault="00B30294" w:rsidP="00B30294">
      <w:pPr>
        <w:jc w:val="both"/>
      </w:pPr>
      <w:r>
        <w:t xml:space="preserve">What about the rain on Victoria Lake? We do not have irrigated agriculture as a separate industry in our model, and hence we did not include the amount of rain directly into the modelling simulations. Further research could be done by splitting the agricultural sector into irrigated agriculture and dryland agriculture, and specifically adding water supply and use data to the model. We could then repeat the simulations done but allow the model to switch from dryland to </w:t>
      </w:r>
      <w:r w:rsidR="00F2505B">
        <w:t>irrigate</w:t>
      </w:r>
      <w:r>
        <w:t xml:space="preserve"> agriculture under conditions of severe drought. </w:t>
      </w:r>
    </w:p>
    <w:p w14:paraId="7DFE6C21" w14:textId="77777777" w:rsidR="00B30294" w:rsidRPr="0008691A" w:rsidRDefault="00B30294" w:rsidP="00B30294">
      <w:pPr>
        <w:jc w:val="both"/>
      </w:pPr>
      <w:r>
        <w:t xml:space="preserve">Uganda has access to ample water from its lakes and rivers, but a very insignificant part of the country is connected to these water resources through pipes and formal infrastructure. Apart from the diversification of industry, the government would make the citizens much less vulnerable to climate change effects if the water infrastructure is developed.  All four aspects of food security would be addressed and improved in this case. </w:t>
      </w:r>
    </w:p>
    <w:p w14:paraId="1ED57A23" w14:textId="77777777" w:rsidR="00301A57" w:rsidRPr="005F06F1" w:rsidRDefault="00301A57" w:rsidP="005F06F1">
      <w:pPr>
        <w:pStyle w:val="Heading1"/>
        <w:rPr>
          <w:shd w:val="clear" w:color="auto" w:fill="FFFFFF"/>
        </w:rPr>
      </w:pPr>
      <w:bookmarkStart w:id="58" w:name="_Toc525042516"/>
      <w:r w:rsidRPr="00745BCE">
        <w:rPr>
          <w:shd w:val="clear" w:color="auto" w:fill="FFFFFF"/>
        </w:rPr>
        <w:t>Bibliography</w:t>
      </w:r>
      <w:bookmarkEnd w:id="58"/>
    </w:p>
    <w:p w14:paraId="2DC938B5" w14:textId="77777777" w:rsidR="000B5BBF" w:rsidRDefault="000B5BBF" w:rsidP="00E1105F"/>
    <w:p w14:paraId="01D5ED98" w14:textId="48BDA0A8" w:rsidR="00E1105F" w:rsidRPr="008112EB" w:rsidRDefault="00E1105F" w:rsidP="00E1105F">
      <w:pPr>
        <w:rPr>
          <w:rStyle w:val="pagelast"/>
          <w:rFonts w:cs="Arial"/>
          <w:color w:val="333333"/>
          <w:bdr w:val="none" w:sz="0" w:space="0" w:color="auto" w:frame="1"/>
          <w:shd w:val="clear" w:color="auto" w:fill="FDFDFD"/>
        </w:rPr>
      </w:pPr>
      <w:r w:rsidRPr="008112EB">
        <w:t>Adhikari, U, Nejadhashemi, AP &amp; Woznicki, SA 2015,</w:t>
      </w:r>
      <w:r w:rsidRPr="00987A15">
        <w:t xml:space="preserve"> ‘</w:t>
      </w:r>
      <w:hyperlink r:id="rId22" w:history="1">
        <w:r w:rsidRPr="00987A15">
          <w:rPr>
            <w:rStyle w:val="Hyperlink"/>
            <w:rFonts w:cstheme="minorHAnsi"/>
            <w:color w:val="auto"/>
            <w:u w:val="none"/>
          </w:rPr>
          <w:t>Climate change and eastern Africa: a review of impact on major crops</w:t>
        </w:r>
      </w:hyperlink>
      <w:r w:rsidRPr="00987A15">
        <w:rPr>
          <w:rFonts w:cstheme="minorHAnsi"/>
        </w:rPr>
        <w:t>’,</w:t>
      </w:r>
      <w:r w:rsidRPr="008112EB">
        <w:rPr>
          <w:rFonts w:cstheme="minorHAnsi"/>
        </w:rPr>
        <w:t xml:space="preserve"> </w:t>
      </w:r>
      <w:r w:rsidRPr="008112EB">
        <w:rPr>
          <w:rStyle w:val="journaltitle"/>
          <w:rFonts w:cs="Arial"/>
          <w:color w:val="333333"/>
          <w:bdr w:val="none" w:sz="0" w:space="0" w:color="auto" w:frame="1"/>
          <w:shd w:val="clear" w:color="auto" w:fill="FDFDFD"/>
        </w:rPr>
        <w:t>Food and Energy Security</w:t>
      </w:r>
      <w:r w:rsidRPr="008112EB">
        <w:rPr>
          <w:rFonts w:cs="Arial"/>
          <w:color w:val="333333"/>
          <w:shd w:val="clear" w:color="auto" w:fill="FDFDFD"/>
        </w:rPr>
        <w:t> </w:t>
      </w:r>
      <w:r w:rsidRPr="008112EB">
        <w:rPr>
          <w:rStyle w:val="vol"/>
          <w:rFonts w:cs="Arial"/>
          <w:color w:val="333333"/>
          <w:bdr w:val="none" w:sz="0" w:space="0" w:color="auto" w:frame="1"/>
          <w:shd w:val="clear" w:color="auto" w:fill="FDFDFD"/>
        </w:rPr>
        <w:t>4</w:t>
      </w:r>
      <w:r w:rsidRPr="008112EB">
        <w:rPr>
          <w:rFonts w:cs="Arial"/>
          <w:color w:val="333333"/>
          <w:shd w:val="clear" w:color="auto" w:fill="FDFDFD"/>
        </w:rPr>
        <w:t>(</w:t>
      </w:r>
      <w:r w:rsidRPr="008112EB">
        <w:rPr>
          <w:rStyle w:val="citedissue"/>
          <w:rFonts w:cs="Arial"/>
          <w:color w:val="333333"/>
          <w:bdr w:val="none" w:sz="0" w:space="0" w:color="auto" w:frame="1"/>
          <w:shd w:val="clear" w:color="auto" w:fill="FDFDFD"/>
        </w:rPr>
        <w:t>2</w:t>
      </w:r>
      <w:r w:rsidRPr="008112EB">
        <w:rPr>
          <w:rFonts w:cs="Arial"/>
          <w:color w:val="333333"/>
          <w:shd w:val="clear" w:color="auto" w:fill="FDFDFD"/>
        </w:rPr>
        <w:t>): pp.</w:t>
      </w:r>
      <w:r w:rsidRPr="008112EB">
        <w:rPr>
          <w:rStyle w:val="pagefirst"/>
          <w:rFonts w:cs="Arial"/>
          <w:color w:val="333333"/>
          <w:bdr w:val="none" w:sz="0" w:space="0" w:color="auto" w:frame="1"/>
          <w:shd w:val="clear" w:color="auto" w:fill="FDFDFD"/>
        </w:rPr>
        <w:t>110</w:t>
      </w:r>
      <w:r w:rsidRPr="008112EB">
        <w:rPr>
          <w:rFonts w:cs="Arial"/>
          <w:color w:val="333333"/>
          <w:shd w:val="clear" w:color="auto" w:fill="FDFDFD"/>
        </w:rPr>
        <w:t>–</w:t>
      </w:r>
      <w:r w:rsidRPr="008112EB">
        <w:rPr>
          <w:rStyle w:val="pagelast"/>
          <w:rFonts w:cs="Arial"/>
          <w:color w:val="333333"/>
          <w:bdr w:val="none" w:sz="0" w:space="0" w:color="auto" w:frame="1"/>
          <w:shd w:val="clear" w:color="auto" w:fill="FDFDFD"/>
        </w:rPr>
        <w:t>132.</w:t>
      </w:r>
    </w:p>
    <w:p w14:paraId="4D08A92F" w14:textId="617CE42A" w:rsidR="0088658D" w:rsidRDefault="0088658D" w:rsidP="00E1105F">
      <w:pPr>
        <w:autoSpaceDE w:val="0"/>
        <w:autoSpaceDN w:val="0"/>
        <w:adjustRightInd w:val="0"/>
        <w:spacing w:after="0" w:line="240" w:lineRule="auto"/>
      </w:pPr>
      <w:r>
        <w:t>Allison, EH, Perry, A, Badjeck, MC, Adger, WN, Brown, K, Conway, D, Halls, AS, Pilling, GM, Reynolds, JD, Andrew, NL</w:t>
      </w:r>
      <w:r w:rsidR="00C10876">
        <w:t xml:space="preserve"> &amp;</w:t>
      </w:r>
      <w:r>
        <w:t xml:space="preserve"> Dulvy, NK 2009</w:t>
      </w:r>
      <w:r w:rsidR="00C10876">
        <w:t>, ‘</w:t>
      </w:r>
      <w:r>
        <w:t>Vulnerability of national economies to the impacts of climate change on fisheries</w:t>
      </w:r>
      <w:r w:rsidR="00C10876">
        <w:t>’,</w:t>
      </w:r>
      <w:r>
        <w:t xml:space="preserve"> </w:t>
      </w:r>
      <w:r w:rsidRPr="00C10876">
        <w:rPr>
          <w:i/>
        </w:rPr>
        <w:t>Fish and Fisheries</w:t>
      </w:r>
      <w:r>
        <w:t xml:space="preserve"> </w:t>
      </w:r>
      <w:r w:rsidR="00C10876">
        <w:t>vol.</w:t>
      </w:r>
      <w:r>
        <w:t>10</w:t>
      </w:r>
      <w:r w:rsidR="00C10876">
        <w:t>, pp.</w:t>
      </w:r>
      <w:r>
        <w:t>173-196.</w:t>
      </w:r>
    </w:p>
    <w:p w14:paraId="4A5C08BE" w14:textId="77777777" w:rsidR="0088658D" w:rsidRDefault="0088658D" w:rsidP="00E1105F">
      <w:pPr>
        <w:autoSpaceDE w:val="0"/>
        <w:autoSpaceDN w:val="0"/>
        <w:adjustRightInd w:val="0"/>
        <w:spacing w:after="0" w:line="240" w:lineRule="auto"/>
        <w:rPr>
          <w:rFonts w:cs="Minion-Regular"/>
        </w:rPr>
      </w:pPr>
    </w:p>
    <w:p w14:paraId="070897E5" w14:textId="187148F5" w:rsidR="00E1105F" w:rsidRDefault="00E1105F" w:rsidP="00E1105F">
      <w:pPr>
        <w:autoSpaceDE w:val="0"/>
        <w:autoSpaceDN w:val="0"/>
        <w:adjustRightInd w:val="0"/>
        <w:spacing w:after="0" w:line="240" w:lineRule="auto"/>
        <w:rPr>
          <w:rFonts w:cs="Minion-Regular"/>
        </w:rPr>
      </w:pPr>
      <w:r>
        <w:rPr>
          <w:rFonts w:cs="Minion-Regular"/>
        </w:rPr>
        <w:t xml:space="preserve">Asseng, S, Foster IAN &amp; Turner, NC 2011,’The impact of temperature variability on wheat yields’, </w:t>
      </w:r>
      <w:r>
        <w:rPr>
          <w:rFonts w:cs="Minion-Regular"/>
          <w:i/>
        </w:rPr>
        <w:t xml:space="preserve">Global Change Biology, </w:t>
      </w:r>
      <w:r>
        <w:rPr>
          <w:rFonts w:cs="Minion-Regular"/>
        </w:rPr>
        <w:t>vol. 17, pp. 997-1012.</w:t>
      </w:r>
    </w:p>
    <w:p w14:paraId="6FB7DE18" w14:textId="77777777" w:rsidR="00E1105F" w:rsidRPr="00A870AE" w:rsidRDefault="00E1105F" w:rsidP="00E1105F">
      <w:pPr>
        <w:autoSpaceDE w:val="0"/>
        <w:autoSpaceDN w:val="0"/>
        <w:adjustRightInd w:val="0"/>
        <w:spacing w:after="0" w:line="240" w:lineRule="auto"/>
        <w:rPr>
          <w:rFonts w:cs="Minion-Regular"/>
        </w:rPr>
      </w:pPr>
    </w:p>
    <w:p w14:paraId="7BD02E80" w14:textId="77777777" w:rsidR="00E1105F" w:rsidRPr="00902AC9" w:rsidRDefault="00E1105F" w:rsidP="00E1105F">
      <w:pPr>
        <w:autoSpaceDE w:val="0"/>
        <w:autoSpaceDN w:val="0"/>
        <w:adjustRightInd w:val="0"/>
        <w:spacing w:after="0" w:line="240" w:lineRule="auto"/>
        <w:rPr>
          <w:rFonts w:cs="Minion-Regular"/>
        </w:rPr>
      </w:pPr>
      <w:r w:rsidRPr="00902AC9">
        <w:rPr>
          <w:rFonts w:cs="Minion-Regular"/>
        </w:rPr>
        <w:t xml:space="preserve">Boote, KJ, Jones, JW, Hoogenboom, G &amp; Pickering, NB 1998, ‘The CROPGRO model for grain legumes’ in Tsuji, GY, Hoogenboom, G &amp; Thornton, PK (eds.) </w:t>
      </w:r>
      <w:r w:rsidRPr="00902AC9">
        <w:rPr>
          <w:rFonts w:cs="Minion-Regular"/>
          <w:i/>
        </w:rPr>
        <w:t xml:space="preserve">Understanding options for agricultural production, </w:t>
      </w:r>
      <w:r w:rsidRPr="00902AC9">
        <w:rPr>
          <w:rFonts w:cs="Minion-Regular"/>
        </w:rPr>
        <w:t xml:space="preserve">Academic Publishers, Dordrecht, pp.99-128. </w:t>
      </w:r>
    </w:p>
    <w:p w14:paraId="7C94D5DD" w14:textId="77777777" w:rsidR="00E1105F" w:rsidRDefault="00E1105F" w:rsidP="00E1105F">
      <w:pPr>
        <w:autoSpaceDE w:val="0"/>
        <w:autoSpaceDN w:val="0"/>
        <w:adjustRightInd w:val="0"/>
        <w:spacing w:after="0" w:line="240" w:lineRule="auto"/>
        <w:rPr>
          <w:rFonts w:cs="Minion-Regular"/>
        </w:rPr>
      </w:pPr>
    </w:p>
    <w:p w14:paraId="74DD78BE" w14:textId="4A2D9659" w:rsidR="00E1105F" w:rsidRDefault="00E1105F" w:rsidP="00E1105F">
      <w:pPr>
        <w:autoSpaceDE w:val="0"/>
        <w:autoSpaceDN w:val="0"/>
        <w:adjustRightInd w:val="0"/>
        <w:spacing w:after="0" w:line="240" w:lineRule="auto"/>
        <w:rPr>
          <w:rFonts w:cs="Minion-Regular"/>
        </w:rPr>
      </w:pPr>
      <w:r>
        <w:rPr>
          <w:rFonts w:cs="Minion-Regular"/>
        </w:rPr>
        <w:t>Broughton, WJ, Nernandez, G, Blair, M, Beebe, S, Gepts, P &amp; Vanderleyden, J 2003, ‘Beans (</w:t>
      </w:r>
      <w:r>
        <w:rPr>
          <w:rFonts w:cs="Minion-Regular"/>
          <w:i/>
        </w:rPr>
        <w:t>Phaseolus spp.</w:t>
      </w:r>
      <w:r>
        <w:rPr>
          <w:rFonts w:cs="Minion-Regular"/>
        </w:rPr>
        <w:t>)- model food legumes’,</w:t>
      </w:r>
      <w:r w:rsidR="00987A15">
        <w:rPr>
          <w:rFonts w:cs="Minion-Regular"/>
        </w:rPr>
        <w:t xml:space="preserve"> </w:t>
      </w:r>
      <w:r>
        <w:rPr>
          <w:rFonts w:cs="Minion-Regular"/>
          <w:i/>
        </w:rPr>
        <w:t xml:space="preserve">Plant Soil, </w:t>
      </w:r>
      <w:r>
        <w:rPr>
          <w:rFonts w:cs="Minion-Regular"/>
        </w:rPr>
        <w:t xml:space="preserve">vol. 252, pp. 55-128. </w:t>
      </w:r>
    </w:p>
    <w:p w14:paraId="6F6DFBCB" w14:textId="77777777" w:rsidR="00E1105F" w:rsidRDefault="00E1105F" w:rsidP="00E1105F">
      <w:pPr>
        <w:autoSpaceDE w:val="0"/>
        <w:autoSpaceDN w:val="0"/>
        <w:adjustRightInd w:val="0"/>
        <w:spacing w:after="0" w:line="240" w:lineRule="auto"/>
        <w:rPr>
          <w:rFonts w:cs="Minion-Regular"/>
        </w:rPr>
      </w:pPr>
    </w:p>
    <w:p w14:paraId="696194CD" w14:textId="77777777" w:rsidR="00E1105F" w:rsidRDefault="00E1105F" w:rsidP="00E1105F">
      <w:pPr>
        <w:autoSpaceDE w:val="0"/>
        <w:autoSpaceDN w:val="0"/>
        <w:adjustRightInd w:val="0"/>
        <w:spacing w:after="0" w:line="240" w:lineRule="auto"/>
        <w:rPr>
          <w:rFonts w:cs="Minion-Regular"/>
        </w:rPr>
      </w:pPr>
      <w:r>
        <w:rPr>
          <w:rFonts w:cs="Minion-Regular"/>
        </w:rPr>
        <w:t xml:space="preserve">Brown, L 2009, </w:t>
      </w:r>
      <w:r>
        <w:rPr>
          <w:rFonts w:cs="Minion-Regular"/>
          <w:i/>
        </w:rPr>
        <w:t xml:space="preserve">Plan B 4.0: mobilizing to save civilization. </w:t>
      </w:r>
      <w:r>
        <w:rPr>
          <w:rFonts w:cs="Minion-Regular"/>
        </w:rPr>
        <w:t xml:space="preserve">W.W. Norton and Company, New York. </w:t>
      </w:r>
    </w:p>
    <w:p w14:paraId="5F9678A1" w14:textId="77777777" w:rsidR="00E1105F" w:rsidRPr="00B651F5" w:rsidRDefault="00E1105F" w:rsidP="00E1105F">
      <w:pPr>
        <w:autoSpaceDE w:val="0"/>
        <w:autoSpaceDN w:val="0"/>
        <w:adjustRightInd w:val="0"/>
        <w:spacing w:after="0" w:line="240" w:lineRule="auto"/>
        <w:rPr>
          <w:rFonts w:cs="Minion-Regular"/>
        </w:rPr>
      </w:pPr>
    </w:p>
    <w:p w14:paraId="2A9E9181" w14:textId="77777777" w:rsidR="00E1105F" w:rsidRPr="00CD6CD0" w:rsidRDefault="00E1105F" w:rsidP="00E1105F">
      <w:r>
        <w:lastRenderedPageBreak/>
        <w:t xml:space="preserve">Bunn, C, Läderach, P, Rivera, OO &amp; Kirschke, D 2015, ‘A bitter cup: climate change profile of global production of Arabica and Robusta coffee’, </w:t>
      </w:r>
      <w:r>
        <w:rPr>
          <w:i/>
        </w:rPr>
        <w:t xml:space="preserve">Climatic Change, </w:t>
      </w:r>
      <w:r>
        <w:t>vol. 129, pp. 89-101, doi:10.1007/s10584-014-1309-x.</w:t>
      </w:r>
    </w:p>
    <w:p w14:paraId="2040D39D" w14:textId="77777777" w:rsidR="00E1105F" w:rsidRDefault="00E1105F" w:rsidP="00E1105F">
      <w:r>
        <w:t xml:space="preserve">Calberto, G, Staver, C &amp; Siles, P 2015, ‘An assessment of global banana production and suitability under climate change scenarios’, in FAO </w:t>
      </w:r>
      <w:r w:rsidRPr="002816CF">
        <w:t>Climate change and food systems: global assessments and implications for food security and trade</w:t>
      </w:r>
      <w:r>
        <w:t xml:space="preserve">, Food Agriculture Organization of the United Nations, pp.265-291. </w:t>
      </w:r>
    </w:p>
    <w:p w14:paraId="192DD64C" w14:textId="6962CCBC" w:rsidR="00E1105F" w:rsidRPr="00E1105F" w:rsidRDefault="00E1105F" w:rsidP="005F06F1">
      <w:pPr>
        <w:pStyle w:val="Bibliography"/>
        <w:rPr>
          <w:rFonts w:cstheme="minorHAnsi"/>
          <w:noProof/>
          <w:lang w:val="en-AU"/>
        </w:rPr>
      </w:pPr>
      <w:r w:rsidRPr="00E1105F">
        <w:rPr>
          <w:rFonts w:cstheme="minorHAnsi"/>
          <w:noProof/>
          <w:lang w:val="en-AU"/>
        </w:rPr>
        <w:t>CIA</w:t>
      </w:r>
      <w:r>
        <w:rPr>
          <w:rFonts w:cstheme="minorHAnsi"/>
          <w:noProof/>
          <w:lang w:val="en-AU"/>
        </w:rPr>
        <w:t xml:space="preserve"> </w:t>
      </w:r>
      <w:r w:rsidRPr="00E1105F">
        <w:rPr>
          <w:rFonts w:cstheme="minorHAnsi"/>
          <w:noProof/>
          <w:lang w:val="en-AU"/>
        </w:rPr>
        <w:t xml:space="preserve">2016, </w:t>
      </w:r>
      <w:r w:rsidRPr="00E1105F">
        <w:rPr>
          <w:rFonts w:cstheme="minorHAnsi"/>
          <w:i/>
          <w:iCs/>
          <w:noProof/>
          <w:lang w:val="en-AU"/>
        </w:rPr>
        <w:t>The World Fact Book</w:t>
      </w:r>
      <w:r w:rsidR="005F06F1">
        <w:rPr>
          <w:rFonts w:cstheme="minorHAnsi"/>
          <w:i/>
          <w:iCs/>
          <w:noProof/>
          <w:lang w:val="en-AU"/>
        </w:rPr>
        <w:t>,</w:t>
      </w:r>
      <w:r w:rsidRPr="00E1105F">
        <w:rPr>
          <w:rFonts w:cstheme="minorHAnsi"/>
          <w:noProof/>
          <w:lang w:val="en-AU"/>
        </w:rPr>
        <w:t xml:space="preserve"> </w:t>
      </w:r>
      <w:r w:rsidR="005F06F1">
        <w:rPr>
          <w:rFonts w:cstheme="minorHAnsi"/>
          <w:noProof/>
          <w:lang w:val="en-AU"/>
        </w:rPr>
        <w:t xml:space="preserve">viewed 30 September 2017, </w:t>
      </w:r>
      <w:r w:rsidRPr="00E1105F">
        <w:rPr>
          <w:rFonts w:cstheme="minorHAnsi"/>
          <w:noProof/>
          <w:lang w:val="en-AU"/>
        </w:rPr>
        <w:t xml:space="preserve"> https://www.cia.gov/library/publications/the-world-factbook/geos/ug.html</w:t>
      </w:r>
    </w:p>
    <w:p w14:paraId="452CFB3D" w14:textId="0B734389" w:rsidR="002816CF" w:rsidRDefault="002816CF" w:rsidP="00623932">
      <w:r w:rsidRPr="007704C9">
        <w:rPr>
          <w:lang w:val="fr-FR"/>
        </w:rPr>
        <w:t xml:space="preserve">Dixon, P.B., Rimmer, M.T. (2002). </w:t>
      </w:r>
      <w:r w:rsidRPr="008211F6">
        <w:t>Dynamic General Equilibrium Modelling for Forecasting and Policy: A Practical Guide and Documentation of MONASH. Amsterdam: North-Holland.</w:t>
      </w:r>
    </w:p>
    <w:p w14:paraId="75E1A393" w14:textId="77777777" w:rsidR="00C154CC" w:rsidRDefault="00C154CC" w:rsidP="00623932">
      <w:pPr>
        <w:pStyle w:val="Bibliography"/>
        <w:rPr>
          <w:noProof/>
        </w:rPr>
      </w:pPr>
      <w:r>
        <w:fldChar w:fldCharType="begin"/>
      </w:r>
      <w:r>
        <w:instrText xml:space="preserve"> BIBLIOGRAPHY  \l 3081 </w:instrText>
      </w:r>
      <w:r>
        <w:fldChar w:fldCharType="separate"/>
      </w:r>
      <w:r>
        <w:rPr>
          <w:noProof/>
        </w:rPr>
        <w:t xml:space="preserve">Dixon, PB., &amp; Rimmer, MT. (2002). Explaining a dynamic CGE simulation with a trade-focused BOTE analysis: The effects of eCommerce on Australia. </w:t>
      </w:r>
      <w:r>
        <w:rPr>
          <w:i/>
          <w:iCs/>
          <w:noProof/>
        </w:rPr>
        <w:t>Centre of Policy Studies Working Paper Series</w:t>
      </w:r>
      <w:r>
        <w:rPr>
          <w:noProof/>
        </w:rPr>
        <w:t>, G-136.</w:t>
      </w:r>
    </w:p>
    <w:p w14:paraId="69AF19AB" w14:textId="4397C2CB" w:rsidR="002816CF" w:rsidRPr="008211F6" w:rsidRDefault="00C154CC" w:rsidP="00623932">
      <w:r>
        <w:fldChar w:fldCharType="end"/>
      </w:r>
      <w:r w:rsidR="002816CF" w:rsidRPr="00D77123">
        <w:rPr>
          <w:lang w:val="fr-FR"/>
        </w:rPr>
        <w:t xml:space="preserve">Dixon, P.B., Parmenter, B.R., Sutton, J. &amp; Vincent, D.P. (1982). </w:t>
      </w:r>
      <w:r w:rsidR="002816CF" w:rsidRPr="008211F6">
        <w:t>ORANI: A Multisectoral Model of the Australian Economy. North-Holland, Amsterdam.</w:t>
      </w:r>
    </w:p>
    <w:p w14:paraId="27741D76" w14:textId="56EDFB62" w:rsidR="00E1105F" w:rsidRPr="00E1105F" w:rsidRDefault="00E1105F" w:rsidP="00E1105F">
      <w:pPr>
        <w:autoSpaceDE w:val="0"/>
        <w:autoSpaceDN w:val="0"/>
        <w:adjustRightInd w:val="0"/>
        <w:spacing w:after="0" w:line="240" w:lineRule="auto"/>
        <w:rPr>
          <w:rFonts w:cstheme="minorHAnsi"/>
          <w:noProof/>
          <w:lang w:val="en-AU"/>
        </w:rPr>
      </w:pPr>
      <w:r w:rsidRPr="00E1105F">
        <w:rPr>
          <w:rFonts w:cstheme="minorHAnsi"/>
          <w:noProof/>
          <w:lang w:val="en-AU"/>
        </w:rPr>
        <w:t>Economic and Social Development Department</w:t>
      </w:r>
      <w:r w:rsidR="005F06F1">
        <w:rPr>
          <w:rFonts w:cstheme="minorHAnsi"/>
          <w:noProof/>
          <w:lang w:val="en-AU"/>
        </w:rPr>
        <w:t xml:space="preserve"> </w:t>
      </w:r>
      <w:r w:rsidRPr="00E1105F">
        <w:rPr>
          <w:rFonts w:cstheme="minorHAnsi"/>
          <w:noProof/>
          <w:lang w:val="en-AU"/>
        </w:rPr>
        <w:t>2003</w:t>
      </w:r>
      <w:r w:rsidR="005F06F1">
        <w:rPr>
          <w:rFonts w:cstheme="minorHAnsi"/>
          <w:noProof/>
          <w:lang w:val="en-AU"/>
        </w:rPr>
        <w:t>,</w:t>
      </w:r>
      <w:r w:rsidRPr="00E1105F">
        <w:rPr>
          <w:rFonts w:cstheme="minorHAnsi"/>
          <w:noProof/>
          <w:lang w:val="en-AU"/>
        </w:rPr>
        <w:t xml:space="preserve"> </w:t>
      </w:r>
      <w:r w:rsidR="005F06F1">
        <w:rPr>
          <w:rFonts w:cstheme="minorHAnsi"/>
          <w:i/>
          <w:iCs/>
          <w:noProof/>
          <w:lang w:val="en-AU"/>
        </w:rPr>
        <w:t>Trade Reforms a</w:t>
      </w:r>
      <w:r w:rsidRPr="00E1105F">
        <w:rPr>
          <w:rFonts w:cstheme="minorHAnsi"/>
          <w:i/>
          <w:iCs/>
          <w:noProof/>
          <w:lang w:val="en-AU"/>
        </w:rPr>
        <w:t>n</w:t>
      </w:r>
      <w:r w:rsidR="005F06F1">
        <w:rPr>
          <w:rFonts w:cstheme="minorHAnsi"/>
          <w:i/>
          <w:iCs/>
          <w:noProof/>
          <w:lang w:val="en-AU"/>
        </w:rPr>
        <w:t>d</w:t>
      </w:r>
      <w:r w:rsidRPr="00E1105F">
        <w:rPr>
          <w:rFonts w:cstheme="minorHAnsi"/>
          <w:i/>
          <w:iCs/>
          <w:noProof/>
          <w:lang w:val="en-AU"/>
        </w:rPr>
        <w:t xml:space="preserve"> Food Security - Conceptualizing the Linkages.</w:t>
      </w:r>
      <w:r w:rsidRPr="00E1105F">
        <w:rPr>
          <w:rFonts w:cstheme="minorHAnsi"/>
          <w:noProof/>
          <w:lang w:val="en-AU"/>
        </w:rPr>
        <w:t xml:space="preserve"> Rome: FAO.</w:t>
      </w:r>
    </w:p>
    <w:p w14:paraId="120223A2" w14:textId="77777777" w:rsidR="00E1105F" w:rsidRDefault="00E1105F" w:rsidP="00E1105F">
      <w:pPr>
        <w:autoSpaceDE w:val="0"/>
        <w:autoSpaceDN w:val="0"/>
        <w:adjustRightInd w:val="0"/>
        <w:spacing w:after="0" w:line="240" w:lineRule="auto"/>
        <w:rPr>
          <w:rFonts w:cs="Minion-Regular"/>
        </w:rPr>
      </w:pPr>
    </w:p>
    <w:p w14:paraId="7202E807" w14:textId="37007422" w:rsidR="00E1105F" w:rsidRDefault="00E1105F" w:rsidP="00E1105F">
      <w:pPr>
        <w:autoSpaceDE w:val="0"/>
        <w:autoSpaceDN w:val="0"/>
        <w:adjustRightInd w:val="0"/>
        <w:spacing w:after="0" w:line="240" w:lineRule="auto"/>
        <w:rPr>
          <w:rFonts w:cs="Minion-Regular"/>
        </w:rPr>
      </w:pPr>
      <w:r>
        <w:rPr>
          <w:rFonts w:cs="Minion-Regular"/>
        </w:rPr>
        <w:t xml:space="preserve">Fermont, AM 2009, ‘Cassava and soil fertility in intensifying smallholder farming systems of East Africa’, PhD dissertation, Wageningen University, the Netherlands. </w:t>
      </w:r>
    </w:p>
    <w:p w14:paraId="748C4502" w14:textId="77777777" w:rsidR="00E1105F" w:rsidRDefault="00E1105F" w:rsidP="00E1105F">
      <w:pPr>
        <w:autoSpaceDE w:val="0"/>
        <w:autoSpaceDN w:val="0"/>
        <w:adjustRightInd w:val="0"/>
        <w:spacing w:after="0" w:line="240" w:lineRule="auto"/>
        <w:rPr>
          <w:rFonts w:cs="Minion-Regular"/>
        </w:rPr>
      </w:pPr>
    </w:p>
    <w:p w14:paraId="0DDBDDBB" w14:textId="49C29200" w:rsidR="005F06F1" w:rsidRPr="00710E27" w:rsidRDefault="005F06F1" w:rsidP="005F06F1">
      <w:pPr>
        <w:rPr>
          <w:noProof/>
          <w:lang w:val="en-AU"/>
        </w:rPr>
      </w:pPr>
      <w:r w:rsidRPr="00710E27">
        <w:rPr>
          <w:noProof/>
          <w:lang w:val="en-AU"/>
        </w:rPr>
        <w:t>FAO</w:t>
      </w:r>
      <w:r>
        <w:rPr>
          <w:noProof/>
          <w:lang w:val="en-AU"/>
        </w:rPr>
        <w:t xml:space="preserve"> </w:t>
      </w:r>
      <w:r w:rsidRPr="00710E27">
        <w:rPr>
          <w:noProof/>
          <w:lang w:val="en-AU"/>
        </w:rPr>
        <w:t>2002</w:t>
      </w:r>
      <w:r>
        <w:rPr>
          <w:noProof/>
          <w:lang w:val="en-AU"/>
        </w:rPr>
        <w:t>,</w:t>
      </w:r>
      <w:r w:rsidRPr="00710E27">
        <w:rPr>
          <w:noProof/>
          <w:lang w:val="en-AU"/>
        </w:rPr>
        <w:t xml:space="preserve"> </w:t>
      </w:r>
      <w:r w:rsidRPr="005F06F1">
        <w:rPr>
          <w:i/>
          <w:noProof/>
          <w:lang w:val="en-AU"/>
        </w:rPr>
        <w:t>The State of Food Insecurity 2001</w:t>
      </w:r>
      <w:r w:rsidRPr="00710E27">
        <w:rPr>
          <w:noProof/>
          <w:lang w:val="en-AU"/>
        </w:rPr>
        <w:t>.</w:t>
      </w:r>
      <w:r>
        <w:rPr>
          <w:noProof/>
          <w:lang w:val="en-AU"/>
        </w:rPr>
        <w:t xml:space="preserve"> Rome</w:t>
      </w:r>
      <w:r w:rsidRPr="00710E27">
        <w:rPr>
          <w:noProof/>
          <w:lang w:val="en-AU"/>
        </w:rPr>
        <w:t>.</w:t>
      </w:r>
    </w:p>
    <w:p w14:paraId="46D6160A" w14:textId="139728CB" w:rsidR="005F06F1" w:rsidRPr="00710E27" w:rsidRDefault="005F06F1" w:rsidP="005F06F1">
      <w:pPr>
        <w:rPr>
          <w:noProof/>
          <w:lang w:val="en-AU"/>
        </w:rPr>
      </w:pPr>
      <w:r w:rsidRPr="00710E27">
        <w:rPr>
          <w:noProof/>
          <w:lang w:val="en-AU"/>
        </w:rPr>
        <w:t>FAO</w:t>
      </w:r>
      <w:r>
        <w:rPr>
          <w:noProof/>
          <w:lang w:val="en-AU"/>
        </w:rPr>
        <w:t xml:space="preserve"> </w:t>
      </w:r>
      <w:r w:rsidRPr="00710E27">
        <w:rPr>
          <w:noProof/>
          <w:lang w:val="en-AU"/>
        </w:rPr>
        <w:t>2003</w:t>
      </w:r>
      <w:r>
        <w:rPr>
          <w:noProof/>
          <w:lang w:val="en-AU"/>
        </w:rPr>
        <w:t xml:space="preserve">, </w:t>
      </w:r>
      <w:r w:rsidRPr="005F06F1">
        <w:rPr>
          <w:i/>
          <w:noProof/>
          <w:lang w:val="en-AU"/>
        </w:rPr>
        <w:t>Trade Reforms and Food Security - Conceptualizing the Linkages</w:t>
      </w:r>
      <w:r w:rsidRPr="00710E27">
        <w:rPr>
          <w:noProof/>
          <w:lang w:val="en-AU"/>
        </w:rPr>
        <w:t>.</w:t>
      </w:r>
      <w:r>
        <w:rPr>
          <w:noProof/>
          <w:lang w:val="en-AU"/>
        </w:rPr>
        <w:t xml:space="preserve"> Rome</w:t>
      </w:r>
      <w:r w:rsidRPr="00710E27">
        <w:rPr>
          <w:noProof/>
          <w:lang w:val="en-AU"/>
        </w:rPr>
        <w:t>.</w:t>
      </w:r>
    </w:p>
    <w:p w14:paraId="1E1865EF" w14:textId="67678EA4" w:rsidR="005F06F1" w:rsidRPr="00710E27" w:rsidRDefault="005F06F1" w:rsidP="005F06F1">
      <w:pPr>
        <w:rPr>
          <w:noProof/>
          <w:lang w:val="en-AU"/>
        </w:rPr>
      </w:pPr>
      <w:r w:rsidRPr="00710E27">
        <w:rPr>
          <w:noProof/>
          <w:lang w:val="en-AU"/>
        </w:rPr>
        <w:t>FAO Agicultural and Development Economics Division</w:t>
      </w:r>
      <w:r>
        <w:rPr>
          <w:noProof/>
          <w:lang w:val="en-AU"/>
        </w:rPr>
        <w:t xml:space="preserve"> </w:t>
      </w:r>
      <w:r w:rsidRPr="00710E27">
        <w:rPr>
          <w:noProof/>
          <w:lang w:val="en-AU"/>
        </w:rPr>
        <w:t>2006</w:t>
      </w:r>
      <w:r>
        <w:rPr>
          <w:noProof/>
          <w:lang w:val="en-AU"/>
        </w:rPr>
        <w:t>,</w:t>
      </w:r>
      <w:r w:rsidRPr="00710E27">
        <w:rPr>
          <w:noProof/>
          <w:lang w:val="en-AU"/>
        </w:rPr>
        <w:t xml:space="preserve"> </w:t>
      </w:r>
      <w:r w:rsidRPr="005F06F1">
        <w:rPr>
          <w:i/>
          <w:noProof/>
          <w:lang w:val="en-AU"/>
        </w:rPr>
        <w:t>Food Security</w:t>
      </w:r>
      <w:r>
        <w:rPr>
          <w:i/>
          <w:noProof/>
          <w:lang w:val="en-AU"/>
        </w:rPr>
        <w:t>,</w:t>
      </w:r>
      <w:r w:rsidRPr="00710E27">
        <w:rPr>
          <w:noProof/>
          <w:lang w:val="en-AU"/>
        </w:rPr>
        <w:t xml:space="preserve"> Retrieved from Agricultural Development Economics: ftp://ftp.fao.org/es/ESA/policybriefs/pb_02.pdf</w:t>
      </w:r>
    </w:p>
    <w:p w14:paraId="4440504B" w14:textId="204B9CA3" w:rsidR="00E1105F" w:rsidRDefault="00E1105F" w:rsidP="00E1105F">
      <w:r>
        <w:t xml:space="preserve">FAO 2010, </w:t>
      </w:r>
      <w:r>
        <w:rPr>
          <w:i/>
        </w:rPr>
        <w:t>FAOSTAT database on agriculture</w:t>
      </w:r>
      <w:r>
        <w:t xml:space="preserve">, Rome. </w:t>
      </w:r>
    </w:p>
    <w:p w14:paraId="72551CBE" w14:textId="77777777" w:rsidR="00E1105F" w:rsidRDefault="00E1105F" w:rsidP="00E1105F">
      <w:r>
        <w:t xml:space="preserve">FAO 2013a, </w:t>
      </w:r>
      <w:r>
        <w:rPr>
          <w:i/>
        </w:rPr>
        <w:t>FAOSTAT online statistical service</w:t>
      </w:r>
      <w:r>
        <w:t xml:space="preserve">, United Nations Food and Agriculture Organization, Rome. </w:t>
      </w:r>
    </w:p>
    <w:p w14:paraId="463C9A83" w14:textId="77777777" w:rsidR="00E1105F" w:rsidRDefault="00E1105F" w:rsidP="00E1105F">
      <w:r>
        <w:t xml:space="preserve">FAO 2013b, </w:t>
      </w:r>
      <w:r>
        <w:rPr>
          <w:i/>
        </w:rPr>
        <w:t>FAOSTAT statistical yearbook</w:t>
      </w:r>
      <w:r>
        <w:t xml:space="preserve">, United Nations Food and Agriculture Organization, Rome. </w:t>
      </w:r>
    </w:p>
    <w:p w14:paraId="1E00663D" w14:textId="45B2B5AE" w:rsidR="00E1105F" w:rsidRDefault="00E1105F" w:rsidP="00E1105F">
      <w:pPr>
        <w:rPr>
          <w:rFonts w:cs="Minion-Regular"/>
        </w:rPr>
      </w:pPr>
      <w:r>
        <w:rPr>
          <w:rFonts w:cs="Minion-Regular"/>
        </w:rPr>
        <w:t xml:space="preserve">Fisher, G 2009, ‘World food and agriculture to 2030/50: How do climate change and bioenergy alter the long-term outlook for food, agriculture and resource availability?’, Paper presented at FAO expert meeting on how to feed the world in 2050, Rome. </w:t>
      </w:r>
    </w:p>
    <w:p w14:paraId="0E1C97E6" w14:textId="33E90076" w:rsidR="005F06F1" w:rsidRPr="00710E27" w:rsidRDefault="005F06F1" w:rsidP="005F06F1">
      <w:pPr>
        <w:rPr>
          <w:noProof/>
          <w:lang w:val="en-AU"/>
        </w:rPr>
      </w:pPr>
      <w:r w:rsidRPr="00710E27">
        <w:rPr>
          <w:noProof/>
          <w:lang w:val="en-AU"/>
        </w:rPr>
        <w:lastRenderedPageBreak/>
        <w:t>Funk, C</w:t>
      </w:r>
      <w:r>
        <w:rPr>
          <w:noProof/>
          <w:lang w:val="en-AU"/>
        </w:rPr>
        <w:t xml:space="preserve"> </w:t>
      </w:r>
      <w:r w:rsidRPr="00710E27">
        <w:rPr>
          <w:noProof/>
          <w:lang w:val="en-AU"/>
        </w:rPr>
        <w:t>2012</w:t>
      </w:r>
      <w:r>
        <w:rPr>
          <w:noProof/>
          <w:lang w:val="en-AU"/>
        </w:rPr>
        <w:t xml:space="preserve">, </w:t>
      </w:r>
      <w:r w:rsidRPr="00710E27">
        <w:rPr>
          <w:i/>
          <w:iCs/>
          <w:noProof/>
          <w:lang w:val="en-AU"/>
        </w:rPr>
        <w:t>A Climate Trend Analysis of Uganda</w:t>
      </w:r>
      <w:r>
        <w:rPr>
          <w:i/>
          <w:iCs/>
          <w:noProof/>
          <w:lang w:val="en-AU"/>
        </w:rPr>
        <w:t>,</w:t>
      </w:r>
      <w:r w:rsidRPr="00710E27">
        <w:rPr>
          <w:noProof/>
          <w:lang w:val="en-AU"/>
        </w:rPr>
        <w:t xml:space="preserve"> Washington D.C.: USAID.</w:t>
      </w:r>
    </w:p>
    <w:p w14:paraId="57648B5C" w14:textId="3BDC3EA3" w:rsidR="008538EF" w:rsidRDefault="008538EF" w:rsidP="00E1105F">
      <w:pPr>
        <w:rPr>
          <w:rFonts w:cs="Minion-Regular"/>
        </w:rPr>
      </w:pPr>
      <w:r>
        <w:rPr>
          <w:rFonts w:cs="Minion-Regular"/>
        </w:rPr>
        <w:t xml:space="preserve">Galvin, KA, Thornton, PK, Boone, RB &amp; Sunderland, J 2004, ‘Climate variability and impacts on east African livestock herders: the Maasai of Ngorongoro Conservation Area’, </w:t>
      </w:r>
      <w:r>
        <w:rPr>
          <w:rFonts w:cs="Minion-Regular"/>
          <w:i/>
        </w:rPr>
        <w:t xml:space="preserve">African Journal of Range and Forage Science, </w:t>
      </w:r>
      <w:r>
        <w:rPr>
          <w:rFonts w:cs="Minion-Regular"/>
        </w:rPr>
        <w:t xml:space="preserve">vol.21, p.1-11. </w:t>
      </w:r>
    </w:p>
    <w:p w14:paraId="5AC82FEA" w14:textId="77777777" w:rsidR="00C96B7A" w:rsidRPr="008211F6" w:rsidRDefault="00C96B7A" w:rsidP="00623932">
      <w:r w:rsidRPr="008211F6">
        <w:t xml:space="preserve">Harrison, W.J., Horridge J. M., Jerie, M. and Pearson, K. (2014). </w:t>
      </w:r>
      <w:r w:rsidRPr="008211F6">
        <w:rPr>
          <w:bCs/>
          <w:iCs/>
        </w:rPr>
        <w:t>GEMPACK manual</w:t>
      </w:r>
      <w:r w:rsidRPr="008211F6">
        <w:t>, GEMPACK Software, ISBN 978-1-921654-34-3</w:t>
      </w:r>
    </w:p>
    <w:p w14:paraId="4CE30125" w14:textId="77777777" w:rsidR="00C96B7A" w:rsidRPr="008211F6" w:rsidRDefault="00C96B7A" w:rsidP="00623932">
      <w:r w:rsidRPr="008211F6">
        <w:t>Harrison, W.J. and Pearson, K.R (1996), 'Computing Solutions for Large General Equilibrium Models Using GEMPACK', Computational Economics, vol. 9, pp.83-127. [A preliminary version was Impact Preliminary Working Paper No. IP-64, (June 1994), pp.55.]</w:t>
      </w:r>
    </w:p>
    <w:p w14:paraId="658BED4B" w14:textId="18A8E307" w:rsidR="00A86F6A" w:rsidRDefault="00A86F6A" w:rsidP="00E1105F">
      <w:pPr>
        <w:rPr>
          <w:rFonts w:cs="Minion-Regular"/>
        </w:rPr>
      </w:pPr>
      <w:r>
        <w:rPr>
          <w:rFonts w:cs="Minion-Regular"/>
        </w:rPr>
        <w:t xml:space="preserve">Hepworth, N 2010, </w:t>
      </w:r>
      <w:r w:rsidRPr="00A86F6A">
        <w:rPr>
          <w:rFonts w:cs="Minion-Regular"/>
          <w:i/>
        </w:rPr>
        <w:t>Climate change vulnerability and adaptation preparedness in Uganda</w:t>
      </w:r>
      <w:r>
        <w:rPr>
          <w:rFonts w:cs="Minion-Regular"/>
        </w:rPr>
        <w:t xml:space="preserve">, Report for the Heinrich Böll Foundation. </w:t>
      </w:r>
    </w:p>
    <w:p w14:paraId="105EF30D" w14:textId="5B3A4593" w:rsidR="00E1105F" w:rsidRPr="00630E49" w:rsidRDefault="00E1105F" w:rsidP="00E1105F">
      <w:pPr>
        <w:rPr>
          <w:rFonts w:cs="Minion-Regular"/>
        </w:rPr>
      </w:pPr>
      <w:r>
        <w:rPr>
          <w:rFonts w:cs="Minion-Regular"/>
        </w:rPr>
        <w:t xml:space="preserve">International Trade Centre (ITC) 2011, </w:t>
      </w:r>
      <w:r>
        <w:rPr>
          <w:rFonts w:cs="Minion-Regular"/>
          <w:i/>
        </w:rPr>
        <w:t xml:space="preserve">Cotton and climate change: impacts and options to mitigate and adapt, </w:t>
      </w:r>
      <w:r>
        <w:rPr>
          <w:rFonts w:cs="Minion-Regular"/>
        </w:rPr>
        <w:t xml:space="preserve">Technical report, doc.no.:MAR-11-200.E, Geneva. </w:t>
      </w:r>
    </w:p>
    <w:p w14:paraId="259EF8BD" w14:textId="77777777" w:rsidR="00E1105F" w:rsidRDefault="00E1105F" w:rsidP="00E1105F">
      <w:pPr>
        <w:rPr>
          <w:rFonts w:cs="Minion-Regular"/>
        </w:rPr>
      </w:pPr>
      <w:r>
        <w:rPr>
          <w:rFonts w:cs="Minion-Regular"/>
        </w:rPr>
        <w:t xml:space="preserve">Jarvis, A, Ramirez-Villegas, J, Campo, BVH &amp; Navarro-Racines, C 2012, ‘Is Cassava the answer to African climate change adaptation?’, </w:t>
      </w:r>
      <w:r>
        <w:rPr>
          <w:rFonts w:cs="Minion-Regular"/>
          <w:i/>
        </w:rPr>
        <w:t xml:space="preserve">Tropical Plant Biology, </w:t>
      </w:r>
      <w:r>
        <w:rPr>
          <w:rFonts w:cs="Minion-Regular"/>
        </w:rPr>
        <w:t>vol.5, pp. 9-29.</w:t>
      </w:r>
    </w:p>
    <w:p w14:paraId="4CF3AF73" w14:textId="77777777" w:rsidR="000B5BBF" w:rsidRPr="00710E27" w:rsidRDefault="000B5BBF" w:rsidP="000B5BBF">
      <w:pPr>
        <w:rPr>
          <w:noProof/>
          <w:lang w:val="en-AU"/>
        </w:rPr>
      </w:pPr>
      <w:r w:rsidRPr="00710E27">
        <w:rPr>
          <w:noProof/>
          <w:lang w:val="en-AU"/>
        </w:rPr>
        <w:t>Levine, S. (2010). What to do about Karamoja - a food security analysis of Karamoja. Kampala: FAO and ECHO.</w:t>
      </w:r>
    </w:p>
    <w:p w14:paraId="5EB93B48" w14:textId="71AF6E04" w:rsidR="00E1105F" w:rsidRDefault="00E1105F" w:rsidP="00E1105F">
      <w:pPr>
        <w:autoSpaceDE w:val="0"/>
        <w:autoSpaceDN w:val="0"/>
        <w:adjustRightInd w:val="0"/>
        <w:spacing w:after="0" w:line="240" w:lineRule="auto"/>
        <w:rPr>
          <w:rFonts w:cs="Minion-Regular"/>
        </w:rPr>
      </w:pPr>
      <w:r>
        <w:rPr>
          <w:rFonts w:cs="Minion-Regular"/>
        </w:rPr>
        <w:t xml:space="preserve">Liu, J, Fritz, S, Van Wesenbeeck, CFA, Fuchs, M, You, L &amp; Obersteiner, M et al. 2008, ‘A spatially explicit assessment of current and future hotspots of hunger in sub-Saharan Africa in the context of global change’, </w:t>
      </w:r>
      <w:r>
        <w:rPr>
          <w:rFonts w:cs="Minion-Regular"/>
          <w:i/>
        </w:rPr>
        <w:t>Global and Planetary Change</w:t>
      </w:r>
      <w:r>
        <w:rPr>
          <w:rFonts w:cs="Minion-Regular"/>
        </w:rPr>
        <w:t xml:space="preserve">, vol. 64, pp. 222-235. </w:t>
      </w:r>
    </w:p>
    <w:p w14:paraId="03242415" w14:textId="77777777" w:rsidR="00E1105F" w:rsidRPr="00E6204B" w:rsidRDefault="00E1105F" w:rsidP="00E1105F">
      <w:pPr>
        <w:autoSpaceDE w:val="0"/>
        <w:autoSpaceDN w:val="0"/>
        <w:adjustRightInd w:val="0"/>
        <w:spacing w:after="0" w:line="240" w:lineRule="auto"/>
        <w:rPr>
          <w:rFonts w:cs="Minion-Regular"/>
        </w:rPr>
      </w:pPr>
    </w:p>
    <w:p w14:paraId="1C88F4D3" w14:textId="77777777" w:rsidR="00E1105F" w:rsidRPr="00B651F5" w:rsidRDefault="00E1105F" w:rsidP="00E1105F">
      <w:pPr>
        <w:autoSpaceDE w:val="0"/>
        <w:autoSpaceDN w:val="0"/>
        <w:adjustRightInd w:val="0"/>
        <w:spacing w:after="0" w:line="240" w:lineRule="auto"/>
        <w:rPr>
          <w:rFonts w:cs="Minion-Regular"/>
        </w:rPr>
      </w:pPr>
      <w:r>
        <w:rPr>
          <w:rFonts w:cs="Minion-Regular"/>
        </w:rPr>
        <w:t xml:space="preserve">Lobell, DB &amp; Field, CB 2007, ‘Global scale climate-crop yield relationships and the impacts of recent warming’, </w:t>
      </w:r>
      <w:r>
        <w:rPr>
          <w:rFonts w:cs="Minion-Regular"/>
          <w:i/>
        </w:rPr>
        <w:t xml:space="preserve">Environmental Research Letters, </w:t>
      </w:r>
      <w:r>
        <w:rPr>
          <w:rFonts w:cs="Minion-Regular"/>
        </w:rPr>
        <w:t xml:space="preserve">vol.2. </w:t>
      </w:r>
    </w:p>
    <w:p w14:paraId="4D250929" w14:textId="77777777" w:rsidR="00E1105F" w:rsidRDefault="00E1105F" w:rsidP="00E1105F">
      <w:pPr>
        <w:autoSpaceDE w:val="0"/>
        <w:autoSpaceDN w:val="0"/>
        <w:adjustRightInd w:val="0"/>
        <w:spacing w:after="0" w:line="240" w:lineRule="auto"/>
        <w:rPr>
          <w:rFonts w:cs="Minion-Regular"/>
        </w:rPr>
      </w:pPr>
    </w:p>
    <w:p w14:paraId="20DD57D1" w14:textId="77777777" w:rsidR="00E1105F" w:rsidRPr="00B651F5" w:rsidRDefault="00E1105F" w:rsidP="00E1105F">
      <w:pPr>
        <w:rPr>
          <w:rFonts w:cs="Arial"/>
          <w:color w:val="333333"/>
          <w:shd w:val="clear" w:color="auto" w:fill="FFFFFF"/>
        </w:rPr>
      </w:pPr>
      <w:r w:rsidRPr="00B651F5">
        <w:rPr>
          <w:rStyle w:val="author"/>
          <w:rFonts w:cs="Arial"/>
          <w:color w:val="333333"/>
          <w:bdr w:val="none" w:sz="0" w:space="0" w:color="auto" w:frame="1"/>
          <w:shd w:val="clear" w:color="auto" w:fill="FFFFFF"/>
        </w:rPr>
        <w:t>Lobell, D. B.</w:t>
      </w:r>
      <w:r w:rsidRPr="00B651F5">
        <w:rPr>
          <w:rFonts w:cs="Arial"/>
          <w:color w:val="333333"/>
          <w:shd w:val="clear" w:color="auto" w:fill="FFFFFF"/>
        </w:rPr>
        <w:t>, </w:t>
      </w:r>
      <w:r w:rsidRPr="00B651F5">
        <w:rPr>
          <w:rStyle w:val="author"/>
          <w:rFonts w:cs="Arial"/>
          <w:color w:val="333333"/>
          <w:bdr w:val="none" w:sz="0" w:space="0" w:color="auto" w:frame="1"/>
          <w:shd w:val="clear" w:color="auto" w:fill="FFFFFF"/>
        </w:rPr>
        <w:t>M. B. Burke</w:t>
      </w:r>
      <w:r w:rsidRPr="00B651F5">
        <w:rPr>
          <w:rFonts w:cs="Arial"/>
          <w:color w:val="333333"/>
          <w:shd w:val="clear" w:color="auto" w:fill="FFFFFF"/>
        </w:rPr>
        <w:t>, </w:t>
      </w:r>
      <w:r w:rsidRPr="00B651F5">
        <w:rPr>
          <w:rStyle w:val="author"/>
          <w:rFonts w:cs="Arial"/>
          <w:color w:val="333333"/>
          <w:bdr w:val="none" w:sz="0" w:space="0" w:color="auto" w:frame="1"/>
          <w:shd w:val="clear" w:color="auto" w:fill="FFFFFF"/>
        </w:rPr>
        <w:t>C. Tebaldi</w:t>
      </w:r>
      <w:r w:rsidRPr="00B651F5">
        <w:rPr>
          <w:rFonts w:cs="Arial"/>
          <w:color w:val="333333"/>
          <w:shd w:val="clear" w:color="auto" w:fill="FFFFFF"/>
        </w:rPr>
        <w:t>, </w:t>
      </w:r>
      <w:r w:rsidRPr="00B651F5">
        <w:rPr>
          <w:rStyle w:val="author"/>
          <w:rFonts w:cs="Arial"/>
          <w:color w:val="333333"/>
          <w:bdr w:val="none" w:sz="0" w:space="0" w:color="auto" w:frame="1"/>
          <w:shd w:val="clear" w:color="auto" w:fill="FFFFFF"/>
        </w:rPr>
        <w:t>M. D. Mastrandrea</w:t>
      </w:r>
      <w:r w:rsidRPr="00B651F5">
        <w:rPr>
          <w:rFonts w:cs="Arial"/>
          <w:color w:val="333333"/>
          <w:shd w:val="clear" w:color="auto" w:fill="FFFFFF"/>
        </w:rPr>
        <w:t>, </w:t>
      </w:r>
      <w:r w:rsidRPr="00B651F5">
        <w:rPr>
          <w:rStyle w:val="author"/>
          <w:rFonts w:cs="Arial"/>
          <w:color w:val="333333"/>
          <w:bdr w:val="none" w:sz="0" w:space="0" w:color="auto" w:frame="1"/>
          <w:shd w:val="clear" w:color="auto" w:fill="FFFFFF"/>
        </w:rPr>
        <w:t>W. P. Falcon</w:t>
      </w:r>
      <w:r w:rsidRPr="00B651F5">
        <w:rPr>
          <w:rFonts w:cs="Arial"/>
          <w:color w:val="333333"/>
          <w:shd w:val="clear" w:color="auto" w:fill="FFFFFF"/>
        </w:rPr>
        <w:t>, and </w:t>
      </w:r>
      <w:r w:rsidRPr="00B651F5">
        <w:rPr>
          <w:rStyle w:val="author"/>
          <w:rFonts w:cs="Arial"/>
          <w:color w:val="333333"/>
          <w:bdr w:val="none" w:sz="0" w:space="0" w:color="auto" w:frame="1"/>
          <w:shd w:val="clear" w:color="auto" w:fill="FFFFFF"/>
        </w:rPr>
        <w:t>R. L. Naylor</w:t>
      </w:r>
      <w:r w:rsidRPr="00B651F5">
        <w:rPr>
          <w:rFonts w:cs="Arial"/>
          <w:color w:val="333333"/>
          <w:shd w:val="clear" w:color="auto" w:fill="FFFFFF"/>
        </w:rPr>
        <w:t>. </w:t>
      </w:r>
      <w:r w:rsidRPr="00B651F5">
        <w:rPr>
          <w:rStyle w:val="pubyear"/>
          <w:rFonts w:cs="Arial"/>
          <w:color w:val="333333"/>
          <w:bdr w:val="none" w:sz="0" w:space="0" w:color="auto" w:frame="1"/>
          <w:shd w:val="clear" w:color="auto" w:fill="FFFFFF"/>
        </w:rPr>
        <w:t>2008</w:t>
      </w:r>
      <w:r w:rsidRPr="00B651F5">
        <w:rPr>
          <w:rFonts w:cs="Arial"/>
          <w:color w:val="333333"/>
          <w:shd w:val="clear" w:color="auto" w:fill="FFFFFF"/>
        </w:rPr>
        <w:t>. </w:t>
      </w:r>
      <w:r w:rsidRPr="00B651F5">
        <w:rPr>
          <w:rStyle w:val="articletitle"/>
          <w:rFonts w:cs="Arial"/>
          <w:color w:val="333333"/>
          <w:bdr w:val="none" w:sz="0" w:space="0" w:color="auto" w:frame="1"/>
          <w:shd w:val="clear" w:color="auto" w:fill="FFFFFF"/>
        </w:rPr>
        <w:t>Prioritizing climate change adaptation needs for food security in 2030</w:t>
      </w:r>
      <w:r w:rsidRPr="00B651F5">
        <w:rPr>
          <w:rFonts w:cs="Arial"/>
          <w:color w:val="333333"/>
          <w:shd w:val="clear" w:color="auto" w:fill="FFFFFF"/>
        </w:rPr>
        <w:t>. </w:t>
      </w:r>
      <w:r w:rsidRPr="00B651F5">
        <w:rPr>
          <w:rStyle w:val="journaltitle"/>
          <w:rFonts w:cs="Arial"/>
          <w:i/>
          <w:iCs/>
          <w:color w:val="333333"/>
          <w:bdr w:val="none" w:sz="0" w:space="0" w:color="auto" w:frame="1"/>
          <w:shd w:val="clear" w:color="auto" w:fill="FFFFFF"/>
        </w:rPr>
        <w:t>Science</w:t>
      </w:r>
      <w:r w:rsidRPr="00B651F5">
        <w:rPr>
          <w:rFonts w:cs="Arial"/>
          <w:color w:val="333333"/>
          <w:shd w:val="clear" w:color="auto" w:fill="FFFFFF"/>
        </w:rPr>
        <w:t> </w:t>
      </w:r>
      <w:r w:rsidRPr="00B651F5">
        <w:rPr>
          <w:rStyle w:val="vol"/>
          <w:rFonts w:cs="Arial"/>
          <w:b/>
          <w:bCs/>
          <w:color w:val="333333"/>
          <w:bdr w:val="none" w:sz="0" w:space="0" w:color="auto" w:frame="1"/>
          <w:shd w:val="clear" w:color="auto" w:fill="FFFFFF"/>
        </w:rPr>
        <w:t>319</w:t>
      </w:r>
      <w:r w:rsidRPr="00B651F5">
        <w:rPr>
          <w:rFonts w:cs="Arial"/>
          <w:color w:val="333333"/>
          <w:shd w:val="clear" w:color="auto" w:fill="FFFFFF"/>
        </w:rPr>
        <w:t>:</w:t>
      </w:r>
      <w:r w:rsidRPr="00B651F5">
        <w:rPr>
          <w:rStyle w:val="pagefirst"/>
          <w:rFonts w:cs="Arial"/>
          <w:color w:val="333333"/>
          <w:bdr w:val="none" w:sz="0" w:space="0" w:color="auto" w:frame="1"/>
          <w:shd w:val="clear" w:color="auto" w:fill="FFFFFF"/>
        </w:rPr>
        <w:t>607</w:t>
      </w:r>
      <w:r w:rsidRPr="00B651F5">
        <w:rPr>
          <w:rFonts w:cs="Arial"/>
          <w:color w:val="333333"/>
          <w:shd w:val="clear" w:color="auto" w:fill="FFFFFF"/>
        </w:rPr>
        <w:t>–</w:t>
      </w:r>
      <w:r w:rsidRPr="00B651F5">
        <w:rPr>
          <w:rStyle w:val="pagelast"/>
          <w:rFonts w:cs="Arial"/>
          <w:color w:val="333333"/>
          <w:bdr w:val="none" w:sz="0" w:space="0" w:color="auto" w:frame="1"/>
          <w:shd w:val="clear" w:color="auto" w:fill="FFFFFF"/>
        </w:rPr>
        <w:t>610</w:t>
      </w:r>
      <w:r w:rsidRPr="00B651F5">
        <w:rPr>
          <w:rFonts w:cs="Arial"/>
          <w:color w:val="333333"/>
          <w:shd w:val="clear" w:color="auto" w:fill="FFFFFF"/>
        </w:rPr>
        <w:t>.</w:t>
      </w:r>
    </w:p>
    <w:p w14:paraId="667EB24F" w14:textId="77777777" w:rsidR="00E1105F" w:rsidRPr="000230B5" w:rsidRDefault="00E1105F" w:rsidP="00E1105F">
      <w:r>
        <w:rPr>
          <w:rFonts w:cs="Arial"/>
          <w:color w:val="333333"/>
          <w:shd w:val="clear" w:color="auto" w:fill="FFFFFF"/>
        </w:rPr>
        <w:t xml:space="preserve">Lobell, DV, Banziger, M, Magorokoso, C &amp; Vivek, B 2011, ‘Nonlinear heat effects on African maize as evidenced by historical yield trials’, </w:t>
      </w:r>
      <w:r>
        <w:rPr>
          <w:rFonts w:cs="Arial"/>
          <w:i/>
          <w:color w:val="333333"/>
          <w:shd w:val="clear" w:color="auto" w:fill="FFFFFF"/>
        </w:rPr>
        <w:t xml:space="preserve">Nature Climate Change, </w:t>
      </w:r>
      <w:r>
        <w:rPr>
          <w:rFonts w:cs="Arial"/>
          <w:color w:val="333333"/>
          <w:shd w:val="clear" w:color="auto" w:fill="FFFFFF"/>
        </w:rPr>
        <w:t>vol. 1, pp. 42-45. ’</w:t>
      </w:r>
    </w:p>
    <w:p w14:paraId="258B622F" w14:textId="77777777" w:rsidR="00E1105F" w:rsidRDefault="00E1105F" w:rsidP="00E1105F">
      <w:pPr>
        <w:autoSpaceDE w:val="0"/>
        <w:autoSpaceDN w:val="0"/>
        <w:adjustRightInd w:val="0"/>
        <w:spacing w:after="0" w:line="240" w:lineRule="auto"/>
        <w:rPr>
          <w:rFonts w:cs="Minion-Regular"/>
        </w:rPr>
      </w:pPr>
      <w:r>
        <w:rPr>
          <w:rFonts w:cs="Minion-Regular"/>
        </w:rPr>
        <w:t xml:space="preserve">Moat, J, Williams, J, Baena, S, Wilkinson, T, Gole, TW, Challa, ZK, Demissew, S &amp; Davis, AP 2017, ‘Resilience potential of the Ethiopian coffee sector under climate change’ </w:t>
      </w:r>
      <w:r>
        <w:rPr>
          <w:rFonts w:cs="Minion-Regular"/>
          <w:i/>
        </w:rPr>
        <w:t xml:space="preserve">Nature Plants, </w:t>
      </w:r>
      <w:r>
        <w:rPr>
          <w:rFonts w:cs="Minion-Regular"/>
        </w:rPr>
        <w:t>vol. 3, pp. 1-14, doi:10.1038/nplants.2017.81.</w:t>
      </w:r>
    </w:p>
    <w:p w14:paraId="6F42649C" w14:textId="77777777" w:rsidR="00E1105F" w:rsidRPr="00E3621F" w:rsidRDefault="00E1105F" w:rsidP="00E1105F">
      <w:pPr>
        <w:autoSpaceDE w:val="0"/>
        <w:autoSpaceDN w:val="0"/>
        <w:adjustRightInd w:val="0"/>
        <w:spacing w:after="0" w:line="240" w:lineRule="auto"/>
        <w:rPr>
          <w:rFonts w:cs="Minion-Regular"/>
        </w:rPr>
      </w:pPr>
    </w:p>
    <w:p w14:paraId="0A159C08" w14:textId="1840AB2C" w:rsidR="000B5BBF" w:rsidRPr="000B5BBF" w:rsidRDefault="000B5BBF" w:rsidP="000B5BBF">
      <w:pPr>
        <w:pStyle w:val="Bibliography"/>
        <w:rPr>
          <w:rFonts w:cstheme="minorHAnsi"/>
          <w:noProof/>
          <w:lang w:val="en-AU"/>
        </w:rPr>
      </w:pPr>
      <w:r w:rsidRPr="000B5BBF">
        <w:rPr>
          <w:rFonts w:cstheme="minorHAnsi"/>
          <w:noProof/>
          <w:lang w:val="en-AU"/>
        </w:rPr>
        <w:lastRenderedPageBreak/>
        <w:t>Nakibuuka, B</w:t>
      </w:r>
      <w:r>
        <w:rPr>
          <w:rFonts w:cstheme="minorHAnsi"/>
          <w:noProof/>
          <w:lang w:val="en-AU"/>
        </w:rPr>
        <w:t xml:space="preserve"> </w:t>
      </w:r>
      <w:r w:rsidRPr="000B5BBF">
        <w:rPr>
          <w:rFonts w:cstheme="minorHAnsi"/>
          <w:noProof/>
          <w:lang w:val="en-AU"/>
        </w:rPr>
        <w:t xml:space="preserve">2016, </w:t>
      </w:r>
      <w:r w:rsidRPr="000B5BBF">
        <w:rPr>
          <w:rFonts w:cstheme="minorHAnsi"/>
          <w:i/>
          <w:iCs/>
          <w:noProof/>
          <w:lang w:val="en-AU"/>
        </w:rPr>
        <w:t>Daily Monitor</w:t>
      </w:r>
      <w:r w:rsidRPr="000B5BBF">
        <w:rPr>
          <w:rFonts w:cstheme="minorHAnsi"/>
          <w:noProof/>
          <w:lang w:val="en-AU"/>
        </w:rPr>
        <w:t>. Retrieved from Eliminating the culture of open defecation in Karamoja: http://www.monitor.co.ug/artsculture/Reviews/Eliminating-culture-open-defecation-Karamoja/691232-3021298-154wsqgz/index.html</w:t>
      </w:r>
    </w:p>
    <w:p w14:paraId="611AB612" w14:textId="1BD813E5" w:rsidR="00E1105F" w:rsidRDefault="00E1105F" w:rsidP="00E1105F">
      <w:pPr>
        <w:autoSpaceDE w:val="0"/>
        <w:autoSpaceDN w:val="0"/>
        <w:adjustRightInd w:val="0"/>
        <w:spacing w:after="0" w:line="240" w:lineRule="auto"/>
        <w:rPr>
          <w:rFonts w:cs="Minion-Regular"/>
        </w:rPr>
      </w:pPr>
      <w:r>
        <w:rPr>
          <w:rFonts w:cs="Minion-Regular"/>
        </w:rPr>
        <w:t xml:space="preserve">Nelson, GC, Rosegrant, MW, Koo, J, Robertson, R, Sulser, T &amp; Zhu, T et al. 2009, </w:t>
      </w:r>
      <w:r>
        <w:rPr>
          <w:rFonts w:cs="Minion-Regular"/>
          <w:i/>
        </w:rPr>
        <w:t xml:space="preserve">Impact on agriculture and costs of adaptation, </w:t>
      </w:r>
      <w:r>
        <w:rPr>
          <w:rFonts w:cs="Minion-Regular"/>
        </w:rPr>
        <w:t>Food policy report, IRPRI, Washington, DC.</w:t>
      </w:r>
    </w:p>
    <w:p w14:paraId="58C7C50D" w14:textId="77777777" w:rsidR="00E1105F" w:rsidRPr="00E6204B" w:rsidRDefault="00E1105F" w:rsidP="00E1105F">
      <w:pPr>
        <w:autoSpaceDE w:val="0"/>
        <w:autoSpaceDN w:val="0"/>
        <w:adjustRightInd w:val="0"/>
        <w:spacing w:after="0" w:line="240" w:lineRule="auto"/>
        <w:rPr>
          <w:rFonts w:cs="Minion-Regular"/>
        </w:rPr>
      </w:pPr>
    </w:p>
    <w:p w14:paraId="02DF6EE0" w14:textId="26E62419" w:rsidR="00E1105F" w:rsidRDefault="00E1105F" w:rsidP="00E1105F">
      <w:pPr>
        <w:autoSpaceDE w:val="0"/>
        <w:autoSpaceDN w:val="0"/>
        <w:adjustRightInd w:val="0"/>
        <w:spacing w:after="0" w:line="240" w:lineRule="auto"/>
        <w:rPr>
          <w:rFonts w:cs="Minion-Regular"/>
        </w:rPr>
      </w:pPr>
      <w:r>
        <w:rPr>
          <w:rFonts w:cs="Minion-Regular"/>
        </w:rPr>
        <w:t xml:space="preserve">Ringler, C, Zhu, T, Cai, X, Koo, J &amp; Wang, D 2010, </w:t>
      </w:r>
      <w:r>
        <w:rPr>
          <w:rFonts w:cs="Minion-Regular"/>
          <w:i/>
        </w:rPr>
        <w:t xml:space="preserve">Climate change impacts on food security in sub-Saharan Africa: insights from comprehensive climate change scenarios, </w:t>
      </w:r>
      <w:r>
        <w:rPr>
          <w:rFonts w:cs="Minion-Regular"/>
        </w:rPr>
        <w:t xml:space="preserve">(No. 1042) IFPRI, Washington, DC. </w:t>
      </w:r>
    </w:p>
    <w:p w14:paraId="318FDF23" w14:textId="77777777" w:rsidR="00C9688C" w:rsidRPr="00C9688C" w:rsidRDefault="00C9688C" w:rsidP="00623932">
      <w:pPr>
        <w:spacing w:before="120"/>
        <w:jc w:val="both"/>
        <w:rPr>
          <w:rFonts w:cs="Minion-Regular"/>
        </w:rPr>
      </w:pPr>
      <w:r w:rsidRPr="00C9688C">
        <w:rPr>
          <w:rFonts w:cs="Minion-Regular"/>
        </w:rPr>
        <w:t>Roos, E.L., Adams, P.D., and van Heerden, J.H. (2015). Construction a CGE database using GEMPACK for an African country. Computational Economics. Volume 46, Issue 4, Page 495-518.</w:t>
      </w:r>
    </w:p>
    <w:p w14:paraId="66038EF3" w14:textId="77777777" w:rsidR="00C9688C" w:rsidRDefault="00C9688C" w:rsidP="00E1105F">
      <w:pPr>
        <w:autoSpaceDE w:val="0"/>
        <w:autoSpaceDN w:val="0"/>
        <w:adjustRightInd w:val="0"/>
        <w:spacing w:after="0" w:line="240" w:lineRule="auto"/>
        <w:rPr>
          <w:rFonts w:cs="Minion-Regular"/>
        </w:rPr>
      </w:pPr>
    </w:p>
    <w:p w14:paraId="1F41DFAF" w14:textId="77777777" w:rsidR="00E1105F" w:rsidRPr="00902AC9" w:rsidRDefault="00E1105F" w:rsidP="00E1105F">
      <w:pPr>
        <w:autoSpaceDE w:val="0"/>
        <w:autoSpaceDN w:val="0"/>
        <w:adjustRightInd w:val="0"/>
        <w:spacing w:after="0" w:line="240" w:lineRule="auto"/>
        <w:rPr>
          <w:rFonts w:cs="Minion-Regular"/>
        </w:rPr>
      </w:pPr>
      <w:r w:rsidRPr="00902AC9">
        <w:rPr>
          <w:rFonts w:cs="Minion-Regular"/>
        </w:rPr>
        <w:t xml:space="preserve">Tatsumi, K, Yamashiki, Y, Valmir da Silva, R, Takara, K, Matsuoka, Y &amp; Takahashi, K 2011,’Estimation of potential changes in cereals production under climate change scenarios’, </w:t>
      </w:r>
      <w:r w:rsidRPr="00902AC9">
        <w:rPr>
          <w:rFonts w:cs="Minion-Regular"/>
          <w:i/>
        </w:rPr>
        <w:t xml:space="preserve">Hydrological Processes, </w:t>
      </w:r>
      <w:r w:rsidRPr="00902AC9">
        <w:rPr>
          <w:rFonts w:cs="Minion-Regular"/>
        </w:rPr>
        <w:t>vol.25, pp.2715-2725.</w:t>
      </w:r>
    </w:p>
    <w:p w14:paraId="3D2F0541" w14:textId="77777777" w:rsidR="00E1105F" w:rsidRPr="00902AC9" w:rsidRDefault="00E1105F" w:rsidP="00E1105F">
      <w:pPr>
        <w:autoSpaceDE w:val="0"/>
        <w:autoSpaceDN w:val="0"/>
        <w:adjustRightInd w:val="0"/>
        <w:spacing w:after="0" w:line="240" w:lineRule="auto"/>
        <w:rPr>
          <w:rFonts w:cs="Minion-Regular"/>
        </w:rPr>
      </w:pPr>
    </w:p>
    <w:p w14:paraId="4FE96FCB" w14:textId="77777777" w:rsidR="00E1105F" w:rsidRDefault="00E1105F" w:rsidP="00E1105F">
      <w:r>
        <w:t xml:space="preserve">Thomas, T &amp; Rosegrant, M 2015, ‘Climate change impact on key crops in Africa: using crop models and general equilibrium models to bound the predictions’, in FAO </w:t>
      </w:r>
      <w:r w:rsidRPr="00117959">
        <w:rPr>
          <w:i/>
        </w:rPr>
        <w:t>Climate change and food systems: global assessments and implications for food security and trade</w:t>
      </w:r>
      <w:r>
        <w:t xml:space="preserve">, Food Agriculture Organization of the United Nations, pp.146-175. </w:t>
      </w:r>
    </w:p>
    <w:p w14:paraId="4972AF23" w14:textId="77777777" w:rsidR="00E1105F" w:rsidRDefault="00E1105F" w:rsidP="00E1105F">
      <w:pPr>
        <w:autoSpaceDE w:val="0"/>
        <w:autoSpaceDN w:val="0"/>
        <w:adjustRightInd w:val="0"/>
        <w:spacing w:after="0" w:line="240" w:lineRule="auto"/>
        <w:rPr>
          <w:rFonts w:cs="Minion-Regular"/>
        </w:rPr>
      </w:pPr>
      <w:r w:rsidRPr="00902AC9">
        <w:rPr>
          <w:rFonts w:cs="Minion-Regular"/>
        </w:rPr>
        <w:t xml:space="preserve">Thornton, PK, Jones, PG, Alagarswamy, G &amp; Andresen, J 2009, Spatial variation of crop yield response to climate change in East Africa, </w:t>
      </w:r>
      <w:r w:rsidRPr="00902AC9">
        <w:rPr>
          <w:rFonts w:cs="Minion-Regular"/>
          <w:i/>
        </w:rPr>
        <w:t xml:space="preserve">Global Environmental Change, </w:t>
      </w:r>
      <w:r w:rsidRPr="00902AC9">
        <w:rPr>
          <w:rFonts w:cs="Minion-Regular"/>
        </w:rPr>
        <w:t>vol.19, pp.54-65</w:t>
      </w:r>
      <w:r>
        <w:rPr>
          <w:rFonts w:cs="Minion-Regular"/>
        </w:rPr>
        <w:t>.</w:t>
      </w:r>
    </w:p>
    <w:p w14:paraId="4FB5BD3C" w14:textId="77777777" w:rsidR="00E1105F" w:rsidRDefault="00E1105F" w:rsidP="00E1105F">
      <w:pPr>
        <w:autoSpaceDE w:val="0"/>
        <w:autoSpaceDN w:val="0"/>
        <w:adjustRightInd w:val="0"/>
        <w:spacing w:after="0" w:line="240" w:lineRule="auto"/>
        <w:rPr>
          <w:rFonts w:cs="Minion-Regular"/>
        </w:rPr>
      </w:pPr>
    </w:p>
    <w:p w14:paraId="0A2999BE" w14:textId="77777777" w:rsidR="00E1105F" w:rsidRDefault="00E1105F" w:rsidP="00E1105F">
      <w:r>
        <w:t xml:space="preserve">Thornton, PK, Boone RB &amp; Ramirez-Villegas, J 2015, ‘Climate change impacts on livestock’, CCAFS Working Paper no. 120. CGIAR Research Program on Climate Change, Agriculture and Food Security (CCAFS). Copenhagen, Denmark. Available online at: </w:t>
      </w:r>
      <w:hyperlink r:id="rId23" w:history="1">
        <w:r w:rsidRPr="00AE269F">
          <w:rPr>
            <w:rStyle w:val="Hyperlink"/>
          </w:rPr>
          <w:t>www.ccafs.cgiar.org</w:t>
        </w:r>
      </w:hyperlink>
    </w:p>
    <w:p w14:paraId="77FD7FFC" w14:textId="60F0177B" w:rsidR="00F00E1A" w:rsidRPr="00F00E1A" w:rsidRDefault="00F00E1A" w:rsidP="00F00E1A">
      <w:pPr>
        <w:rPr>
          <w:rFonts w:ascii="Arial" w:eastAsia="Times New Roman" w:hAnsi="Arial" w:cs="Arial"/>
          <w:sz w:val="20"/>
          <w:szCs w:val="20"/>
          <w:lang w:val="en-AU" w:eastAsia="en-AU"/>
        </w:rPr>
      </w:pPr>
      <w:r>
        <w:t xml:space="preserve">Uganda Bureau of Statistics (UBOS). 2017. Annual GDP data. Available at </w:t>
      </w:r>
      <w:hyperlink r:id="rId24" w:history="1">
        <w:r w:rsidRPr="00434628">
          <w:rPr>
            <w:rStyle w:val="Hyperlink"/>
            <w:rFonts w:ascii="Arial" w:eastAsia="Times New Roman" w:hAnsi="Arial" w:cs="Arial"/>
            <w:sz w:val="20"/>
            <w:szCs w:val="20"/>
            <w:lang w:val="en-AU" w:eastAsia="en-AU"/>
          </w:rPr>
          <w:t>http://www.ubos.org/statistics/macro-economic/annual-gdp/</w:t>
        </w:r>
      </w:hyperlink>
      <w:r>
        <w:rPr>
          <w:rFonts w:ascii="Arial" w:eastAsia="Times New Roman" w:hAnsi="Arial" w:cs="Arial"/>
          <w:sz w:val="20"/>
          <w:szCs w:val="20"/>
          <w:lang w:val="en-AU" w:eastAsia="en-AU"/>
        </w:rPr>
        <w:t>. (accessed on 31 January 2017).</w:t>
      </w:r>
    </w:p>
    <w:p w14:paraId="78FBB38F" w14:textId="767AA1AB" w:rsidR="00E1105F" w:rsidRPr="00AC31E2" w:rsidRDefault="00E1105F" w:rsidP="00E1105F">
      <w:r>
        <w:t xml:space="preserve">Van Asten, PJA, Fermont, AM &amp; Taulya, G 2011, ‘Drought is a major yield loss factor for rainfed East African highland banana’, </w:t>
      </w:r>
      <w:r>
        <w:rPr>
          <w:i/>
        </w:rPr>
        <w:t xml:space="preserve">Agricultural Water Management, </w:t>
      </w:r>
      <w:r>
        <w:t>vol. 98, pp. 541-552.</w:t>
      </w:r>
    </w:p>
    <w:p w14:paraId="6A89A0A3" w14:textId="6E2AFCC8" w:rsidR="000B5BBF" w:rsidRPr="00710E27" w:rsidRDefault="000B5BBF" w:rsidP="000B5BBF">
      <w:pPr>
        <w:rPr>
          <w:noProof/>
          <w:lang w:val="en-AU"/>
        </w:rPr>
      </w:pPr>
      <w:r w:rsidRPr="00710E27">
        <w:rPr>
          <w:noProof/>
          <w:lang w:val="en-AU"/>
        </w:rPr>
        <w:t>Water Institute UNC</w:t>
      </w:r>
      <w:r>
        <w:rPr>
          <w:noProof/>
          <w:lang w:val="en-AU"/>
        </w:rPr>
        <w:t xml:space="preserve"> </w:t>
      </w:r>
      <w:r w:rsidRPr="00710E27">
        <w:rPr>
          <w:noProof/>
          <w:lang w:val="en-AU"/>
        </w:rPr>
        <w:t xml:space="preserve">2015, </w:t>
      </w:r>
      <w:r w:rsidRPr="00710E27">
        <w:rPr>
          <w:i/>
          <w:iCs/>
          <w:noProof/>
          <w:lang w:val="en-AU"/>
        </w:rPr>
        <w:t>The Water Institute</w:t>
      </w:r>
      <w:r w:rsidRPr="00710E27">
        <w:rPr>
          <w:noProof/>
          <w:lang w:val="en-AU"/>
        </w:rPr>
        <w:t>. Retrieved from Community-led Total Sanitation in Uganda:: https://waterinstitute.unc.edu/files/2015/12/learning-series-uganda-learning-brief-2015-12.pdf</w:t>
      </w:r>
    </w:p>
    <w:p w14:paraId="3CE46E8C" w14:textId="5969D94B" w:rsidR="000B5BBF" w:rsidRPr="00710E27" w:rsidRDefault="000B5BBF" w:rsidP="000B5BBF">
      <w:pPr>
        <w:rPr>
          <w:noProof/>
          <w:lang w:val="en-AU"/>
        </w:rPr>
      </w:pPr>
      <w:r w:rsidRPr="00710E27">
        <w:rPr>
          <w:noProof/>
          <w:lang w:val="en-AU"/>
        </w:rPr>
        <w:lastRenderedPageBreak/>
        <w:t>Water.org.</w:t>
      </w:r>
      <w:r>
        <w:rPr>
          <w:noProof/>
          <w:lang w:val="en-AU"/>
        </w:rPr>
        <w:t xml:space="preserve"> </w:t>
      </w:r>
      <w:r w:rsidRPr="00710E27">
        <w:rPr>
          <w:noProof/>
          <w:lang w:val="en-AU"/>
        </w:rPr>
        <w:t>2016</w:t>
      </w:r>
      <w:r>
        <w:rPr>
          <w:noProof/>
          <w:lang w:val="en-AU"/>
        </w:rPr>
        <w:t>,</w:t>
      </w:r>
      <w:r w:rsidRPr="00710E27">
        <w:rPr>
          <w:noProof/>
          <w:lang w:val="en-AU"/>
        </w:rPr>
        <w:t xml:space="preserve"> </w:t>
      </w:r>
      <w:r w:rsidRPr="00710E27">
        <w:rPr>
          <w:i/>
          <w:iCs/>
          <w:noProof/>
          <w:lang w:val="en-AU"/>
        </w:rPr>
        <w:t>Water has the power</w:t>
      </w:r>
      <w:r w:rsidRPr="00710E27">
        <w:rPr>
          <w:noProof/>
          <w:lang w:val="en-AU"/>
        </w:rPr>
        <w:t>. Retrieved from Uganda Water Crisis: Clean Water Scarcity in Uganda: http://water.org/country/uganda/</w:t>
      </w:r>
    </w:p>
    <w:p w14:paraId="2271C8D4" w14:textId="75268638" w:rsidR="000B5BBF" w:rsidRPr="00710E27" w:rsidRDefault="000B5BBF" w:rsidP="000B5BBF">
      <w:pPr>
        <w:rPr>
          <w:noProof/>
          <w:lang w:val="en-AU"/>
        </w:rPr>
      </w:pPr>
      <w:r w:rsidRPr="00710E27">
        <w:rPr>
          <w:noProof/>
          <w:lang w:val="en-AU"/>
        </w:rPr>
        <w:t>WFP</w:t>
      </w:r>
      <w:r>
        <w:rPr>
          <w:noProof/>
          <w:lang w:val="en-AU"/>
        </w:rPr>
        <w:t xml:space="preserve"> </w:t>
      </w:r>
      <w:r w:rsidRPr="00710E27">
        <w:rPr>
          <w:noProof/>
          <w:lang w:val="en-AU"/>
        </w:rPr>
        <w:t>2016</w:t>
      </w:r>
      <w:r>
        <w:rPr>
          <w:noProof/>
          <w:lang w:val="en-AU"/>
        </w:rPr>
        <w:t>,</w:t>
      </w:r>
      <w:r w:rsidRPr="00710E27">
        <w:rPr>
          <w:noProof/>
          <w:lang w:val="en-AU"/>
        </w:rPr>
        <w:t xml:space="preserve"> </w:t>
      </w:r>
      <w:r w:rsidRPr="00710E27">
        <w:rPr>
          <w:i/>
          <w:iCs/>
          <w:noProof/>
          <w:lang w:val="en-AU"/>
        </w:rPr>
        <w:t>What is food security?</w:t>
      </w:r>
      <w:r w:rsidRPr="00710E27">
        <w:rPr>
          <w:noProof/>
          <w:lang w:val="en-AU"/>
        </w:rPr>
        <w:t xml:space="preserve"> Retrieved from World Food Programme: https://www.wfp.org/node/359289</w:t>
      </w:r>
    </w:p>
    <w:p w14:paraId="6B247539" w14:textId="19C603F2" w:rsidR="00E1105F" w:rsidRPr="00766406" w:rsidRDefault="00E1105F" w:rsidP="00E1105F">
      <w:r>
        <w:t xml:space="preserve">World Bank 2009, </w:t>
      </w:r>
      <w:r>
        <w:rPr>
          <w:i/>
        </w:rPr>
        <w:t xml:space="preserve">World Development Indicators, </w:t>
      </w:r>
      <w:r>
        <w:t xml:space="preserve">Washington, DC. </w:t>
      </w:r>
    </w:p>
    <w:p w14:paraId="46552482" w14:textId="73E2AD3C" w:rsidR="000B5BBF" w:rsidRPr="00710E27" w:rsidRDefault="000B5BBF" w:rsidP="000B5BBF">
      <w:pPr>
        <w:rPr>
          <w:noProof/>
          <w:lang w:val="en-AU"/>
        </w:rPr>
      </w:pPr>
      <w:r w:rsidRPr="00710E27">
        <w:rPr>
          <w:color w:val="1D1D1D"/>
          <w:shd w:val="clear" w:color="auto" w:fill="FFFFFF"/>
        </w:rPr>
        <w:fldChar w:fldCharType="begin"/>
      </w:r>
      <w:r w:rsidRPr="00710E27">
        <w:rPr>
          <w:color w:val="1D1D1D"/>
          <w:shd w:val="clear" w:color="auto" w:fill="FFFFFF"/>
          <w:lang w:val="en-AU"/>
        </w:rPr>
        <w:instrText xml:space="preserve"> BIBLIOGRAPHY  \l 3081 </w:instrText>
      </w:r>
      <w:r w:rsidRPr="00710E27">
        <w:rPr>
          <w:color w:val="1D1D1D"/>
          <w:shd w:val="clear" w:color="auto" w:fill="FFFFFF"/>
        </w:rPr>
        <w:fldChar w:fldCharType="separate"/>
      </w:r>
      <w:r w:rsidRPr="00710E27">
        <w:rPr>
          <w:noProof/>
          <w:lang w:val="en-AU"/>
        </w:rPr>
        <w:t>World Bank</w:t>
      </w:r>
      <w:r>
        <w:rPr>
          <w:noProof/>
          <w:lang w:val="en-AU"/>
        </w:rPr>
        <w:t xml:space="preserve"> </w:t>
      </w:r>
      <w:r w:rsidRPr="00710E27">
        <w:rPr>
          <w:noProof/>
          <w:lang w:val="en-AU"/>
        </w:rPr>
        <w:t>2012</w:t>
      </w:r>
      <w:r>
        <w:rPr>
          <w:noProof/>
          <w:lang w:val="en-AU"/>
        </w:rPr>
        <w:t>,</w:t>
      </w:r>
      <w:r w:rsidRPr="00710E27">
        <w:rPr>
          <w:noProof/>
          <w:lang w:val="en-AU"/>
        </w:rPr>
        <w:t xml:space="preserve"> </w:t>
      </w:r>
      <w:r w:rsidRPr="00710E27">
        <w:rPr>
          <w:i/>
          <w:iCs/>
          <w:noProof/>
          <w:lang w:val="en-AU"/>
        </w:rPr>
        <w:t>The World Bank - Water</w:t>
      </w:r>
      <w:r w:rsidRPr="00710E27">
        <w:rPr>
          <w:noProof/>
          <w:lang w:val="en-AU"/>
        </w:rPr>
        <w:t>. Retrieved from Economic impacts of poor sanitation in Africa - Uganda: http://water.worldbank.org/sites/water.worldbank.org/files/publication/WSP-ESI-Uganda.pdf</w:t>
      </w:r>
    </w:p>
    <w:p w14:paraId="4B667009" w14:textId="6F9E523F" w:rsidR="000B5BBF" w:rsidRPr="00710E27" w:rsidRDefault="000B5BBF" w:rsidP="000B5BBF">
      <w:pPr>
        <w:rPr>
          <w:noProof/>
          <w:lang w:val="en-AU"/>
        </w:rPr>
      </w:pPr>
      <w:r w:rsidRPr="00710E27">
        <w:rPr>
          <w:noProof/>
          <w:lang w:val="en-AU"/>
        </w:rPr>
        <w:t>WSP and UNICEF</w:t>
      </w:r>
      <w:r>
        <w:rPr>
          <w:noProof/>
          <w:lang w:val="en-AU"/>
        </w:rPr>
        <w:t xml:space="preserve"> </w:t>
      </w:r>
      <w:r w:rsidRPr="00710E27">
        <w:rPr>
          <w:noProof/>
          <w:lang w:val="en-AU"/>
        </w:rPr>
        <w:t xml:space="preserve">2014, </w:t>
      </w:r>
      <w:r w:rsidRPr="00710E27">
        <w:rPr>
          <w:i/>
          <w:iCs/>
          <w:noProof/>
          <w:lang w:val="en-AU"/>
        </w:rPr>
        <w:t>Water and Sanitation Program</w:t>
      </w:r>
      <w:r w:rsidRPr="00710E27">
        <w:rPr>
          <w:noProof/>
          <w:lang w:val="en-AU"/>
        </w:rPr>
        <w:t>. Retrieved from Child Feces Disposal in Uganda: https://www.wsp.org/sites/wsp.org/files/publications/WSP-Uganda-CFD-Profile.pdf</w:t>
      </w:r>
    </w:p>
    <w:p w14:paraId="70B20AB5" w14:textId="27C62F41" w:rsidR="00E1105F" w:rsidRDefault="000B5BBF" w:rsidP="000B5BBF">
      <w:pPr>
        <w:rPr>
          <w:rFonts w:cs="Minion-Regular"/>
        </w:rPr>
      </w:pPr>
      <w:r w:rsidRPr="00710E27">
        <w:rPr>
          <w:color w:val="1D1D1D"/>
          <w:shd w:val="clear" w:color="auto" w:fill="FFFFFF"/>
        </w:rPr>
        <w:fldChar w:fldCharType="end"/>
      </w:r>
      <w:r w:rsidR="00E1105F">
        <w:rPr>
          <w:rFonts w:cs="Minion-Regular"/>
        </w:rPr>
        <w:t>Wortmann, CS, Kirby, RA, Eledu, CA &amp; Allen, DJ 1998, ‘Atlas of common bean production in Africa’, CIAT-Pan-African Bean Research Alliance, Kampala</w:t>
      </w:r>
      <w:r w:rsidR="00E1105F" w:rsidRPr="00902AC9">
        <w:rPr>
          <w:rFonts w:cs="Minion-Regular"/>
        </w:rPr>
        <w:t>.</w:t>
      </w:r>
    </w:p>
    <w:p w14:paraId="5C915735" w14:textId="7D6D7A35" w:rsidR="00936BAC" w:rsidRDefault="00E1105F" w:rsidP="00745BCE">
      <w:pPr>
        <w:autoSpaceDE w:val="0"/>
        <w:autoSpaceDN w:val="0"/>
        <w:adjustRightInd w:val="0"/>
        <w:spacing w:after="0" w:line="240" w:lineRule="auto"/>
        <w:rPr>
          <w:rFonts w:cs="Minion-Regular"/>
        </w:rPr>
      </w:pPr>
      <w:r>
        <w:rPr>
          <w:rFonts w:cs="Minion-Regular"/>
        </w:rPr>
        <w:t xml:space="preserve">You L, Rosegrant MW, Fang, C &amp; Wood, S 2005, </w:t>
      </w:r>
      <w:r>
        <w:rPr>
          <w:rFonts w:cs="Minion-Regular"/>
          <w:i/>
        </w:rPr>
        <w:t xml:space="preserve">Impact of global warming on Chinese wheat productivity, </w:t>
      </w:r>
      <w:r>
        <w:rPr>
          <w:rFonts w:cs="Minion-Regular"/>
        </w:rPr>
        <w:t xml:space="preserve">IFPRI, Washington, DC. </w:t>
      </w:r>
    </w:p>
    <w:sectPr w:rsidR="00936BAC" w:rsidSect="00A93F19">
      <w:footerReference w:type="default" r:id="rId25"/>
      <w:pgSz w:w="11906" w:h="16838"/>
      <w:pgMar w:top="1440" w:right="1440" w:bottom="1440" w:left="1440" w:header="708" w:footer="708" w:gutter="0"/>
      <w:pgNumType w:start="1"/>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44" w:author="Philip Adams" w:date="2018-09-15T08:07:00Z" w:initials="PA">
    <w:p w14:paraId="6B0D17B7" w14:textId="7053B446" w:rsidR="008A30A9" w:rsidRDefault="008A30A9">
      <w:pPr>
        <w:pStyle w:val="CommentText"/>
      </w:pPr>
      <w:r>
        <w:rPr>
          <w:rStyle w:val="CommentReference"/>
        </w:rPr>
        <w:annotationRef/>
      </w:r>
      <w:r>
        <w:rPr>
          <w:noProof/>
        </w:rPr>
        <w:t>I don't know what "Annuals" means when referring to an industry. Someone needs to define please.</w:t>
      </w:r>
    </w:p>
  </w:comment>
  <w:comment w:id="52" w:author="Philip Adams" w:date="2018-09-15T09:07:00Z" w:initials="PA">
    <w:p w14:paraId="6A4A6610" w14:textId="433A6BD9" w:rsidR="008A30A9" w:rsidRDefault="008A30A9">
      <w:pPr>
        <w:pStyle w:val="CommentText"/>
      </w:pPr>
      <w:r>
        <w:rPr>
          <w:rStyle w:val="CommentReference"/>
        </w:rPr>
        <w:annotationRef/>
      </w:r>
      <w:r>
        <w:rPr>
          <w:noProof/>
        </w:rPr>
        <w:t>Getting tired. Can someone clean up this paragraph.</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B0D17B7" w15:done="0"/>
  <w15:commentEx w15:paraId="6A4A6610"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3B8078" w14:textId="77777777" w:rsidR="00B11A15" w:rsidRDefault="00B11A15" w:rsidP="004242E0">
      <w:pPr>
        <w:spacing w:after="0" w:line="240" w:lineRule="auto"/>
      </w:pPr>
      <w:r>
        <w:separator/>
      </w:r>
    </w:p>
  </w:endnote>
  <w:endnote w:type="continuationSeparator" w:id="0">
    <w:p w14:paraId="53CFC1DB" w14:textId="77777777" w:rsidR="00B11A15" w:rsidRDefault="00B11A15" w:rsidP="004242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Minion-Regular">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BDF34A" w14:textId="576D776A" w:rsidR="008A30A9" w:rsidRDefault="008A30A9">
    <w:pPr>
      <w:pStyle w:val="Footer"/>
      <w:jc w:val="center"/>
    </w:pPr>
  </w:p>
  <w:p w14:paraId="54EFA669" w14:textId="77777777" w:rsidR="008A30A9" w:rsidRDefault="008A30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3345543"/>
      <w:docPartObj>
        <w:docPartGallery w:val="Page Numbers (Bottom of Page)"/>
        <w:docPartUnique/>
      </w:docPartObj>
    </w:sdtPr>
    <w:sdtEndPr>
      <w:rPr>
        <w:noProof/>
      </w:rPr>
    </w:sdtEndPr>
    <w:sdtContent>
      <w:p w14:paraId="720AD5E4" w14:textId="6B48CBCA" w:rsidR="008A30A9" w:rsidRDefault="008A30A9">
        <w:pPr>
          <w:pStyle w:val="Footer"/>
          <w:jc w:val="center"/>
        </w:pPr>
        <w:r>
          <w:fldChar w:fldCharType="begin"/>
        </w:r>
        <w:r>
          <w:instrText xml:space="preserve"> PAGE   \* MERGEFORMAT </w:instrText>
        </w:r>
        <w:r>
          <w:fldChar w:fldCharType="separate"/>
        </w:r>
        <w:r w:rsidR="007E4972">
          <w:rPr>
            <w:noProof/>
          </w:rPr>
          <w:t>25</w:t>
        </w:r>
        <w:r>
          <w:rPr>
            <w:noProof/>
          </w:rPr>
          <w:fldChar w:fldCharType="end"/>
        </w:r>
      </w:p>
    </w:sdtContent>
  </w:sdt>
  <w:p w14:paraId="24BC7867" w14:textId="77777777" w:rsidR="008A30A9" w:rsidRDefault="008A30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F7025B" w14:textId="77777777" w:rsidR="00B11A15" w:rsidRDefault="00B11A15" w:rsidP="004242E0">
      <w:pPr>
        <w:spacing w:after="0" w:line="240" w:lineRule="auto"/>
      </w:pPr>
      <w:r>
        <w:separator/>
      </w:r>
    </w:p>
  </w:footnote>
  <w:footnote w:type="continuationSeparator" w:id="0">
    <w:p w14:paraId="3B1A2453" w14:textId="77777777" w:rsidR="00B11A15" w:rsidRDefault="00B11A15" w:rsidP="004242E0">
      <w:pPr>
        <w:spacing w:after="0" w:line="240" w:lineRule="auto"/>
      </w:pPr>
      <w:r>
        <w:continuationSeparator/>
      </w:r>
    </w:p>
  </w:footnote>
  <w:footnote w:id="1">
    <w:p w14:paraId="2A57B430" w14:textId="77777777" w:rsidR="008A30A9" w:rsidRDefault="008A30A9">
      <w:pPr>
        <w:pStyle w:val="FootnoteText"/>
      </w:pPr>
      <w:r>
        <w:rPr>
          <w:rStyle w:val="FootnoteReference"/>
        </w:rPr>
        <w:footnoteRef/>
      </w:r>
      <w:r>
        <w:t xml:space="preserve"> In the early 1970s there was scarcity in the world grain market, soaring prices and famines spread over several countries of Asia and Africa. A world food conference was held in 1974 to address world hunger (FAO, 2003). </w:t>
      </w:r>
    </w:p>
  </w:footnote>
  <w:footnote w:id="2">
    <w:p w14:paraId="5DC40A7E" w14:textId="77777777" w:rsidR="008A30A9" w:rsidRDefault="008A30A9" w:rsidP="00F40B1C">
      <w:pPr>
        <w:pStyle w:val="FootnoteText"/>
      </w:pPr>
      <w:r>
        <w:rPr>
          <w:rStyle w:val="FootnoteReference"/>
        </w:rPr>
        <w:footnoteRef/>
      </w:r>
      <w:r>
        <w:t xml:space="preserve"> </w:t>
      </w:r>
      <w:r>
        <w:rPr>
          <w:rFonts w:ascii="Arial" w:hAnsi="Arial" w:cs="Arial"/>
          <w:color w:val="333333"/>
          <w:shd w:val="clear" w:color="auto" w:fill="FFFFFF"/>
        </w:rPr>
        <w:t>Numerical models representing physical processes in the atmosphere, ocean, cryosphere and land surface, used to simulate the response of the global climate system to increasing greenhouse gas concentrations.</w:t>
      </w:r>
    </w:p>
  </w:footnote>
  <w:footnote w:id="3">
    <w:p w14:paraId="7D1CB1CC" w14:textId="77777777" w:rsidR="008A30A9" w:rsidRDefault="008A30A9" w:rsidP="00F40B1C">
      <w:pPr>
        <w:pStyle w:val="FootnoteText"/>
      </w:pPr>
      <w:r>
        <w:rPr>
          <w:rStyle w:val="FootnoteReference"/>
        </w:rPr>
        <w:footnoteRef/>
      </w:r>
      <w:r>
        <w:t xml:space="preserve"> </w:t>
      </w:r>
      <w:r>
        <w:rPr>
          <w:rFonts w:ascii="Minion-Regular" w:hAnsi="Minion-Regular" w:cs="Minion-Regular"/>
          <w:sz w:val="19"/>
          <w:szCs w:val="19"/>
        </w:rPr>
        <w:t>Improved Global Agro- Ecological Zones method</w:t>
      </w:r>
    </w:p>
  </w:footnote>
  <w:footnote w:id="4">
    <w:p w14:paraId="192BE050" w14:textId="77777777" w:rsidR="008A30A9" w:rsidRDefault="008A30A9" w:rsidP="00F40B1C">
      <w:pPr>
        <w:pStyle w:val="FootnoteText"/>
      </w:pPr>
      <w:r>
        <w:rPr>
          <w:rStyle w:val="FootnoteReference"/>
        </w:rPr>
        <w:footnoteRef/>
      </w:r>
      <w:r>
        <w:t xml:space="preserve"> Uganda coffee production consists of 57.2 % Arabica and 42.8 % Robusta, which we use as weights here.</w:t>
      </w:r>
    </w:p>
  </w:footnote>
  <w:footnote w:id="5">
    <w:p w14:paraId="60E24E26" w14:textId="77777777" w:rsidR="008A30A9" w:rsidRPr="00F114B3" w:rsidRDefault="008A30A9" w:rsidP="00B47E5D">
      <w:pPr>
        <w:pStyle w:val="FootnoteText"/>
        <w:rPr>
          <w:lang w:val="en-AU"/>
        </w:rPr>
      </w:pPr>
      <w:r>
        <w:rPr>
          <w:rStyle w:val="FootnoteReference"/>
        </w:rPr>
        <w:footnoteRef/>
      </w:r>
      <w:r>
        <w:t xml:space="preserve"> </w:t>
      </w:r>
      <w:r>
        <w:rPr>
          <w:lang w:val="en-AU"/>
        </w:rPr>
        <w:t xml:space="preserve">Other options are available, provided that there are data to support the non-default settings. For example, if there are data on economies or diseconomies of scale in certain industries, then this can be incorporated into the database and into the theoretical structure of the model. Similarly, if there are data suggesting imperfectly competitive market conditions, then this can also be incorporated into both the data and equation structure of the model. </w:t>
      </w:r>
    </w:p>
  </w:footnote>
  <w:footnote w:id="6">
    <w:p w14:paraId="64DCE3BD" w14:textId="77777777" w:rsidR="008A30A9" w:rsidRPr="00F114B3" w:rsidRDefault="008A30A9" w:rsidP="00B47E5D">
      <w:pPr>
        <w:pStyle w:val="FootnoteText"/>
        <w:rPr>
          <w:lang w:val="en-AU"/>
        </w:rPr>
      </w:pPr>
      <w:r>
        <w:rPr>
          <w:rStyle w:val="FootnoteReference"/>
        </w:rPr>
        <w:footnoteRef/>
      </w:r>
      <w:r>
        <w:t xml:space="preserve"> </w:t>
      </w:r>
      <w:r>
        <w:rPr>
          <w:lang w:val="en-AU"/>
        </w:rPr>
        <w:t>See the previous footnote.</w:t>
      </w:r>
    </w:p>
  </w:footnote>
  <w:footnote w:id="7">
    <w:p w14:paraId="51C049AB" w14:textId="106C3EE3" w:rsidR="008A30A9" w:rsidRPr="00CC38E4" w:rsidRDefault="008A30A9">
      <w:pPr>
        <w:pStyle w:val="FootnoteText"/>
        <w:rPr>
          <w:lang w:val="en-AU"/>
        </w:rPr>
      </w:pPr>
      <w:r>
        <w:rPr>
          <w:rStyle w:val="FootnoteReference"/>
        </w:rPr>
        <w:footnoteRef/>
      </w:r>
      <w:r>
        <w:t xml:space="preserve"> </w:t>
      </w:r>
      <w:r w:rsidRPr="00F94D16">
        <w:t xml:space="preserve">The model requires a </w:t>
      </w:r>
      <w:r>
        <w:t xml:space="preserve">core </w:t>
      </w:r>
      <w:r w:rsidRPr="00F94D16">
        <w:t>database with separate matrices for basic, tax and margin flows for both domestic and imported sources</w:t>
      </w:r>
      <w:r>
        <w:t xml:space="preserve"> of commodities sold</w:t>
      </w:r>
      <w:r w:rsidRPr="00F94D16">
        <w:t xml:space="preserve"> to domestic and foreign users</w:t>
      </w:r>
      <w:r>
        <w:t>. These separate matrices are not explicitly captured in the SUT. Instead they appear in an aggregate form e.g. the USE table shows the use of commodity c by user u valued at purchasers price. These values should be disaggregated into three separate matrices namely, the use of commodities valued at basic price, tax and margin flows. They then have to be disaggregated to show where these commodities are sourced from, either from the local market or imported from the ROW.</w:t>
      </w:r>
    </w:p>
  </w:footnote>
  <w:footnote w:id="8">
    <w:p w14:paraId="48DF7344" w14:textId="6094ECF5" w:rsidR="008A30A9" w:rsidRPr="008B6CB4" w:rsidRDefault="008A30A9">
      <w:pPr>
        <w:pStyle w:val="FootnoteText"/>
        <w:rPr>
          <w:lang w:val="en-AU"/>
        </w:rPr>
      </w:pPr>
      <w:r>
        <w:rPr>
          <w:rStyle w:val="FootnoteReference"/>
        </w:rPr>
        <w:footnoteRef/>
      </w:r>
      <w:r>
        <w:t xml:space="preserve"> See Roos et al. (2014) for a description of how such an IO database can be created from a SUT.</w:t>
      </w:r>
    </w:p>
  </w:footnote>
  <w:footnote w:id="9">
    <w:p w14:paraId="1AFD0FFB" w14:textId="77777777" w:rsidR="008A30A9" w:rsidRPr="00304C25" w:rsidRDefault="008A30A9" w:rsidP="00AE2568">
      <w:pPr>
        <w:pStyle w:val="FootnoteText"/>
        <w:rPr>
          <w:lang w:val="en-AU"/>
        </w:rPr>
      </w:pPr>
      <w:r>
        <w:rPr>
          <w:rStyle w:val="FootnoteReference"/>
        </w:rPr>
        <w:footnoteRef/>
      </w:r>
      <w:r>
        <w:t xml:space="preserve"> </w:t>
      </w:r>
      <w:r>
        <w:rPr>
          <w:lang w:val="en-AU"/>
        </w:rPr>
        <w:t>One would have thought that with the agricultural sector contributing 28% to value added, that manufacturing industries such as textiles, meat processing, grain and bakery industries would contribute in their own right to value added via inter-sectoral linkages. However, the data suggests that most agricultural commodities, such as sorghum, cereals, pulses, rootcrops, cassava and bananas are produced for mainly private consumption by households.</w:t>
      </w:r>
    </w:p>
  </w:footnote>
  <w:footnote w:id="10">
    <w:p w14:paraId="2F5AF172" w14:textId="6BF21C7F" w:rsidR="008A30A9" w:rsidRPr="00646EC5" w:rsidRDefault="008A30A9">
      <w:pPr>
        <w:pStyle w:val="FootnoteText"/>
        <w:rPr>
          <w:lang w:val="en-AU"/>
        </w:rPr>
      </w:pPr>
      <w:r>
        <w:rPr>
          <w:rStyle w:val="FootnoteReference"/>
        </w:rPr>
        <w:footnoteRef/>
      </w:r>
      <w:r>
        <w:t xml:space="preserve"> </w:t>
      </w:r>
      <w:r>
        <w:rPr>
          <w:lang w:val="en-AU"/>
        </w:rPr>
        <w:t>Commodities such as machinery, construction and fabricated metals are used by investors to create capital.</w:t>
      </w:r>
    </w:p>
  </w:footnote>
  <w:footnote w:id="11">
    <w:p w14:paraId="05DC8389" w14:textId="4088C65A" w:rsidR="008A30A9" w:rsidRPr="00BC3E08" w:rsidRDefault="008A30A9">
      <w:pPr>
        <w:pStyle w:val="FootnoteText"/>
        <w:rPr>
          <w:lang w:val="en-AU"/>
        </w:rPr>
      </w:pPr>
      <w:r>
        <w:rPr>
          <w:rStyle w:val="FootnoteReference"/>
        </w:rPr>
        <w:footnoteRef/>
      </w:r>
      <w:r>
        <w:t xml:space="preserve"> </w:t>
      </w:r>
      <w:r>
        <w:rPr>
          <w:lang w:val="en-AU"/>
        </w:rPr>
        <w:t>Commodities such as books, chemicals, general public administration, education and health are typical commodities bought by the government.</w:t>
      </w:r>
    </w:p>
  </w:footnote>
  <w:footnote w:id="12">
    <w:p w14:paraId="354A74D8" w14:textId="13C2137A" w:rsidR="008A30A9" w:rsidRPr="00F00E1A" w:rsidRDefault="008A30A9">
      <w:pPr>
        <w:pStyle w:val="FootnoteText"/>
        <w:rPr>
          <w:lang w:val="en-AU"/>
        </w:rPr>
      </w:pPr>
      <w:r>
        <w:rPr>
          <w:rStyle w:val="FootnoteReference"/>
        </w:rPr>
        <w:footnoteRef/>
      </w:r>
      <w:r>
        <w:t xml:space="preserve"> </w:t>
      </w:r>
      <w:r>
        <w:rPr>
          <w:lang w:val="en-AU"/>
        </w:rPr>
        <w:t>We imposed observed data for real investments, household and public spending and exports (UBOS, 2017).</w:t>
      </w:r>
    </w:p>
  </w:footnote>
  <w:footnote w:id="13">
    <w:p w14:paraId="2270D85A" w14:textId="19E4D382" w:rsidR="008A30A9" w:rsidRPr="00114DDA" w:rsidRDefault="008A30A9">
      <w:pPr>
        <w:pStyle w:val="FootnoteText"/>
        <w:rPr>
          <w:lang w:val="en-AU"/>
        </w:rPr>
      </w:pPr>
      <w:r>
        <w:rPr>
          <w:rStyle w:val="FootnoteReference"/>
        </w:rPr>
        <w:footnoteRef/>
      </w:r>
      <w:r>
        <w:t xml:space="preserve"> </w:t>
      </w:r>
      <w:r>
        <w:rPr>
          <w:lang w:val="en-AU"/>
        </w:rPr>
        <w:t>The base year is 2010 where nominal and real value are similar. By multiplying the initial database value with the year-on-year percentage change in industry output, we are able to calculate the value of real output per year.</w:t>
      </w:r>
    </w:p>
  </w:footnote>
  <w:footnote w:id="14">
    <w:p w14:paraId="1DBC2705" w14:textId="522E2D15" w:rsidR="008A30A9" w:rsidRDefault="008A30A9" w:rsidP="00B30294">
      <w:pPr>
        <w:pStyle w:val="FootnoteText"/>
      </w:pPr>
      <w:r>
        <w:rPr>
          <w:rStyle w:val="FootnoteReference"/>
        </w:rPr>
        <w:footnoteRef/>
      </w:r>
      <w:r>
        <w:t xml:space="preserve"> In this simple BOTE there is only one domestic industry, namely grain, and one imported commodity, namely vehicles. Consumers buy both goods while investors use both as inputs into capital production. </w:t>
      </w:r>
    </w:p>
  </w:footnote>
  <w:footnote w:id="15">
    <w:p w14:paraId="7B89B91B" w14:textId="5075DE80" w:rsidR="008A30A9" w:rsidRPr="00D77123" w:rsidRDefault="008A30A9">
      <w:pPr>
        <w:pStyle w:val="FootnoteText"/>
        <w:rPr>
          <w:lang w:val="en-AU"/>
        </w:rPr>
      </w:pPr>
      <w:r>
        <w:rPr>
          <w:rStyle w:val="FootnoteReference"/>
        </w:rPr>
        <w:footnoteRef/>
      </w:r>
      <w:r>
        <w:t xml:space="preserve"> In our modelling we assume that following a shock capital shifts between industries to eventually eliminate the initial disturbances in rates of return. For example, if the shock increases profitability in an industry, investment will rise (relative to baseline levels). The increase in investment will lead to increased capital. Over time, capital will continue to move into the industry until the initial disturbance in rate of return is eliminated. Note, that in the simulations reported here, the shocks are not once-off, but continue through the projection period. Thus, rates of return never fully return to their baseline levels.</w:t>
      </w:r>
    </w:p>
  </w:footnote>
  <w:footnote w:id="16">
    <w:p w14:paraId="569F5A52" w14:textId="1A996869" w:rsidR="008A30A9" w:rsidRPr="00D77123" w:rsidRDefault="008A30A9">
      <w:pPr>
        <w:pStyle w:val="FootnoteText"/>
        <w:rPr>
          <w:lang w:val="en-AU"/>
        </w:rPr>
      </w:pPr>
      <w:r>
        <w:rPr>
          <w:rStyle w:val="FootnoteReference"/>
        </w:rPr>
        <w:footnoteRef/>
      </w:r>
      <w:r>
        <w:t xml:space="preserve"> </w:t>
      </w:r>
      <w:r>
        <w:rPr>
          <w:lang w:val="en-AU"/>
        </w:rPr>
        <w:t>GDP comprises the cost of capital, the cost of labour, the cost of natural resources and indirect taxes net of subsidies. The combined share of natural resources and indirect taxes is 0.10. In this simulation, the stock of natural resources is held fixed and indirect taxes changes little relative to baseline levels.</w:t>
      </w:r>
    </w:p>
  </w:footnote>
  <w:footnote w:id="17">
    <w:p w14:paraId="3E4326E6" w14:textId="0A0061D5" w:rsidR="008A30A9" w:rsidRPr="00A81A5D" w:rsidRDefault="008A30A9">
      <w:pPr>
        <w:pStyle w:val="FootnoteText"/>
        <w:rPr>
          <w:lang w:val="en-AU"/>
          <w:rPrChange w:id="46" w:author="Philip Adams" w:date="2018-09-15T08:11:00Z">
            <w:rPr/>
          </w:rPrChange>
        </w:rPr>
      </w:pPr>
      <w:r>
        <w:rPr>
          <w:rStyle w:val="FootnoteReference"/>
        </w:rPr>
        <w:footnoteRef/>
      </w:r>
      <w:r>
        <w:t xml:space="preserve"> </w:t>
      </w:r>
      <w:r>
        <w:rPr>
          <w:lang w:val="en-AU"/>
        </w:rPr>
        <w:t>This decomposition is referred to as the Fan decomposition, in recognition of the Chinese scholar who developed the idea while at the Centre of Policy Studies.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0B0DC3"/>
    <w:multiLevelType w:val="hybridMultilevel"/>
    <w:tmpl w:val="C7ACC1B2"/>
    <w:lvl w:ilvl="0" w:tplc="11FC4AF4">
      <w:numFmt w:val="bullet"/>
      <w:lvlText w:val=""/>
      <w:lvlJc w:val="left"/>
      <w:pPr>
        <w:ind w:left="720" w:hanging="360"/>
      </w:pPr>
      <w:rPr>
        <w:rFonts w:ascii="Symbol" w:eastAsiaTheme="minorHAnsi" w:hAnsi="Symbol" w:cstheme="minorBid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53ED0209"/>
    <w:multiLevelType w:val="hybridMultilevel"/>
    <w:tmpl w:val="7388BD8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553E03DD"/>
    <w:multiLevelType w:val="hybridMultilevel"/>
    <w:tmpl w:val="E4EA78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5D914D3A"/>
    <w:multiLevelType w:val="multilevel"/>
    <w:tmpl w:val="0C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5DC353C9"/>
    <w:multiLevelType w:val="hybridMultilevel"/>
    <w:tmpl w:val="2188B9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4"/>
  </w:num>
  <w:num w:numId="4">
    <w:abstractNumId w:val="1"/>
  </w:num>
  <w:num w:numId="5">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hilip Adams">
    <w15:presenceInfo w15:providerId="AD" w15:userId="S-1-5-21-3351612550-2793455294-108779702-28922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ctiveWritingStyle w:appName="MSWord" w:lang="fr-FR" w:vendorID="64" w:dllVersion="131078" w:nlCheck="1" w:checkStyle="0"/>
  <w:activeWritingStyle w:appName="MSWord" w:lang="en-ZA" w:vendorID="64" w:dllVersion="131078" w:nlCheck="1" w:checkStyle="1"/>
  <w:activeWritingStyle w:appName="MSWord" w:lang="en-AU" w:vendorID="64" w:dllVersion="131078" w:nlCheck="1" w:checkStyle="1"/>
  <w:activeWritingStyle w:appName="MSWord" w:lang="en-US" w:vendorID="64" w:dllVersion="131078" w:nlCheck="1" w:checkStyle="1"/>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3E8D"/>
    <w:rsid w:val="000214BB"/>
    <w:rsid w:val="00023E8D"/>
    <w:rsid w:val="00043B74"/>
    <w:rsid w:val="00067344"/>
    <w:rsid w:val="00083F18"/>
    <w:rsid w:val="00093762"/>
    <w:rsid w:val="000B1659"/>
    <w:rsid w:val="000B543A"/>
    <w:rsid w:val="000B5BBF"/>
    <w:rsid w:val="000E0091"/>
    <w:rsid w:val="000E7A9F"/>
    <w:rsid w:val="00101D7D"/>
    <w:rsid w:val="001066BF"/>
    <w:rsid w:val="00114DDA"/>
    <w:rsid w:val="001164B5"/>
    <w:rsid w:val="00130CC1"/>
    <w:rsid w:val="001354A6"/>
    <w:rsid w:val="00137BB8"/>
    <w:rsid w:val="00163671"/>
    <w:rsid w:val="00196795"/>
    <w:rsid w:val="001A28CE"/>
    <w:rsid w:val="001A5290"/>
    <w:rsid w:val="001A5754"/>
    <w:rsid w:val="001A6689"/>
    <w:rsid w:val="001C37F3"/>
    <w:rsid w:val="001C4B99"/>
    <w:rsid w:val="001C6723"/>
    <w:rsid w:val="001C7DAD"/>
    <w:rsid w:val="001D1745"/>
    <w:rsid w:val="001D2E1A"/>
    <w:rsid w:val="001D555C"/>
    <w:rsid w:val="001D64D2"/>
    <w:rsid w:val="001E0BDB"/>
    <w:rsid w:val="001E5C83"/>
    <w:rsid w:val="0020445B"/>
    <w:rsid w:val="002121E1"/>
    <w:rsid w:val="00215A7D"/>
    <w:rsid w:val="002242DC"/>
    <w:rsid w:val="00226B8D"/>
    <w:rsid w:val="00233297"/>
    <w:rsid w:val="00247D41"/>
    <w:rsid w:val="0025412E"/>
    <w:rsid w:val="00267BE8"/>
    <w:rsid w:val="002702F0"/>
    <w:rsid w:val="00271EFB"/>
    <w:rsid w:val="002816CF"/>
    <w:rsid w:val="002915AA"/>
    <w:rsid w:val="00297A91"/>
    <w:rsid w:val="002B1F3C"/>
    <w:rsid w:val="002B2738"/>
    <w:rsid w:val="002C4023"/>
    <w:rsid w:val="002D1C56"/>
    <w:rsid w:val="002D5964"/>
    <w:rsid w:val="002F1070"/>
    <w:rsid w:val="00301A57"/>
    <w:rsid w:val="00304C25"/>
    <w:rsid w:val="003215D9"/>
    <w:rsid w:val="003264F1"/>
    <w:rsid w:val="00332013"/>
    <w:rsid w:val="00342959"/>
    <w:rsid w:val="00355203"/>
    <w:rsid w:val="00373CD0"/>
    <w:rsid w:val="00392E3F"/>
    <w:rsid w:val="003A45A7"/>
    <w:rsid w:val="003B0592"/>
    <w:rsid w:val="003C217E"/>
    <w:rsid w:val="003C65FE"/>
    <w:rsid w:val="003D43A2"/>
    <w:rsid w:val="003E7E81"/>
    <w:rsid w:val="003F4282"/>
    <w:rsid w:val="003F64B3"/>
    <w:rsid w:val="004014F0"/>
    <w:rsid w:val="00404004"/>
    <w:rsid w:val="00422636"/>
    <w:rsid w:val="00423904"/>
    <w:rsid w:val="004242E0"/>
    <w:rsid w:val="00442211"/>
    <w:rsid w:val="00442E85"/>
    <w:rsid w:val="004472A7"/>
    <w:rsid w:val="00457DE1"/>
    <w:rsid w:val="0047199A"/>
    <w:rsid w:val="0047265E"/>
    <w:rsid w:val="00492628"/>
    <w:rsid w:val="004A3484"/>
    <w:rsid w:val="004A693E"/>
    <w:rsid w:val="004D6EF5"/>
    <w:rsid w:val="004F16A5"/>
    <w:rsid w:val="004F350F"/>
    <w:rsid w:val="00513779"/>
    <w:rsid w:val="005140B8"/>
    <w:rsid w:val="00517E3F"/>
    <w:rsid w:val="00521040"/>
    <w:rsid w:val="00522012"/>
    <w:rsid w:val="005322E5"/>
    <w:rsid w:val="00533CE5"/>
    <w:rsid w:val="00541673"/>
    <w:rsid w:val="005433D1"/>
    <w:rsid w:val="00546DD9"/>
    <w:rsid w:val="00562CCC"/>
    <w:rsid w:val="00566ADF"/>
    <w:rsid w:val="005800D6"/>
    <w:rsid w:val="00583B65"/>
    <w:rsid w:val="00587DA5"/>
    <w:rsid w:val="005A6DCC"/>
    <w:rsid w:val="005B4345"/>
    <w:rsid w:val="005C2ACF"/>
    <w:rsid w:val="005C4484"/>
    <w:rsid w:val="005E0F2A"/>
    <w:rsid w:val="005E1F40"/>
    <w:rsid w:val="005E78C4"/>
    <w:rsid w:val="005F06F1"/>
    <w:rsid w:val="0060135E"/>
    <w:rsid w:val="006105FF"/>
    <w:rsid w:val="00623932"/>
    <w:rsid w:val="00646EC5"/>
    <w:rsid w:val="00647C0A"/>
    <w:rsid w:val="0065122A"/>
    <w:rsid w:val="00663745"/>
    <w:rsid w:val="00667DC3"/>
    <w:rsid w:val="00673AB8"/>
    <w:rsid w:val="00692D91"/>
    <w:rsid w:val="006B3306"/>
    <w:rsid w:val="006C041C"/>
    <w:rsid w:val="006D265D"/>
    <w:rsid w:val="006E5F9F"/>
    <w:rsid w:val="006E6E04"/>
    <w:rsid w:val="00710E27"/>
    <w:rsid w:val="00714308"/>
    <w:rsid w:val="0071552D"/>
    <w:rsid w:val="00736C1B"/>
    <w:rsid w:val="00745BCE"/>
    <w:rsid w:val="007509C9"/>
    <w:rsid w:val="007538A9"/>
    <w:rsid w:val="007543A6"/>
    <w:rsid w:val="00764BC7"/>
    <w:rsid w:val="00767DCE"/>
    <w:rsid w:val="007704C9"/>
    <w:rsid w:val="0078242C"/>
    <w:rsid w:val="00792145"/>
    <w:rsid w:val="00796C1E"/>
    <w:rsid w:val="007B39EF"/>
    <w:rsid w:val="007E107A"/>
    <w:rsid w:val="007E1237"/>
    <w:rsid w:val="007E4972"/>
    <w:rsid w:val="00820451"/>
    <w:rsid w:val="00820F17"/>
    <w:rsid w:val="008234B7"/>
    <w:rsid w:val="00835327"/>
    <w:rsid w:val="00847113"/>
    <w:rsid w:val="00847971"/>
    <w:rsid w:val="008538EF"/>
    <w:rsid w:val="00867D88"/>
    <w:rsid w:val="008722EA"/>
    <w:rsid w:val="00872886"/>
    <w:rsid w:val="00875DA8"/>
    <w:rsid w:val="00881A9A"/>
    <w:rsid w:val="0088658D"/>
    <w:rsid w:val="008A30A9"/>
    <w:rsid w:val="008B245B"/>
    <w:rsid w:val="008B6CB4"/>
    <w:rsid w:val="008C132C"/>
    <w:rsid w:val="008C38C3"/>
    <w:rsid w:val="008D097D"/>
    <w:rsid w:val="008E1733"/>
    <w:rsid w:val="008E71F8"/>
    <w:rsid w:val="0090012E"/>
    <w:rsid w:val="009141A9"/>
    <w:rsid w:val="00920719"/>
    <w:rsid w:val="00934665"/>
    <w:rsid w:val="00936BAC"/>
    <w:rsid w:val="00936BDE"/>
    <w:rsid w:val="009442CF"/>
    <w:rsid w:val="00952C0F"/>
    <w:rsid w:val="00953C65"/>
    <w:rsid w:val="009668F1"/>
    <w:rsid w:val="00967B92"/>
    <w:rsid w:val="00976C03"/>
    <w:rsid w:val="00987A15"/>
    <w:rsid w:val="0099172F"/>
    <w:rsid w:val="0099279D"/>
    <w:rsid w:val="009A6846"/>
    <w:rsid w:val="009A7187"/>
    <w:rsid w:val="009A7D58"/>
    <w:rsid w:val="009B4369"/>
    <w:rsid w:val="009C7AE5"/>
    <w:rsid w:val="009D7074"/>
    <w:rsid w:val="009F32A8"/>
    <w:rsid w:val="00A13BAB"/>
    <w:rsid w:val="00A1726C"/>
    <w:rsid w:val="00A272B0"/>
    <w:rsid w:val="00A31647"/>
    <w:rsid w:val="00A42EA5"/>
    <w:rsid w:val="00A76050"/>
    <w:rsid w:val="00A76522"/>
    <w:rsid w:val="00A81A5D"/>
    <w:rsid w:val="00A86F6A"/>
    <w:rsid w:val="00A93F19"/>
    <w:rsid w:val="00A94374"/>
    <w:rsid w:val="00A9540F"/>
    <w:rsid w:val="00AA57FC"/>
    <w:rsid w:val="00AB20D5"/>
    <w:rsid w:val="00AB3E75"/>
    <w:rsid w:val="00AC14E9"/>
    <w:rsid w:val="00AC178E"/>
    <w:rsid w:val="00AC3A49"/>
    <w:rsid w:val="00AE2568"/>
    <w:rsid w:val="00AE3B21"/>
    <w:rsid w:val="00AE6062"/>
    <w:rsid w:val="00AF36BF"/>
    <w:rsid w:val="00B11A15"/>
    <w:rsid w:val="00B30294"/>
    <w:rsid w:val="00B41BBC"/>
    <w:rsid w:val="00B47E5D"/>
    <w:rsid w:val="00B56100"/>
    <w:rsid w:val="00B70FFE"/>
    <w:rsid w:val="00BA2741"/>
    <w:rsid w:val="00BA2F9C"/>
    <w:rsid w:val="00BC3E08"/>
    <w:rsid w:val="00BC71E3"/>
    <w:rsid w:val="00BD5327"/>
    <w:rsid w:val="00BD6F83"/>
    <w:rsid w:val="00BE54E7"/>
    <w:rsid w:val="00BE5EF8"/>
    <w:rsid w:val="00C0384F"/>
    <w:rsid w:val="00C10876"/>
    <w:rsid w:val="00C137D9"/>
    <w:rsid w:val="00C13E61"/>
    <w:rsid w:val="00C154CC"/>
    <w:rsid w:val="00C15696"/>
    <w:rsid w:val="00C20413"/>
    <w:rsid w:val="00C22236"/>
    <w:rsid w:val="00C23B6B"/>
    <w:rsid w:val="00C24495"/>
    <w:rsid w:val="00C353FE"/>
    <w:rsid w:val="00C40287"/>
    <w:rsid w:val="00C45C0E"/>
    <w:rsid w:val="00C52C62"/>
    <w:rsid w:val="00C831DA"/>
    <w:rsid w:val="00C9688C"/>
    <w:rsid w:val="00C96B7A"/>
    <w:rsid w:val="00CA240D"/>
    <w:rsid w:val="00CC38E4"/>
    <w:rsid w:val="00CC5642"/>
    <w:rsid w:val="00CC588B"/>
    <w:rsid w:val="00CE4931"/>
    <w:rsid w:val="00CE5ADA"/>
    <w:rsid w:val="00CE62C2"/>
    <w:rsid w:val="00CF10D8"/>
    <w:rsid w:val="00D02994"/>
    <w:rsid w:val="00D3642E"/>
    <w:rsid w:val="00D420E1"/>
    <w:rsid w:val="00D43EFD"/>
    <w:rsid w:val="00D45656"/>
    <w:rsid w:val="00D53D5E"/>
    <w:rsid w:val="00D608A7"/>
    <w:rsid w:val="00D638E0"/>
    <w:rsid w:val="00D77123"/>
    <w:rsid w:val="00D90D52"/>
    <w:rsid w:val="00DA4F6D"/>
    <w:rsid w:val="00DC4FB5"/>
    <w:rsid w:val="00DC6C57"/>
    <w:rsid w:val="00DD5AA6"/>
    <w:rsid w:val="00DE6548"/>
    <w:rsid w:val="00DF1BC9"/>
    <w:rsid w:val="00E1105F"/>
    <w:rsid w:val="00E11C54"/>
    <w:rsid w:val="00E20160"/>
    <w:rsid w:val="00E27C68"/>
    <w:rsid w:val="00E35DF3"/>
    <w:rsid w:val="00E502D9"/>
    <w:rsid w:val="00E51733"/>
    <w:rsid w:val="00E53C54"/>
    <w:rsid w:val="00E57D1D"/>
    <w:rsid w:val="00E6764C"/>
    <w:rsid w:val="00E72C72"/>
    <w:rsid w:val="00E9042A"/>
    <w:rsid w:val="00E96594"/>
    <w:rsid w:val="00EA3ED8"/>
    <w:rsid w:val="00EA5A62"/>
    <w:rsid w:val="00EB2012"/>
    <w:rsid w:val="00EC1B50"/>
    <w:rsid w:val="00EE3A82"/>
    <w:rsid w:val="00EF3EA7"/>
    <w:rsid w:val="00F00E1A"/>
    <w:rsid w:val="00F06364"/>
    <w:rsid w:val="00F07A38"/>
    <w:rsid w:val="00F12260"/>
    <w:rsid w:val="00F21C32"/>
    <w:rsid w:val="00F24DF5"/>
    <w:rsid w:val="00F2505B"/>
    <w:rsid w:val="00F31AA8"/>
    <w:rsid w:val="00F326C4"/>
    <w:rsid w:val="00F40B1C"/>
    <w:rsid w:val="00F55CF0"/>
    <w:rsid w:val="00F65499"/>
    <w:rsid w:val="00F80A9E"/>
    <w:rsid w:val="00F844BE"/>
    <w:rsid w:val="00FA6F70"/>
    <w:rsid w:val="00FB0549"/>
    <w:rsid w:val="00FD1F09"/>
    <w:rsid w:val="00FF07F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2B2BC"/>
  <w15:docId w15:val="{F99F1AE0-F6A8-4280-92E4-11717BEBA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135E"/>
    <w:rPr>
      <w:rFonts w:ascii="Bookman Old Style" w:hAnsi="Bookman Old Style"/>
      <w:sz w:val="24"/>
    </w:rPr>
  </w:style>
  <w:style w:type="paragraph" w:styleId="Heading1">
    <w:name w:val="heading 1"/>
    <w:basedOn w:val="Normal"/>
    <w:next w:val="Normal"/>
    <w:link w:val="Heading1Char"/>
    <w:uiPriority w:val="9"/>
    <w:qFormat/>
    <w:rsid w:val="0060135E"/>
    <w:pPr>
      <w:keepNext/>
      <w:keepLines/>
      <w:numPr>
        <w:numId w:val="2"/>
      </w:numPr>
      <w:spacing w:before="240" w:after="120" w:line="240" w:lineRule="auto"/>
      <w:ind w:left="652" w:hanging="652"/>
      <w:outlineLvl w:val="0"/>
    </w:pPr>
    <w:rPr>
      <w:rFonts w:eastAsiaTheme="majorEastAsia" w:cstheme="majorBidi"/>
      <w:b/>
      <w:color w:val="2E74B5" w:themeColor="accent1" w:themeShade="BF"/>
      <w:sz w:val="32"/>
      <w:szCs w:val="32"/>
    </w:rPr>
  </w:style>
  <w:style w:type="paragraph" w:styleId="Heading2">
    <w:name w:val="heading 2"/>
    <w:basedOn w:val="Normal"/>
    <w:next w:val="Normal"/>
    <w:link w:val="Heading2Char"/>
    <w:uiPriority w:val="9"/>
    <w:unhideWhenUsed/>
    <w:qFormat/>
    <w:rsid w:val="0060135E"/>
    <w:pPr>
      <w:keepNext/>
      <w:keepLines/>
      <w:numPr>
        <w:ilvl w:val="1"/>
        <w:numId w:val="2"/>
      </w:numPr>
      <w:spacing w:before="120" w:after="120"/>
      <w:ind w:left="652" w:hanging="652"/>
      <w:outlineLvl w:val="1"/>
    </w:pPr>
    <w:rPr>
      <w:rFonts w:eastAsiaTheme="majorEastAsia"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847113"/>
    <w:pPr>
      <w:keepNext/>
      <w:keepLines/>
      <w:numPr>
        <w:ilvl w:val="2"/>
        <w:numId w:val="2"/>
      </w:numPr>
      <w:spacing w:before="40" w:after="0"/>
      <w:outlineLvl w:val="2"/>
    </w:pPr>
    <w:rPr>
      <w:rFonts w:eastAsiaTheme="majorEastAsia" w:cstheme="majorBidi"/>
      <w:color w:val="1F4D78" w:themeColor="accent1" w:themeShade="7F"/>
      <w:szCs w:val="24"/>
    </w:rPr>
  </w:style>
  <w:style w:type="paragraph" w:styleId="Heading4">
    <w:name w:val="heading 4"/>
    <w:basedOn w:val="Normal"/>
    <w:next w:val="Normal"/>
    <w:link w:val="Heading4Char"/>
    <w:uiPriority w:val="9"/>
    <w:semiHidden/>
    <w:unhideWhenUsed/>
    <w:qFormat/>
    <w:rsid w:val="0060135E"/>
    <w:pPr>
      <w:keepNext/>
      <w:keepLines/>
      <w:numPr>
        <w:ilvl w:val="3"/>
        <w:numId w:val="2"/>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60135E"/>
    <w:pPr>
      <w:keepNext/>
      <w:keepLines/>
      <w:numPr>
        <w:ilvl w:val="4"/>
        <w:numId w:val="2"/>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60135E"/>
    <w:pPr>
      <w:keepNext/>
      <w:keepLines/>
      <w:numPr>
        <w:ilvl w:val="5"/>
        <w:numId w:val="2"/>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60135E"/>
    <w:pPr>
      <w:keepNext/>
      <w:keepLines/>
      <w:numPr>
        <w:ilvl w:val="6"/>
        <w:numId w:val="2"/>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60135E"/>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0135E"/>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C7AE5"/>
    <w:pPr>
      <w:spacing w:after="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9C7AE5"/>
    <w:rPr>
      <w:rFonts w:ascii="Bookman Old Style" w:eastAsiaTheme="majorEastAsia" w:hAnsi="Bookman Old Style" w:cstheme="majorBidi"/>
      <w:spacing w:val="-10"/>
      <w:kern w:val="28"/>
      <w:sz w:val="56"/>
      <w:szCs w:val="56"/>
    </w:rPr>
  </w:style>
  <w:style w:type="character" w:customStyle="1" w:styleId="Heading2Char">
    <w:name w:val="Heading 2 Char"/>
    <w:basedOn w:val="DefaultParagraphFont"/>
    <w:link w:val="Heading2"/>
    <w:uiPriority w:val="9"/>
    <w:rsid w:val="0060135E"/>
    <w:rPr>
      <w:rFonts w:ascii="Bookman Old Style" w:eastAsiaTheme="majorEastAsia" w:hAnsi="Bookman Old Style" w:cstheme="majorBidi"/>
      <w:color w:val="2E74B5" w:themeColor="accent1" w:themeShade="BF"/>
      <w:sz w:val="26"/>
      <w:szCs w:val="26"/>
    </w:rPr>
  </w:style>
  <w:style w:type="character" w:customStyle="1" w:styleId="Heading1Char">
    <w:name w:val="Heading 1 Char"/>
    <w:basedOn w:val="DefaultParagraphFont"/>
    <w:link w:val="Heading1"/>
    <w:uiPriority w:val="9"/>
    <w:rsid w:val="0060135E"/>
    <w:rPr>
      <w:rFonts w:ascii="Bookman Old Style" w:eastAsiaTheme="majorEastAsia" w:hAnsi="Bookman Old Style" w:cstheme="majorBidi"/>
      <w:b/>
      <w:color w:val="2E74B5" w:themeColor="accent1" w:themeShade="BF"/>
      <w:sz w:val="32"/>
      <w:szCs w:val="32"/>
    </w:rPr>
  </w:style>
  <w:style w:type="paragraph" w:styleId="FootnoteText">
    <w:name w:val="footnote text"/>
    <w:basedOn w:val="Normal"/>
    <w:link w:val="FootnoteTextChar"/>
    <w:uiPriority w:val="99"/>
    <w:unhideWhenUsed/>
    <w:rsid w:val="004242E0"/>
    <w:pPr>
      <w:spacing w:after="0" w:line="240" w:lineRule="auto"/>
    </w:pPr>
    <w:rPr>
      <w:sz w:val="20"/>
      <w:szCs w:val="20"/>
    </w:rPr>
  </w:style>
  <w:style w:type="character" w:customStyle="1" w:styleId="FootnoteTextChar">
    <w:name w:val="Footnote Text Char"/>
    <w:basedOn w:val="DefaultParagraphFont"/>
    <w:link w:val="FootnoteText"/>
    <w:uiPriority w:val="99"/>
    <w:rsid w:val="004242E0"/>
    <w:rPr>
      <w:sz w:val="20"/>
      <w:szCs w:val="20"/>
    </w:rPr>
  </w:style>
  <w:style w:type="character" w:styleId="FootnoteReference">
    <w:name w:val="footnote reference"/>
    <w:basedOn w:val="DefaultParagraphFont"/>
    <w:uiPriority w:val="99"/>
    <w:unhideWhenUsed/>
    <w:rsid w:val="004242E0"/>
    <w:rPr>
      <w:vertAlign w:val="superscript"/>
    </w:rPr>
  </w:style>
  <w:style w:type="paragraph" w:styleId="ListParagraph">
    <w:name w:val="List Paragraph"/>
    <w:basedOn w:val="Normal"/>
    <w:uiPriority w:val="34"/>
    <w:qFormat/>
    <w:rsid w:val="00F24DF5"/>
    <w:pPr>
      <w:ind w:left="720"/>
      <w:contextualSpacing/>
    </w:pPr>
  </w:style>
  <w:style w:type="character" w:styleId="Hyperlink">
    <w:name w:val="Hyperlink"/>
    <w:basedOn w:val="DefaultParagraphFont"/>
    <w:uiPriority w:val="99"/>
    <w:unhideWhenUsed/>
    <w:rsid w:val="00301A57"/>
    <w:rPr>
      <w:color w:val="0563C1" w:themeColor="hyperlink"/>
      <w:u w:val="single"/>
    </w:rPr>
  </w:style>
  <w:style w:type="paragraph" w:styleId="Bibliography">
    <w:name w:val="Bibliography"/>
    <w:basedOn w:val="Normal"/>
    <w:next w:val="Normal"/>
    <w:uiPriority w:val="37"/>
    <w:unhideWhenUsed/>
    <w:rsid w:val="00301A57"/>
  </w:style>
  <w:style w:type="paragraph" w:styleId="Caption">
    <w:name w:val="caption"/>
    <w:basedOn w:val="Normal"/>
    <w:next w:val="Normal"/>
    <w:uiPriority w:val="35"/>
    <w:unhideWhenUsed/>
    <w:qFormat/>
    <w:rsid w:val="00301A57"/>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E6764C"/>
    <w:rPr>
      <w:sz w:val="16"/>
      <w:szCs w:val="16"/>
    </w:rPr>
  </w:style>
  <w:style w:type="paragraph" w:styleId="CommentText">
    <w:name w:val="annotation text"/>
    <w:basedOn w:val="Normal"/>
    <w:link w:val="CommentTextChar"/>
    <w:uiPriority w:val="99"/>
    <w:semiHidden/>
    <w:unhideWhenUsed/>
    <w:rsid w:val="00E6764C"/>
    <w:pPr>
      <w:spacing w:line="240" w:lineRule="auto"/>
    </w:pPr>
    <w:rPr>
      <w:sz w:val="20"/>
      <w:szCs w:val="20"/>
    </w:rPr>
  </w:style>
  <w:style w:type="character" w:customStyle="1" w:styleId="CommentTextChar">
    <w:name w:val="Comment Text Char"/>
    <w:basedOn w:val="DefaultParagraphFont"/>
    <w:link w:val="CommentText"/>
    <w:uiPriority w:val="99"/>
    <w:semiHidden/>
    <w:rsid w:val="00E6764C"/>
    <w:rPr>
      <w:sz w:val="20"/>
      <w:szCs w:val="20"/>
    </w:rPr>
  </w:style>
  <w:style w:type="paragraph" w:styleId="CommentSubject">
    <w:name w:val="annotation subject"/>
    <w:basedOn w:val="CommentText"/>
    <w:next w:val="CommentText"/>
    <w:link w:val="CommentSubjectChar"/>
    <w:uiPriority w:val="99"/>
    <w:semiHidden/>
    <w:unhideWhenUsed/>
    <w:rsid w:val="00E6764C"/>
    <w:rPr>
      <w:b/>
      <w:bCs/>
    </w:rPr>
  </w:style>
  <w:style w:type="character" w:customStyle="1" w:styleId="CommentSubjectChar">
    <w:name w:val="Comment Subject Char"/>
    <w:basedOn w:val="CommentTextChar"/>
    <w:link w:val="CommentSubject"/>
    <w:uiPriority w:val="99"/>
    <w:semiHidden/>
    <w:rsid w:val="00E6764C"/>
    <w:rPr>
      <w:b/>
      <w:bCs/>
      <w:sz w:val="20"/>
      <w:szCs w:val="20"/>
    </w:rPr>
  </w:style>
  <w:style w:type="paragraph" w:styleId="BalloonText">
    <w:name w:val="Balloon Text"/>
    <w:basedOn w:val="Normal"/>
    <w:link w:val="BalloonTextChar"/>
    <w:uiPriority w:val="99"/>
    <w:semiHidden/>
    <w:unhideWhenUsed/>
    <w:rsid w:val="00E676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764C"/>
    <w:rPr>
      <w:rFonts w:ascii="Segoe UI" w:hAnsi="Segoe UI" w:cs="Segoe UI"/>
      <w:sz w:val="18"/>
      <w:szCs w:val="18"/>
    </w:rPr>
  </w:style>
  <w:style w:type="paragraph" w:styleId="Revision">
    <w:name w:val="Revision"/>
    <w:hidden/>
    <w:uiPriority w:val="99"/>
    <w:semiHidden/>
    <w:rsid w:val="00E6764C"/>
    <w:pPr>
      <w:spacing w:after="0" w:line="240" w:lineRule="auto"/>
    </w:pPr>
  </w:style>
  <w:style w:type="character" w:customStyle="1" w:styleId="journaltitle">
    <w:name w:val="journaltitle"/>
    <w:basedOn w:val="DefaultParagraphFont"/>
    <w:rsid w:val="00E1105F"/>
  </w:style>
  <w:style w:type="character" w:customStyle="1" w:styleId="pubyear">
    <w:name w:val="pubyear"/>
    <w:basedOn w:val="DefaultParagraphFont"/>
    <w:rsid w:val="00E1105F"/>
  </w:style>
  <w:style w:type="character" w:customStyle="1" w:styleId="vol">
    <w:name w:val="vol"/>
    <w:basedOn w:val="DefaultParagraphFont"/>
    <w:rsid w:val="00E1105F"/>
  </w:style>
  <w:style w:type="character" w:customStyle="1" w:styleId="citedissue">
    <w:name w:val="citedissue"/>
    <w:basedOn w:val="DefaultParagraphFont"/>
    <w:rsid w:val="00E1105F"/>
  </w:style>
  <w:style w:type="character" w:customStyle="1" w:styleId="pagefirst">
    <w:name w:val="pagefirst"/>
    <w:basedOn w:val="DefaultParagraphFont"/>
    <w:rsid w:val="00E1105F"/>
  </w:style>
  <w:style w:type="character" w:customStyle="1" w:styleId="pagelast">
    <w:name w:val="pagelast"/>
    <w:basedOn w:val="DefaultParagraphFont"/>
    <w:rsid w:val="00E1105F"/>
  </w:style>
  <w:style w:type="character" w:customStyle="1" w:styleId="author">
    <w:name w:val="author"/>
    <w:basedOn w:val="DefaultParagraphFont"/>
    <w:rsid w:val="00E1105F"/>
  </w:style>
  <w:style w:type="character" w:customStyle="1" w:styleId="articletitle">
    <w:name w:val="articletitle"/>
    <w:basedOn w:val="DefaultParagraphFont"/>
    <w:rsid w:val="00E1105F"/>
  </w:style>
  <w:style w:type="table" w:styleId="TableGrid">
    <w:name w:val="Table Grid"/>
    <w:basedOn w:val="TableNormal"/>
    <w:uiPriority w:val="39"/>
    <w:rsid w:val="00745B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F07F7"/>
    <w:pPr>
      <w:spacing w:before="100" w:beforeAutospacing="1" w:after="100" w:afterAutospacing="1" w:line="240" w:lineRule="auto"/>
    </w:pPr>
    <w:rPr>
      <w:rFonts w:ascii="Times New Roman" w:eastAsia="Times New Roman" w:hAnsi="Times New Roman" w:cs="Times New Roman"/>
      <w:szCs w:val="24"/>
      <w:lang w:val="en-AU" w:eastAsia="en-AU"/>
    </w:rPr>
  </w:style>
  <w:style w:type="character" w:customStyle="1" w:styleId="Heading3Char">
    <w:name w:val="Heading 3 Char"/>
    <w:basedOn w:val="DefaultParagraphFont"/>
    <w:link w:val="Heading3"/>
    <w:uiPriority w:val="9"/>
    <w:rsid w:val="00847113"/>
    <w:rPr>
      <w:rFonts w:ascii="Bookman Old Style" w:eastAsiaTheme="majorEastAsia" w:hAnsi="Bookman Old Style"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60135E"/>
    <w:rPr>
      <w:rFonts w:asciiTheme="majorHAnsi" w:eastAsiaTheme="majorEastAsia" w:hAnsiTheme="majorHAnsi" w:cstheme="majorBidi"/>
      <w:i/>
      <w:iCs/>
      <w:color w:val="2E74B5" w:themeColor="accent1" w:themeShade="BF"/>
      <w:sz w:val="24"/>
    </w:rPr>
  </w:style>
  <w:style w:type="character" w:customStyle="1" w:styleId="Heading5Char">
    <w:name w:val="Heading 5 Char"/>
    <w:basedOn w:val="DefaultParagraphFont"/>
    <w:link w:val="Heading5"/>
    <w:uiPriority w:val="9"/>
    <w:semiHidden/>
    <w:rsid w:val="0060135E"/>
    <w:rPr>
      <w:rFonts w:asciiTheme="majorHAnsi" w:eastAsiaTheme="majorEastAsia" w:hAnsiTheme="majorHAnsi" w:cstheme="majorBidi"/>
      <w:color w:val="2E74B5" w:themeColor="accent1" w:themeShade="BF"/>
      <w:sz w:val="24"/>
    </w:rPr>
  </w:style>
  <w:style w:type="character" w:customStyle="1" w:styleId="Heading6Char">
    <w:name w:val="Heading 6 Char"/>
    <w:basedOn w:val="DefaultParagraphFont"/>
    <w:link w:val="Heading6"/>
    <w:uiPriority w:val="9"/>
    <w:semiHidden/>
    <w:rsid w:val="0060135E"/>
    <w:rPr>
      <w:rFonts w:asciiTheme="majorHAnsi" w:eastAsiaTheme="majorEastAsia" w:hAnsiTheme="majorHAnsi" w:cstheme="majorBidi"/>
      <w:color w:val="1F4D78" w:themeColor="accent1" w:themeShade="7F"/>
      <w:sz w:val="24"/>
    </w:rPr>
  </w:style>
  <w:style w:type="character" w:customStyle="1" w:styleId="Heading7Char">
    <w:name w:val="Heading 7 Char"/>
    <w:basedOn w:val="DefaultParagraphFont"/>
    <w:link w:val="Heading7"/>
    <w:uiPriority w:val="9"/>
    <w:semiHidden/>
    <w:rsid w:val="0060135E"/>
    <w:rPr>
      <w:rFonts w:asciiTheme="majorHAnsi" w:eastAsiaTheme="majorEastAsia" w:hAnsiTheme="majorHAnsi" w:cstheme="majorBidi"/>
      <w:i/>
      <w:iCs/>
      <w:color w:val="1F4D78" w:themeColor="accent1" w:themeShade="7F"/>
      <w:sz w:val="24"/>
    </w:rPr>
  </w:style>
  <w:style w:type="character" w:customStyle="1" w:styleId="Heading8Char">
    <w:name w:val="Heading 8 Char"/>
    <w:basedOn w:val="DefaultParagraphFont"/>
    <w:link w:val="Heading8"/>
    <w:uiPriority w:val="9"/>
    <w:semiHidden/>
    <w:rsid w:val="0060135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0135E"/>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936BAC"/>
    <w:pPr>
      <w:numPr>
        <w:numId w:val="0"/>
      </w:numPr>
      <w:spacing w:after="0" w:line="259" w:lineRule="auto"/>
      <w:outlineLvl w:val="9"/>
    </w:pPr>
    <w:rPr>
      <w:rFonts w:asciiTheme="majorHAnsi" w:hAnsiTheme="majorHAnsi"/>
      <w:b w:val="0"/>
      <w:lang w:val="en-US"/>
    </w:rPr>
  </w:style>
  <w:style w:type="paragraph" w:styleId="TOC1">
    <w:name w:val="toc 1"/>
    <w:basedOn w:val="Normal"/>
    <w:next w:val="Normal"/>
    <w:autoRedefine/>
    <w:uiPriority w:val="39"/>
    <w:unhideWhenUsed/>
    <w:rsid w:val="00936BAC"/>
    <w:pPr>
      <w:spacing w:after="100"/>
    </w:pPr>
  </w:style>
  <w:style w:type="paragraph" w:styleId="TOC2">
    <w:name w:val="toc 2"/>
    <w:basedOn w:val="Normal"/>
    <w:next w:val="Normal"/>
    <w:autoRedefine/>
    <w:uiPriority w:val="39"/>
    <w:unhideWhenUsed/>
    <w:rsid w:val="00936BAC"/>
    <w:pPr>
      <w:spacing w:after="100"/>
      <w:ind w:left="240"/>
    </w:pPr>
  </w:style>
  <w:style w:type="paragraph" w:styleId="TOC3">
    <w:name w:val="toc 3"/>
    <w:basedOn w:val="Normal"/>
    <w:next w:val="Normal"/>
    <w:autoRedefine/>
    <w:uiPriority w:val="39"/>
    <w:unhideWhenUsed/>
    <w:rsid w:val="00E51733"/>
    <w:pPr>
      <w:spacing w:after="100"/>
      <w:ind w:left="480"/>
    </w:pPr>
  </w:style>
  <w:style w:type="paragraph" w:customStyle="1" w:styleId="Footnote">
    <w:name w:val="Footnote"/>
    <w:basedOn w:val="FootnoteText"/>
    <w:link w:val="FootnoteChar"/>
    <w:qFormat/>
    <w:rsid w:val="00B41BBC"/>
    <w:pPr>
      <w:widowControl w:val="0"/>
      <w:spacing w:before="20" w:line="276" w:lineRule="auto"/>
      <w:jc w:val="both"/>
    </w:pPr>
    <w:rPr>
      <w:rFonts w:ascii="Times New Roman" w:eastAsia="Times New Roman" w:hAnsi="Times New Roman"/>
      <w:sz w:val="18"/>
      <w:szCs w:val="24"/>
      <w:lang w:val="en-US" w:eastAsia="en-AU" w:bidi="en-US"/>
    </w:rPr>
  </w:style>
  <w:style w:type="character" w:customStyle="1" w:styleId="FootnoteChar">
    <w:name w:val="Footnote Char"/>
    <w:link w:val="Footnote"/>
    <w:rsid w:val="00B41BBC"/>
    <w:rPr>
      <w:rFonts w:ascii="Times New Roman" w:eastAsia="Times New Roman" w:hAnsi="Times New Roman"/>
      <w:sz w:val="18"/>
      <w:szCs w:val="24"/>
      <w:lang w:val="en-US" w:eastAsia="en-AU" w:bidi="en-US"/>
    </w:rPr>
  </w:style>
  <w:style w:type="paragraph" w:styleId="Header">
    <w:name w:val="header"/>
    <w:basedOn w:val="Normal"/>
    <w:link w:val="HeaderChar"/>
    <w:uiPriority w:val="99"/>
    <w:unhideWhenUsed/>
    <w:rsid w:val="009A718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7187"/>
    <w:rPr>
      <w:rFonts w:ascii="Bookman Old Style" w:hAnsi="Bookman Old Style"/>
      <w:sz w:val="24"/>
    </w:rPr>
  </w:style>
  <w:style w:type="paragraph" w:styleId="Footer">
    <w:name w:val="footer"/>
    <w:basedOn w:val="Normal"/>
    <w:link w:val="FooterChar"/>
    <w:uiPriority w:val="99"/>
    <w:unhideWhenUsed/>
    <w:rsid w:val="009A718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7187"/>
    <w:rPr>
      <w:rFonts w:ascii="Bookman Old Style" w:hAnsi="Bookman Old Style"/>
      <w:sz w:val="24"/>
    </w:rPr>
  </w:style>
  <w:style w:type="character" w:styleId="PlaceholderText">
    <w:name w:val="Placeholder Text"/>
    <w:basedOn w:val="DefaultParagraphFont"/>
    <w:uiPriority w:val="99"/>
    <w:semiHidden/>
    <w:rsid w:val="009D7074"/>
    <w:rPr>
      <w:color w:val="808080"/>
    </w:rPr>
  </w:style>
  <w:style w:type="character" w:customStyle="1" w:styleId="has-tip">
    <w:name w:val="has-tip"/>
    <w:basedOn w:val="DefaultParagraphFont"/>
    <w:rsid w:val="00A172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6243">
      <w:bodyDiv w:val="1"/>
      <w:marLeft w:val="0"/>
      <w:marRight w:val="0"/>
      <w:marTop w:val="0"/>
      <w:marBottom w:val="0"/>
      <w:divBdr>
        <w:top w:val="none" w:sz="0" w:space="0" w:color="auto"/>
        <w:left w:val="none" w:sz="0" w:space="0" w:color="auto"/>
        <w:bottom w:val="none" w:sz="0" w:space="0" w:color="auto"/>
        <w:right w:val="none" w:sz="0" w:space="0" w:color="auto"/>
      </w:divBdr>
    </w:div>
    <w:div w:id="324164879">
      <w:bodyDiv w:val="1"/>
      <w:marLeft w:val="0"/>
      <w:marRight w:val="0"/>
      <w:marTop w:val="0"/>
      <w:marBottom w:val="0"/>
      <w:divBdr>
        <w:top w:val="none" w:sz="0" w:space="0" w:color="auto"/>
        <w:left w:val="none" w:sz="0" w:space="0" w:color="auto"/>
        <w:bottom w:val="none" w:sz="0" w:space="0" w:color="auto"/>
        <w:right w:val="none" w:sz="0" w:space="0" w:color="auto"/>
      </w:divBdr>
    </w:div>
    <w:div w:id="453863562">
      <w:bodyDiv w:val="1"/>
      <w:marLeft w:val="0"/>
      <w:marRight w:val="0"/>
      <w:marTop w:val="0"/>
      <w:marBottom w:val="0"/>
      <w:divBdr>
        <w:top w:val="none" w:sz="0" w:space="0" w:color="auto"/>
        <w:left w:val="none" w:sz="0" w:space="0" w:color="auto"/>
        <w:bottom w:val="none" w:sz="0" w:space="0" w:color="auto"/>
        <w:right w:val="none" w:sz="0" w:space="0" w:color="auto"/>
      </w:divBdr>
    </w:div>
    <w:div w:id="1001469697">
      <w:bodyDiv w:val="1"/>
      <w:marLeft w:val="0"/>
      <w:marRight w:val="0"/>
      <w:marTop w:val="0"/>
      <w:marBottom w:val="0"/>
      <w:divBdr>
        <w:top w:val="none" w:sz="0" w:space="0" w:color="auto"/>
        <w:left w:val="none" w:sz="0" w:space="0" w:color="auto"/>
        <w:bottom w:val="none" w:sz="0" w:space="0" w:color="auto"/>
        <w:right w:val="none" w:sz="0" w:space="0" w:color="auto"/>
      </w:divBdr>
    </w:div>
    <w:div w:id="1256397180">
      <w:bodyDiv w:val="1"/>
      <w:marLeft w:val="0"/>
      <w:marRight w:val="0"/>
      <w:marTop w:val="0"/>
      <w:marBottom w:val="0"/>
      <w:divBdr>
        <w:top w:val="none" w:sz="0" w:space="0" w:color="auto"/>
        <w:left w:val="none" w:sz="0" w:space="0" w:color="auto"/>
        <w:bottom w:val="none" w:sz="0" w:space="0" w:color="auto"/>
        <w:right w:val="none" w:sz="0" w:space="0" w:color="auto"/>
      </w:divBdr>
    </w:div>
    <w:div w:id="2018117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hart" Target="charts/chart1.xml"/><Relationship Id="rId18" Type="http://schemas.openxmlformats.org/officeDocument/2006/relationships/chart" Target="charts/chart6.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7.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chart" Target="charts/chart5.xm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chart" Target="charts/chart4.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hyperlink" Target="http://www.ubos.org/statistics/macro-economic/annual-gdp/" TargetMode="External"/><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hyperlink" Target="http://www.ccafs.cgiar.org" TargetMode="External"/><Relationship Id="rId28"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comments" Target="comments.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chart" Target="charts/chart2.xml"/><Relationship Id="rId22" Type="http://schemas.openxmlformats.org/officeDocument/2006/relationships/hyperlink" Target="http://onlinelibrary.wiley.com/enhanced/doi/10.1002/fes3.61" TargetMode="External"/><Relationship Id="rId27" Type="http://schemas.microsoft.com/office/2011/relationships/people" Target="people.xml"/></Relationships>
</file>

<file path=word/charts/_rels/chart1.xml.rels><?xml version="1.0" encoding="UTF-8" standalone="yes"?>
<Relationships xmlns="http://schemas.openxmlformats.org/package/2006/relationships"><Relationship Id="rId1" Type="http://schemas.openxmlformats.org/officeDocument/2006/relationships/oleObject" Target="file:///E:\Research\Book%20chapter\PandMcharts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Research\Book%20chapter\PandMchar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Research\Book%20chapter\PandMchar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E:\Research\Book%20chapter\PandMcharts.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E:\Research\Book%20chapter\PandMcharts.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E:\Research\Book%20chapter\PandMcharts.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E:\Research\Book%20chapter\PandMchar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3"/>
          <c:order val="0"/>
          <c:tx>
            <c:strRef>
              <c:f>x1tot!$F$47</c:f>
              <c:strCache>
                <c:ptCount val="1"/>
                <c:pt idx="0">
                  <c:v>Sorghum</c:v>
                </c:pt>
              </c:strCache>
            </c:strRef>
          </c:tx>
          <c:spPr>
            <a:ln w="28575" cap="rnd">
              <a:solidFill>
                <a:schemeClr val="accent4"/>
              </a:solidFill>
              <a:round/>
            </a:ln>
            <a:effectLst/>
          </c:spPr>
          <c:marker>
            <c:symbol val="none"/>
          </c:marker>
          <c:cat>
            <c:numRef>
              <c:f>x1tot!$B$48:$B$87</c:f>
              <c:numCache>
                <c:formatCode>General</c:formatCode>
                <c:ptCount val="40"/>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pt idx="13">
                  <c:v>2024</c:v>
                </c:pt>
                <c:pt idx="14">
                  <c:v>2025</c:v>
                </c:pt>
                <c:pt idx="15">
                  <c:v>2026</c:v>
                </c:pt>
                <c:pt idx="16">
                  <c:v>2027</c:v>
                </c:pt>
                <c:pt idx="17">
                  <c:v>2028</c:v>
                </c:pt>
                <c:pt idx="18">
                  <c:v>2029</c:v>
                </c:pt>
                <c:pt idx="19">
                  <c:v>2030</c:v>
                </c:pt>
                <c:pt idx="20">
                  <c:v>2031</c:v>
                </c:pt>
                <c:pt idx="21">
                  <c:v>2032</c:v>
                </c:pt>
                <c:pt idx="22">
                  <c:v>2033</c:v>
                </c:pt>
                <c:pt idx="23">
                  <c:v>2034</c:v>
                </c:pt>
                <c:pt idx="24">
                  <c:v>2035</c:v>
                </c:pt>
                <c:pt idx="25">
                  <c:v>2036</c:v>
                </c:pt>
                <c:pt idx="26">
                  <c:v>2037</c:v>
                </c:pt>
                <c:pt idx="27">
                  <c:v>2038</c:v>
                </c:pt>
                <c:pt idx="28">
                  <c:v>2039</c:v>
                </c:pt>
                <c:pt idx="29">
                  <c:v>2040</c:v>
                </c:pt>
                <c:pt idx="30">
                  <c:v>2041</c:v>
                </c:pt>
                <c:pt idx="31">
                  <c:v>2042</c:v>
                </c:pt>
                <c:pt idx="32">
                  <c:v>2043</c:v>
                </c:pt>
                <c:pt idx="33">
                  <c:v>2044</c:v>
                </c:pt>
                <c:pt idx="34">
                  <c:v>2045</c:v>
                </c:pt>
                <c:pt idx="35">
                  <c:v>2046</c:v>
                </c:pt>
                <c:pt idx="36">
                  <c:v>2047</c:v>
                </c:pt>
                <c:pt idx="37">
                  <c:v>2048</c:v>
                </c:pt>
                <c:pt idx="38">
                  <c:v>2049</c:v>
                </c:pt>
                <c:pt idx="39">
                  <c:v>2050</c:v>
                </c:pt>
              </c:numCache>
            </c:numRef>
          </c:cat>
          <c:val>
            <c:numRef>
              <c:f>x1tot!$F$48:$F$87</c:f>
              <c:numCache>
                <c:formatCode>General</c:formatCode>
                <c:ptCount val="40"/>
                <c:pt idx="0">
                  <c:v>-0.12815099999999999</c:v>
                </c:pt>
                <c:pt idx="1">
                  <c:v>-0.256137</c:v>
                </c:pt>
                <c:pt idx="2">
                  <c:v>-0.38396000000000002</c:v>
                </c:pt>
                <c:pt idx="3">
                  <c:v>-0.51161900000000005</c:v>
                </c:pt>
                <c:pt idx="4">
                  <c:v>-0.63911499999999999</c:v>
                </c:pt>
                <c:pt idx="5">
                  <c:v>-0.76644699999999999</c:v>
                </c:pt>
                <c:pt idx="6">
                  <c:v>-0.89361500000000005</c:v>
                </c:pt>
                <c:pt idx="7">
                  <c:v>-1.020621</c:v>
                </c:pt>
                <c:pt idx="8">
                  <c:v>-1.1474629999999999</c:v>
                </c:pt>
                <c:pt idx="9">
                  <c:v>-1.274143</c:v>
                </c:pt>
                <c:pt idx="10">
                  <c:v>-1.40066</c:v>
                </c:pt>
                <c:pt idx="11">
                  <c:v>-1.527015</c:v>
                </c:pt>
                <c:pt idx="12">
                  <c:v>-1.6532119999999999</c:v>
                </c:pt>
                <c:pt idx="13">
                  <c:v>-1.7792429999999999</c:v>
                </c:pt>
                <c:pt idx="14">
                  <c:v>-1.905116</c:v>
                </c:pt>
                <c:pt idx="15">
                  <c:v>-2.0308259999999998</c:v>
                </c:pt>
                <c:pt idx="16">
                  <c:v>-2.1563750000000002</c:v>
                </c:pt>
                <c:pt idx="17">
                  <c:v>-2.2817620000000001</c:v>
                </c:pt>
                <c:pt idx="18">
                  <c:v>-2.4069889999999998</c:v>
                </c:pt>
                <c:pt idx="19">
                  <c:v>-2.5320559999999999</c:v>
                </c:pt>
                <c:pt idx="20">
                  <c:v>-2.6569590000000001</c:v>
                </c:pt>
                <c:pt idx="21">
                  <c:v>-2.781704</c:v>
                </c:pt>
                <c:pt idx="22">
                  <c:v>-2.9062869999999998</c:v>
                </c:pt>
                <c:pt idx="23">
                  <c:v>-3.0307110000000002</c:v>
                </c:pt>
                <c:pt idx="24">
                  <c:v>-3.1549779999999998</c:v>
                </c:pt>
                <c:pt idx="25">
                  <c:v>-3.2790870000000001</c:v>
                </c:pt>
                <c:pt idx="26">
                  <c:v>-3.4030339999999999</c:v>
                </c:pt>
                <c:pt idx="27">
                  <c:v>-3.5268229999999998</c:v>
                </c:pt>
                <c:pt idx="28">
                  <c:v>-3.6504599999999998</c:v>
                </c:pt>
                <c:pt idx="29">
                  <c:v>-3.773936</c:v>
                </c:pt>
                <c:pt idx="30">
                  <c:v>-3.8972500000000001</c:v>
                </c:pt>
                <c:pt idx="31">
                  <c:v>-4.0204089999999999</c:v>
                </c:pt>
                <c:pt idx="32">
                  <c:v>-4.1434090000000001</c:v>
                </c:pt>
                <c:pt idx="33">
                  <c:v>-4.266248</c:v>
                </c:pt>
                <c:pt idx="34">
                  <c:v>-4.3889269999999998</c:v>
                </c:pt>
                <c:pt idx="35">
                  <c:v>-4.5114549999999998</c:v>
                </c:pt>
                <c:pt idx="36">
                  <c:v>-4.6338249999999999</c:v>
                </c:pt>
                <c:pt idx="37">
                  <c:v>-4.7560359999999999</c:v>
                </c:pt>
                <c:pt idx="38">
                  <c:v>-4.8780979999999996</c:v>
                </c:pt>
                <c:pt idx="39">
                  <c:v>-5.0000010000000001</c:v>
                </c:pt>
              </c:numCache>
            </c:numRef>
          </c:val>
          <c:smooth val="0"/>
          <c:extLst>
            <c:ext xmlns:c16="http://schemas.microsoft.com/office/drawing/2014/chart" uri="{C3380CC4-5D6E-409C-BE32-E72D297353CC}">
              <c16:uniqueId val="{00000003-0700-4D86-BB39-11F8BC74877D}"/>
            </c:ext>
          </c:extLst>
        </c:ser>
        <c:ser>
          <c:idx val="8"/>
          <c:order val="1"/>
          <c:tx>
            <c:strRef>
              <c:f>x1tot!$K$47</c:f>
              <c:strCache>
                <c:ptCount val="1"/>
                <c:pt idx="0">
                  <c:v>Bananas</c:v>
                </c:pt>
              </c:strCache>
            </c:strRef>
          </c:tx>
          <c:spPr>
            <a:ln w="28575" cap="rnd">
              <a:solidFill>
                <a:schemeClr val="accent3">
                  <a:lumMod val="60000"/>
                </a:schemeClr>
              </a:solidFill>
              <a:round/>
            </a:ln>
            <a:effectLst/>
          </c:spPr>
          <c:marker>
            <c:symbol val="none"/>
          </c:marker>
          <c:cat>
            <c:numRef>
              <c:f>x1tot!$B$48:$B$87</c:f>
              <c:numCache>
                <c:formatCode>General</c:formatCode>
                <c:ptCount val="40"/>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pt idx="13">
                  <c:v>2024</c:v>
                </c:pt>
                <c:pt idx="14">
                  <c:v>2025</c:v>
                </c:pt>
                <c:pt idx="15">
                  <c:v>2026</c:v>
                </c:pt>
                <c:pt idx="16">
                  <c:v>2027</c:v>
                </c:pt>
                <c:pt idx="17">
                  <c:v>2028</c:v>
                </c:pt>
                <c:pt idx="18">
                  <c:v>2029</c:v>
                </c:pt>
                <c:pt idx="19">
                  <c:v>2030</c:v>
                </c:pt>
                <c:pt idx="20">
                  <c:v>2031</c:v>
                </c:pt>
                <c:pt idx="21">
                  <c:v>2032</c:v>
                </c:pt>
                <c:pt idx="22">
                  <c:v>2033</c:v>
                </c:pt>
                <c:pt idx="23">
                  <c:v>2034</c:v>
                </c:pt>
                <c:pt idx="24">
                  <c:v>2035</c:v>
                </c:pt>
                <c:pt idx="25">
                  <c:v>2036</c:v>
                </c:pt>
                <c:pt idx="26">
                  <c:v>2037</c:v>
                </c:pt>
                <c:pt idx="27">
                  <c:v>2038</c:v>
                </c:pt>
                <c:pt idx="28">
                  <c:v>2039</c:v>
                </c:pt>
                <c:pt idx="29">
                  <c:v>2040</c:v>
                </c:pt>
                <c:pt idx="30">
                  <c:v>2041</c:v>
                </c:pt>
                <c:pt idx="31">
                  <c:v>2042</c:v>
                </c:pt>
                <c:pt idx="32">
                  <c:v>2043</c:v>
                </c:pt>
                <c:pt idx="33">
                  <c:v>2044</c:v>
                </c:pt>
                <c:pt idx="34">
                  <c:v>2045</c:v>
                </c:pt>
                <c:pt idx="35">
                  <c:v>2046</c:v>
                </c:pt>
                <c:pt idx="36">
                  <c:v>2047</c:v>
                </c:pt>
                <c:pt idx="37">
                  <c:v>2048</c:v>
                </c:pt>
                <c:pt idx="38">
                  <c:v>2049</c:v>
                </c:pt>
                <c:pt idx="39">
                  <c:v>2050</c:v>
                </c:pt>
              </c:numCache>
            </c:numRef>
          </c:cat>
          <c:val>
            <c:numRef>
              <c:f>x1tot!$K$48:$K$87</c:f>
              <c:numCache>
                <c:formatCode>General</c:formatCode>
                <c:ptCount val="40"/>
                <c:pt idx="0">
                  <c:v>-0.12815099999999999</c:v>
                </c:pt>
                <c:pt idx="1">
                  <c:v>-0.25613799999999998</c:v>
                </c:pt>
                <c:pt idx="2">
                  <c:v>-0.383961</c:v>
                </c:pt>
                <c:pt idx="3">
                  <c:v>-0.51161999999999996</c:v>
                </c:pt>
                <c:pt idx="4">
                  <c:v>-0.63911399999999996</c:v>
                </c:pt>
                <c:pt idx="5">
                  <c:v>-0.76644500000000004</c:v>
                </c:pt>
                <c:pt idx="6">
                  <c:v>-0.89361400000000002</c:v>
                </c:pt>
                <c:pt idx="7">
                  <c:v>-1.0206189999999999</c:v>
                </c:pt>
                <c:pt idx="8">
                  <c:v>-1.1474629999999999</c:v>
                </c:pt>
                <c:pt idx="9">
                  <c:v>-1.274141</c:v>
                </c:pt>
                <c:pt idx="10">
                  <c:v>-1.4006590000000001</c:v>
                </c:pt>
                <c:pt idx="11">
                  <c:v>-1.527015</c:v>
                </c:pt>
                <c:pt idx="12">
                  <c:v>-1.653208</c:v>
                </c:pt>
                <c:pt idx="13">
                  <c:v>-1.7792429999999999</c:v>
                </c:pt>
                <c:pt idx="14">
                  <c:v>-1.905114</c:v>
                </c:pt>
                <c:pt idx="15">
                  <c:v>-2.0308220000000001</c:v>
                </c:pt>
                <c:pt idx="16">
                  <c:v>-2.1563729999999999</c:v>
                </c:pt>
                <c:pt idx="17">
                  <c:v>-2.2817620000000001</c:v>
                </c:pt>
                <c:pt idx="18">
                  <c:v>-2.4069880000000001</c:v>
                </c:pt>
                <c:pt idx="19">
                  <c:v>-2.532057</c:v>
                </c:pt>
                <c:pt idx="20">
                  <c:v>-2.6569639999999999</c:v>
                </c:pt>
                <c:pt idx="21">
                  <c:v>-2.7817080000000001</c:v>
                </c:pt>
                <c:pt idx="22">
                  <c:v>-2.9062920000000001</c:v>
                </c:pt>
                <c:pt idx="23">
                  <c:v>-3.0307189999999999</c:v>
                </c:pt>
                <c:pt idx="24">
                  <c:v>-3.1549839999999998</c:v>
                </c:pt>
                <c:pt idx="25">
                  <c:v>-3.279093</c:v>
                </c:pt>
                <c:pt idx="26">
                  <c:v>-3.4030390000000001</c:v>
                </c:pt>
                <c:pt idx="27">
                  <c:v>-3.5268329999999999</c:v>
                </c:pt>
                <c:pt idx="28">
                  <c:v>-3.650461</c:v>
                </c:pt>
                <c:pt idx="29">
                  <c:v>-3.773936</c:v>
                </c:pt>
                <c:pt idx="30">
                  <c:v>-3.8972470000000001</c:v>
                </c:pt>
                <c:pt idx="31">
                  <c:v>-4.0204029999999999</c:v>
                </c:pt>
                <c:pt idx="32">
                  <c:v>-4.143402</c:v>
                </c:pt>
                <c:pt idx="33">
                  <c:v>-4.2662440000000004</c:v>
                </c:pt>
                <c:pt idx="34">
                  <c:v>-4.3889269999999998</c:v>
                </c:pt>
                <c:pt idx="35">
                  <c:v>-4.5114559999999999</c:v>
                </c:pt>
                <c:pt idx="36">
                  <c:v>-4.6338249999999999</c:v>
                </c:pt>
                <c:pt idx="37">
                  <c:v>-4.7560339999999997</c:v>
                </c:pt>
                <c:pt idx="38">
                  <c:v>-4.8780890000000001</c:v>
                </c:pt>
                <c:pt idx="39">
                  <c:v>-4.9999900000000004</c:v>
                </c:pt>
              </c:numCache>
            </c:numRef>
          </c:val>
          <c:smooth val="0"/>
          <c:extLst>
            <c:ext xmlns:c16="http://schemas.microsoft.com/office/drawing/2014/chart" uri="{C3380CC4-5D6E-409C-BE32-E72D297353CC}">
              <c16:uniqueId val="{00000008-0700-4D86-BB39-11F8BC74877D}"/>
            </c:ext>
          </c:extLst>
        </c:ser>
        <c:ser>
          <c:idx val="6"/>
          <c:order val="2"/>
          <c:tx>
            <c:strRef>
              <c:f>x1tot!$I$47</c:f>
              <c:strCache>
                <c:ptCount val="1"/>
                <c:pt idx="0">
                  <c:v>Rootcrops</c:v>
                </c:pt>
              </c:strCache>
            </c:strRef>
          </c:tx>
          <c:spPr>
            <a:ln w="28575" cap="rnd">
              <a:solidFill>
                <a:schemeClr val="accent1">
                  <a:lumMod val="60000"/>
                </a:schemeClr>
              </a:solidFill>
              <a:round/>
            </a:ln>
            <a:effectLst/>
          </c:spPr>
          <c:marker>
            <c:symbol val="none"/>
          </c:marker>
          <c:cat>
            <c:numRef>
              <c:f>x1tot!$B$48:$B$87</c:f>
              <c:numCache>
                <c:formatCode>General</c:formatCode>
                <c:ptCount val="40"/>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pt idx="13">
                  <c:v>2024</c:v>
                </c:pt>
                <c:pt idx="14">
                  <c:v>2025</c:v>
                </c:pt>
                <c:pt idx="15">
                  <c:v>2026</c:v>
                </c:pt>
                <c:pt idx="16">
                  <c:v>2027</c:v>
                </c:pt>
                <c:pt idx="17">
                  <c:v>2028</c:v>
                </c:pt>
                <c:pt idx="18">
                  <c:v>2029</c:v>
                </c:pt>
                <c:pt idx="19">
                  <c:v>2030</c:v>
                </c:pt>
                <c:pt idx="20">
                  <c:v>2031</c:v>
                </c:pt>
                <c:pt idx="21">
                  <c:v>2032</c:v>
                </c:pt>
                <c:pt idx="22">
                  <c:v>2033</c:v>
                </c:pt>
                <c:pt idx="23">
                  <c:v>2034</c:v>
                </c:pt>
                <c:pt idx="24">
                  <c:v>2035</c:v>
                </c:pt>
                <c:pt idx="25">
                  <c:v>2036</c:v>
                </c:pt>
                <c:pt idx="26">
                  <c:v>2037</c:v>
                </c:pt>
                <c:pt idx="27">
                  <c:v>2038</c:v>
                </c:pt>
                <c:pt idx="28">
                  <c:v>2039</c:v>
                </c:pt>
                <c:pt idx="29">
                  <c:v>2040</c:v>
                </c:pt>
                <c:pt idx="30">
                  <c:v>2041</c:v>
                </c:pt>
                <c:pt idx="31">
                  <c:v>2042</c:v>
                </c:pt>
                <c:pt idx="32">
                  <c:v>2043</c:v>
                </c:pt>
                <c:pt idx="33">
                  <c:v>2044</c:v>
                </c:pt>
                <c:pt idx="34">
                  <c:v>2045</c:v>
                </c:pt>
                <c:pt idx="35">
                  <c:v>2046</c:v>
                </c:pt>
                <c:pt idx="36">
                  <c:v>2047</c:v>
                </c:pt>
                <c:pt idx="37">
                  <c:v>2048</c:v>
                </c:pt>
                <c:pt idx="38">
                  <c:v>2049</c:v>
                </c:pt>
                <c:pt idx="39">
                  <c:v>2050</c:v>
                </c:pt>
              </c:numCache>
            </c:numRef>
          </c:cat>
          <c:val>
            <c:numRef>
              <c:f>x1tot!$I$48:$I$87</c:f>
              <c:numCache>
                <c:formatCode>General</c:formatCode>
                <c:ptCount val="40"/>
                <c:pt idx="0">
                  <c:v>-0.20823700000000001</c:v>
                </c:pt>
                <c:pt idx="1">
                  <c:v>-0.41604000000000002</c:v>
                </c:pt>
                <c:pt idx="2">
                  <c:v>-0.62341100000000005</c:v>
                </c:pt>
                <c:pt idx="3">
                  <c:v>-0.83035000000000003</c:v>
                </c:pt>
                <c:pt idx="4">
                  <c:v>-1.036859</c:v>
                </c:pt>
                <c:pt idx="5">
                  <c:v>-1.242937</c:v>
                </c:pt>
                <c:pt idx="6">
                  <c:v>-1.4485859999999999</c:v>
                </c:pt>
                <c:pt idx="7">
                  <c:v>-1.653807</c:v>
                </c:pt>
                <c:pt idx="8">
                  <c:v>-1.8586</c:v>
                </c:pt>
                <c:pt idx="9">
                  <c:v>-2.0629659999999999</c:v>
                </c:pt>
                <c:pt idx="10">
                  <c:v>-2.2669079999999999</c:v>
                </c:pt>
                <c:pt idx="11">
                  <c:v>-2.4704259999999998</c:v>
                </c:pt>
                <c:pt idx="12">
                  <c:v>-2.673521</c:v>
                </c:pt>
                <c:pt idx="13">
                  <c:v>-2.8761909999999999</c:v>
                </c:pt>
                <c:pt idx="14">
                  <c:v>-3.0784389999999999</c:v>
                </c:pt>
                <c:pt idx="15">
                  <c:v>-3.2802660000000001</c:v>
                </c:pt>
                <c:pt idx="16">
                  <c:v>-3.4816739999999999</c:v>
                </c:pt>
                <c:pt idx="17">
                  <c:v>-3.6826599999999998</c:v>
                </c:pt>
                <c:pt idx="18">
                  <c:v>-3.8832270000000002</c:v>
                </c:pt>
                <c:pt idx="19">
                  <c:v>-4.0833750000000002</c:v>
                </c:pt>
                <c:pt idx="20">
                  <c:v>-4.2831080000000004</c:v>
                </c:pt>
                <c:pt idx="21">
                  <c:v>-4.4824250000000001</c:v>
                </c:pt>
                <c:pt idx="22">
                  <c:v>-4.6813289999999999</c:v>
                </c:pt>
                <c:pt idx="23">
                  <c:v>-4.8798199999999996</c:v>
                </c:pt>
                <c:pt idx="24">
                  <c:v>-5.0778930000000004</c:v>
                </c:pt>
                <c:pt idx="25">
                  <c:v>-5.2755570000000001</c:v>
                </c:pt>
                <c:pt idx="26">
                  <c:v>-5.4728050000000001</c:v>
                </c:pt>
                <c:pt idx="27">
                  <c:v>-5.6696429999999998</c:v>
                </c:pt>
                <c:pt idx="28">
                  <c:v>-5.8660759999999996</c:v>
                </c:pt>
                <c:pt idx="29">
                  <c:v>-6.0620960000000004</c:v>
                </c:pt>
                <c:pt idx="30">
                  <c:v>-6.2577100000000003</c:v>
                </c:pt>
                <c:pt idx="31">
                  <c:v>-6.4529170000000002</c:v>
                </c:pt>
                <c:pt idx="32">
                  <c:v>-6.6477139999999997</c:v>
                </c:pt>
                <c:pt idx="33">
                  <c:v>-6.8421099999999999</c:v>
                </c:pt>
                <c:pt idx="34">
                  <c:v>-7.036098</c:v>
                </c:pt>
                <c:pt idx="35">
                  <c:v>-7.2296860000000001</c:v>
                </c:pt>
                <c:pt idx="36">
                  <c:v>-7.4228680000000002</c:v>
                </c:pt>
                <c:pt idx="37">
                  <c:v>-7.6156509999999997</c:v>
                </c:pt>
                <c:pt idx="38">
                  <c:v>-7.8080249999999998</c:v>
                </c:pt>
                <c:pt idx="39">
                  <c:v>-8</c:v>
                </c:pt>
              </c:numCache>
            </c:numRef>
          </c:val>
          <c:smooth val="0"/>
          <c:extLst>
            <c:ext xmlns:c16="http://schemas.microsoft.com/office/drawing/2014/chart" uri="{C3380CC4-5D6E-409C-BE32-E72D297353CC}">
              <c16:uniqueId val="{00000006-0700-4D86-BB39-11F8BC74877D}"/>
            </c:ext>
          </c:extLst>
        </c:ser>
        <c:ser>
          <c:idx val="2"/>
          <c:order val="3"/>
          <c:tx>
            <c:strRef>
              <c:f>x1tot!$E$47</c:f>
              <c:strCache>
                <c:ptCount val="1"/>
                <c:pt idx="0">
                  <c:v>Maize</c:v>
                </c:pt>
              </c:strCache>
            </c:strRef>
          </c:tx>
          <c:spPr>
            <a:ln w="28575" cap="rnd">
              <a:solidFill>
                <a:schemeClr val="accent3"/>
              </a:solidFill>
              <a:round/>
            </a:ln>
            <a:effectLst/>
          </c:spPr>
          <c:marker>
            <c:symbol val="none"/>
          </c:marker>
          <c:cat>
            <c:numRef>
              <c:f>x1tot!$B$48:$B$87</c:f>
              <c:numCache>
                <c:formatCode>General</c:formatCode>
                <c:ptCount val="40"/>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pt idx="13">
                  <c:v>2024</c:v>
                </c:pt>
                <c:pt idx="14">
                  <c:v>2025</c:v>
                </c:pt>
                <c:pt idx="15">
                  <c:v>2026</c:v>
                </c:pt>
                <c:pt idx="16">
                  <c:v>2027</c:v>
                </c:pt>
                <c:pt idx="17">
                  <c:v>2028</c:v>
                </c:pt>
                <c:pt idx="18">
                  <c:v>2029</c:v>
                </c:pt>
                <c:pt idx="19">
                  <c:v>2030</c:v>
                </c:pt>
                <c:pt idx="20">
                  <c:v>2031</c:v>
                </c:pt>
                <c:pt idx="21">
                  <c:v>2032</c:v>
                </c:pt>
                <c:pt idx="22">
                  <c:v>2033</c:v>
                </c:pt>
                <c:pt idx="23">
                  <c:v>2034</c:v>
                </c:pt>
                <c:pt idx="24">
                  <c:v>2035</c:v>
                </c:pt>
                <c:pt idx="25">
                  <c:v>2036</c:v>
                </c:pt>
                <c:pt idx="26">
                  <c:v>2037</c:v>
                </c:pt>
                <c:pt idx="27">
                  <c:v>2038</c:v>
                </c:pt>
                <c:pt idx="28">
                  <c:v>2039</c:v>
                </c:pt>
                <c:pt idx="29">
                  <c:v>2040</c:v>
                </c:pt>
                <c:pt idx="30">
                  <c:v>2041</c:v>
                </c:pt>
                <c:pt idx="31">
                  <c:v>2042</c:v>
                </c:pt>
                <c:pt idx="32">
                  <c:v>2043</c:v>
                </c:pt>
                <c:pt idx="33">
                  <c:v>2044</c:v>
                </c:pt>
                <c:pt idx="34">
                  <c:v>2045</c:v>
                </c:pt>
                <c:pt idx="35">
                  <c:v>2046</c:v>
                </c:pt>
                <c:pt idx="36">
                  <c:v>2047</c:v>
                </c:pt>
                <c:pt idx="37">
                  <c:v>2048</c:v>
                </c:pt>
                <c:pt idx="38">
                  <c:v>2049</c:v>
                </c:pt>
                <c:pt idx="39">
                  <c:v>2050</c:v>
                </c:pt>
              </c:numCache>
            </c:numRef>
          </c:cat>
          <c:val>
            <c:numRef>
              <c:f>x1tot!$E$48:$E$87</c:f>
              <c:numCache>
                <c:formatCode>General</c:formatCode>
                <c:ptCount val="40"/>
                <c:pt idx="0">
                  <c:v>-0.26305499999999998</c:v>
                </c:pt>
                <c:pt idx="1">
                  <c:v>-0.52541800000000005</c:v>
                </c:pt>
                <c:pt idx="2">
                  <c:v>-0.78708999999999996</c:v>
                </c:pt>
                <c:pt idx="3">
                  <c:v>-1.0480750000000001</c:v>
                </c:pt>
                <c:pt idx="4">
                  <c:v>-1.3083720000000001</c:v>
                </c:pt>
                <c:pt idx="5">
                  <c:v>-1.5679860000000001</c:v>
                </c:pt>
                <c:pt idx="6">
                  <c:v>-1.826916</c:v>
                </c:pt>
                <c:pt idx="7">
                  <c:v>-2.0851660000000001</c:v>
                </c:pt>
                <c:pt idx="8">
                  <c:v>-2.3427359999999999</c:v>
                </c:pt>
                <c:pt idx="9">
                  <c:v>-2.5996269999999999</c:v>
                </c:pt>
                <c:pt idx="10">
                  <c:v>-2.8558430000000001</c:v>
                </c:pt>
                <c:pt idx="11">
                  <c:v>-3.111386</c:v>
                </c:pt>
                <c:pt idx="12">
                  <c:v>-3.3662570000000001</c:v>
                </c:pt>
                <c:pt idx="13">
                  <c:v>-3.620457</c:v>
                </c:pt>
                <c:pt idx="14">
                  <c:v>-3.8739859999999999</c:v>
                </c:pt>
                <c:pt idx="15">
                  <c:v>-4.126849</c:v>
                </c:pt>
                <c:pt idx="16">
                  <c:v>-4.3790490000000002</c:v>
                </c:pt>
                <c:pt idx="17">
                  <c:v>-4.6305870000000002</c:v>
                </c:pt>
                <c:pt idx="18">
                  <c:v>-4.8814599999999997</c:v>
                </c:pt>
                <c:pt idx="19">
                  <c:v>-5.1316709999999999</c:v>
                </c:pt>
                <c:pt idx="20">
                  <c:v>-5.3812309999999997</c:v>
                </c:pt>
                <c:pt idx="21">
                  <c:v>-5.6301269999999999</c:v>
                </c:pt>
                <c:pt idx="22">
                  <c:v>-5.8783719999999997</c:v>
                </c:pt>
                <c:pt idx="23">
                  <c:v>-6.125966</c:v>
                </c:pt>
                <c:pt idx="24">
                  <c:v>-6.3729040000000001</c:v>
                </c:pt>
                <c:pt idx="25">
                  <c:v>-6.6191950000000004</c:v>
                </c:pt>
                <c:pt idx="26">
                  <c:v>-6.8648410000000002</c:v>
                </c:pt>
                <c:pt idx="27">
                  <c:v>-7.1098350000000003</c:v>
                </c:pt>
                <c:pt idx="28">
                  <c:v>-7.3541879999999997</c:v>
                </c:pt>
                <c:pt idx="29">
                  <c:v>-7.597893</c:v>
                </c:pt>
                <c:pt idx="30">
                  <c:v>-7.8409620000000002</c:v>
                </c:pt>
                <c:pt idx="31">
                  <c:v>-8.0833910000000007</c:v>
                </c:pt>
                <c:pt idx="32">
                  <c:v>-8.3251830000000009</c:v>
                </c:pt>
                <c:pt idx="33">
                  <c:v>-8.5663400000000003</c:v>
                </c:pt>
                <c:pt idx="34">
                  <c:v>-8.8068620000000006</c:v>
                </c:pt>
                <c:pt idx="35">
                  <c:v>-9.0467499999999994</c:v>
                </c:pt>
                <c:pt idx="36">
                  <c:v>-9.2860110000000002</c:v>
                </c:pt>
                <c:pt idx="37">
                  <c:v>-9.5246429999999993</c:v>
                </c:pt>
                <c:pt idx="38">
                  <c:v>-9.7626419999999996</c:v>
                </c:pt>
                <c:pt idx="39">
                  <c:v>-10.000019</c:v>
                </c:pt>
              </c:numCache>
            </c:numRef>
          </c:val>
          <c:smooth val="0"/>
          <c:extLst>
            <c:ext xmlns:c16="http://schemas.microsoft.com/office/drawing/2014/chart" uri="{C3380CC4-5D6E-409C-BE32-E72D297353CC}">
              <c16:uniqueId val="{00000002-0700-4D86-BB39-11F8BC74877D}"/>
            </c:ext>
          </c:extLst>
        </c:ser>
        <c:ser>
          <c:idx val="4"/>
          <c:order val="4"/>
          <c:tx>
            <c:strRef>
              <c:f>x1tot!$G$47</c:f>
              <c:strCache>
                <c:ptCount val="1"/>
                <c:pt idx="0">
                  <c:v>OthCereals</c:v>
                </c:pt>
              </c:strCache>
            </c:strRef>
          </c:tx>
          <c:spPr>
            <a:ln w="28575" cap="rnd">
              <a:solidFill>
                <a:schemeClr val="accent5"/>
              </a:solidFill>
              <a:round/>
            </a:ln>
            <a:effectLst/>
          </c:spPr>
          <c:marker>
            <c:symbol val="none"/>
          </c:marker>
          <c:cat>
            <c:numRef>
              <c:f>x1tot!$B$48:$B$87</c:f>
              <c:numCache>
                <c:formatCode>General</c:formatCode>
                <c:ptCount val="40"/>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pt idx="13">
                  <c:v>2024</c:v>
                </c:pt>
                <c:pt idx="14">
                  <c:v>2025</c:v>
                </c:pt>
                <c:pt idx="15">
                  <c:v>2026</c:v>
                </c:pt>
                <c:pt idx="16">
                  <c:v>2027</c:v>
                </c:pt>
                <c:pt idx="17">
                  <c:v>2028</c:v>
                </c:pt>
                <c:pt idx="18">
                  <c:v>2029</c:v>
                </c:pt>
                <c:pt idx="19">
                  <c:v>2030</c:v>
                </c:pt>
                <c:pt idx="20">
                  <c:v>2031</c:v>
                </c:pt>
                <c:pt idx="21">
                  <c:v>2032</c:v>
                </c:pt>
                <c:pt idx="22">
                  <c:v>2033</c:v>
                </c:pt>
                <c:pt idx="23">
                  <c:v>2034</c:v>
                </c:pt>
                <c:pt idx="24">
                  <c:v>2035</c:v>
                </c:pt>
                <c:pt idx="25">
                  <c:v>2036</c:v>
                </c:pt>
                <c:pt idx="26">
                  <c:v>2037</c:v>
                </c:pt>
                <c:pt idx="27">
                  <c:v>2038</c:v>
                </c:pt>
                <c:pt idx="28">
                  <c:v>2039</c:v>
                </c:pt>
                <c:pt idx="29">
                  <c:v>2040</c:v>
                </c:pt>
                <c:pt idx="30">
                  <c:v>2041</c:v>
                </c:pt>
                <c:pt idx="31">
                  <c:v>2042</c:v>
                </c:pt>
                <c:pt idx="32">
                  <c:v>2043</c:v>
                </c:pt>
                <c:pt idx="33">
                  <c:v>2044</c:v>
                </c:pt>
                <c:pt idx="34">
                  <c:v>2045</c:v>
                </c:pt>
                <c:pt idx="35">
                  <c:v>2046</c:v>
                </c:pt>
                <c:pt idx="36">
                  <c:v>2047</c:v>
                </c:pt>
                <c:pt idx="37">
                  <c:v>2048</c:v>
                </c:pt>
                <c:pt idx="38">
                  <c:v>2049</c:v>
                </c:pt>
                <c:pt idx="39">
                  <c:v>2050</c:v>
                </c:pt>
              </c:numCache>
            </c:numRef>
          </c:cat>
          <c:val>
            <c:numRef>
              <c:f>x1tot!$G$48:$G$87</c:f>
              <c:numCache>
                <c:formatCode>General</c:formatCode>
                <c:ptCount val="40"/>
                <c:pt idx="0">
                  <c:v>-0.20823700000000001</c:v>
                </c:pt>
                <c:pt idx="1">
                  <c:v>-0.41604000000000002</c:v>
                </c:pt>
                <c:pt idx="2">
                  <c:v>-0.62341000000000002</c:v>
                </c:pt>
                <c:pt idx="3">
                  <c:v>-0.830349</c:v>
                </c:pt>
                <c:pt idx="4">
                  <c:v>-1.0368580000000001</c:v>
                </c:pt>
                <c:pt idx="5">
                  <c:v>-1.242934</c:v>
                </c:pt>
                <c:pt idx="6">
                  <c:v>-1.448583</c:v>
                </c:pt>
                <c:pt idx="7">
                  <c:v>-1.6538040000000001</c:v>
                </c:pt>
                <c:pt idx="8">
                  <c:v>-1.8586</c:v>
                </c:pt>
                <c:pt idx="9">
                  <c:v>-2.0629659999999999</c:v>
                </c:pt>
                <c:pt idx="10">
                  <c:v>-2.2669069999999998</c:v>
                </c:pt>
                <c:pt idx="11">
                  <c:v>-2.4704220000000001</c:v>
                </c:pt>
                <c:pt idx="12">
                  <c:v>-2.6735150000000001</c:v>
                </c:pt>
                <c:pt idx="13">
                  <c:v>-2.8761839999999999</c:v>
                </c:pt>
                <c:pt idx="14">
                  <c:v>-3.0784310000000001</c:v>
                </c:pt>
                <c:pt idx="15">
                  <c:v>-3.2802609999999999</c:v>
                </c:pt>
                <c:pt idx="16">
                  <c:v>-3.4816690000000001</c:v>
                </c:pt>
                <c:pt idx="17">
                  <c:v>-3.6826530000000002</c:v>
                </c:pt>
                <c:pt idx="18">
                  <c:v>-3.8832200000000001</c:v>
                </c:pt>
                <c:pt idx="19">
                  <c:v>-4.083367</c:v>
                </c:pt>
                <c:pt idx="20">
                  <c:v>-4.2831010000000003</c:v>
                </c:pt>
                <c:pt idx="21">
                  <c:v>-4.4824159999999997</c:v>
                </c:pt>
                <c:pt idx="22">
                  <c:v>-4.6813149999999997</c:v>
                </c:pt>
                <c:pt idx="23">
                  <c:v>-4.8798069999999996</c:v>
                </c:pt>
                <c:pt idx="24">
                  <c:v>-5.0778809999999996</c:v>
                </c:pt>
                <c:pt idx="25">
                  <c:v>-5.2755429999999999</c:v>
                </c:pt>
                <c:pt idx="26">
                  <c:v>-5.4727949999999996</c:v>
                </c:pt>
                <c:pt idx="27">
                  <c:v>-5.6696359999999997</c:v>
                </c:pt>
                <c:pt idx="28">
                  <c:v>-5.8660709999999998</c:v>
                </c:pt>
                <c:pt idx="29">
                  <c:v>-6.0620890000000003</c:v>
                </c:pt>
                <c:pt idx="30">
                  <c:v>-6.2577020000000001</c:v>
                </c:pt>
                <c:pt idx="31">
                  <c:v>-6.4529079999999999</c:v>
                </c:pt>
                <c:pt idx="32">
                  <c:v>-6.6477089999999999</c:v>
                </c:pt>
                <c:pt idx="33">
                  <c:v>-6.8421060000000002</c:v>
                </c:pt>
                <c:pt idx="34">
                  <c:v>-7.0360940000000003</c:v>
                </c:pt>
                <c:pt idx="35">
                  <c:v>-7.2296800000000001</c:v>
                </c:pt>
                <c:pt idx="36">
                  <c:v>-7.4228639999999997</c:v>
                </c:pt>
                <c:pt idx="37">
                  <c:v>-7.6156430000000004</c:v>
                </c:pt>
                <c:pt idx="38">
                  <c:v>-7.8080220000000002</c:v>
                </c:pt>
                <c:pt idx="39">
                  <c:v>-7.9999960000000003</c:v>
                </c:pt>
              </c:numCache>
            </c:numRef>
          </c:val>
          <c:smooth val="0"/>
          <c:extLst>
            <c:ext xmlns:c16="http://schemas.microsoft.com/office/drawing/2014/chart" uri="{C3380CC4-5D6E-409C-BE32-E72D297353CC}">
              <c16:uniqueId val="{00000004-0700-4D86-BB39-11F8BC74877D}"/>
            </c:ext>
          </c:extLst>
        </c:ser>
        <c:ser>
          <c:idx val="5"/>
          <c:order val="5"/>
          <c:tx>
            <c:strRef>
              <c:f>x1tot!$H$47</c:f>
              <c:strCache>
                <c:ptCount val="1"/>
                <c:pt idx="0">
                  <c:v>Pulses</c:v>
                </c:pt>
              </c:strCache>
            </c:strRef>
          </c:tx>
          <c:spPr>
            <a:ln w="28575" cap="rnd">
              <a:solidFill>
                <a:schemeClr val="accent6"/>
              </a:solidFill>
              <a:round/>
            </a:ln>
            <a:effectLst/>
          </c:spPr>
          <c:marker>
            <c:symbol val="none"/>
          </c:marker>
          <c:cat>
            <c:numRef>
              <c:f>x1tot!$B$48:$B$87</c:f>
              <c:numCache>
                <c:formatCode>General</c:formatCode>
                <c:ptCount val="40"/>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pt idx="13">
                  <c:v>2024</c:v>
                </c:pt>
                <c:pt idx="14">
                  <c:v>2025</c:v>
                </c:pt>
                <c:pt idx="15">
                  <c:v>2026</c:v>
                </c:pt>
                <c:pt idx="16">
                  <c:v>2027</c:v>
                </c:pt>
                <c:pt idx="17">
                  <c:v>2028</c:v>
                </c:pt>
                <c:pt idx="18">
                  <c:v>2029</c:v>
                </c:pt>
                <c:pt idx="19">
                  <c:v>2030</c:v>
                </c:pt>
                <c:pt idx="20">
                  <c:v>2031</c:v>
                </c:pt>
                <c:pt idx="21">
                  <c:v>2032</c:v>
                </c:pt>
                <c:pt idx="22">
                  <c:v>2033</c:v>
                </c:pt>
                <c:pt idx="23">
                  <c:v>2034</c:v>
                </c:pt>
                <c:pt idx="24">
                  <c:v>2035</c:v>
                </c:pt>
                <c:pt idx="25">
                  <c:v>2036</c:v>
                </c:pt>
                <c:pt idx="26">
                  <c:v>2037</c:v>
                </c:pt>
                <c:pt idx="27">
                  <c:v>2038</c:v>
                </c:pt>
                <c:pt idx="28">
                  <c:v>2039</c:v>
                </c:pt>
                <c:pt idx="29">
                  <c:v>2040</c:v>
                </c:pt>
                <c:pt idx="30">
                  <c:v>2041</c:v>
                </c:pt>
                <c:pt idx="31">
                  <c:v>2042</c:v>
                </c:pt>
                <c:pt idx="32">
                  <c:v>2043</c:v>
                </c:pt>
                <c:pt idx="33">
                  <c:v>2044</c:v>
                </c:pt>
                <c:pt idx="34">
                  <c:v>2045</c:v>
                </c:pt>
                <c:pt idx="35">
                  <c:v>2046</c:v>
                </c:pt>
                <c:pt idx="36">
                  <c:v>2047</c:v>
                </c:pt>
                <c:pt idx="37">
                  <c:v>2048</c:v>
                </c:pt>
                <c:pt idx="38">
                  <c:v>2049</c:v>
                </c:pt>
                <c:pt idx="39">
                  <c:v>2050</c:v>
                </c:pt>
              </c:numCache>
            </c:numRef>
          </c:cat>
          <c:val>
            <c:numRef>
              <c:f>x1tot!$H$48:$H$87</c:f>
              <c:numCache>
                <c:formatCode>General</c:formatCode>
                <c:ptCount val="40"/>
                <c:pt idx="0">
                  <c:v>-0.26305499999999998</c:v>
                </c:pt>
                <c:pt idx="1">
                  <c:v>-0.52541800000000005</c:v>
                </c:pt>
                <c:pt idx="2">
                  <c:v>-0.78709099999999999</c:v>
                </c:pt>
                <c:pt idx="3">
                  <c:v>-1.048076</c:v>
                </c:pt>
                <c:pt idx="4">
                  <c:v>-1.308373</c:v>
                </c:pt>
                <c:pt idx="5">
                  <c:v>-1.5679860000000001</c:v>
                </c:pt>
                <c:pt idx="6">
                  <c:v>-1.826916</c:v>
                </c:pt>
                <c:pt idx="7">
                  <c:v>-2.0851660000000001</c:v>
                </c:pt>
                <c:pt idx="8">
                  <c:v>-2.3427380000000002</c:v>
                </c:pt>
                <c:pt idx="9">
                  <c:v>-2.599628</c:v>
                </c:pt>
                <c:pt idx="10">
                  <c:v>-2.8558439999999998</c:v>
                </c:pt>
                <c:pt idx="11">
                  <c:v>-3.111386</c:v>
                </c:pt>
                <c:pt idx="12">
                  <c:v>-3.3662559999999999</c:v>
                </c:pt>
                <c:pt idx="13">
                  <c:v>-3.6204559999999999</c:v>
                </c:pt>
                <c:pt idx="14">
                  <c:v>-3.8739870000000001</c:v>
                </c:pt>
                <c:pt idx="15">
                  <c:v>-4.1268520000000004</c:v>
                </c:pt>
                <c:pt idx="16">
                  <c:v>-4.3790509999999996</c:v>
                </c:pt>
                <c:pt idx="17">
                  <c:v>-4.6305870000000002</c:v>
                </c:pt>
                <c:pt idx="18">
                  <c:v>-4.8814599999999997</c:v>
                </c:pt>
                <c:pt idx="19">
                  <c:v>-5.131672</c:v>
                </c:pt>
                <c:pt idx="20">
                  <c:v>-5.381227</c:v>
                </c:pt>
                <c:pt idx="21">
                  <c:v>-5.6301259999999997</c:v>
                </c:pt>
                <c:pt idx="22">
                  <c:v>-5.8783719999999997</c:v>
                </c:pt>
                <c:pt idx="23">
                  <c:v>-6.125966</c:v>
                </c:pt>
                <c:pt idx="24">
                  <c:v>-6.3729050000000003</c:v>
                </c:pt>
                <c:pt idx="25">
                  <c:v>-6.6191930000000001</c:v>
                </c:pt>
                <c:pt idx="26">
                  <c:v>-6.8648319999999998</c:v>
                </c:pt>
                <c:pt idx="27">
                  <c:v>-7.1098270000000001</c:v>
                </c:pt>
                <c:pt idx="28">
                  <c:v>-7.3541829999999999</c:v>
                </c:pt>
                <c:pt idx="29">
                  <c:v>-7.5978960000000004</c:v>
                </c:pt>
                <c:pt idx="30">
                  <c:v>-7.8409639999999996</c:v>
                </c:pt>
                <c:pt idx="31">
                  <c:v>-8.0833879999999994</c:v>
                </c:pt>
                <c:pt idx="32">
                  <c:v>-8.3251799999999996</c:v>
                </c:pt>
                <c:pt idx="33">
                  <c:v>-8.5663359999999997</c:v>
                </c:pt>
                <c:pt idx="34">
                  <c:v>-8.8068539999999995</c:v>
                </c:pt>
                <c:pt idx="35">
                  <c:v>-9.0467420000000001</c:v>
                </c:pt>
                <c:pt idx="36">
                  <c:v>-9.2859990000000003</c:v>
                </c:pt>
                <c:pt idx="37">
                  <c:v>-9.5246239999999993</c:v>
                </c:pt>
                <c:pt idx="38">
                  <c:v>-9.7626229999999996</c:v>
                </c:pt>
                <c:pt idx="39">
                  <c:v>-9.9999920000000007</c:v>
                </c:pt>
              </c:numCache>
            </c:numRef>
          </c:val>
          <c:smooth val="0"/>
          <c:extLst>
            <c:ext xmlns:c16="http://schemas.microsoft.com/office/drawing/2014/chart" uri="{C3380CC4-5D6E-409C-BE32-E72D297353CC}">
              <c16:uniqueId val="{00000005-0700-4D86-BB39-11F8BC74877D}"/>
            </c:ext>
          </c:extLst>
        </c:ser>
        <c:ser>
          <c:idx val="7"/>
          <c:order val="6"/>
          <c:tx>
            <c:strRef>
              <c:f>x1tot!$J$47</c:f>
              <c:strCache>
                <c:ptCount val="1"/>
                <c:pt idx="0">
                  <c:v>Cassava</c:v>
                </c:pt>
              </c:strCache>
            </c:strRef>
          </c:tx>
          <c:spPr>
            <a:ln w="28575" cap="rnd">
              <a:solidFill>
                <a:schemeClr val="accent2">
                  <a:lumMod val="60000"/>
                </a:schemeClr>
              </a:solidFill>
              <a:round/>
            </a:ln>
            <a:effectLst/>
          </c:spPr>
          <c:marker>
            <c:symbol val="none"/>
          </c:marker>
          <c:cat>
            <c:numRef>
              <c:f>x1tot!$B$48:$B$87</c:f>
              <c:numCache>
                <c:formatCode>General</c:formatCode>
                <c:ptCount val="40"/>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pt idx="13">
                  <c:v>2024</c:v>
                </c:pt>
                <c:pt idx="14">
                  <c:v>2025</c:v>
                </c:pt>
                <c:pt idx="15">
                  <c:v>2026</c:v>
                </c:pt>
                <c:pt idx="16">
                  <c:v>2027</c:v>
                </c:pt>
                <c:pt idx="17">
                  <c:v>2028</c:v>
                </c:pt>
                <c:pt idx="18">
                  <c:v>2029</c:v>
                </c:pt>
                <c:pt idx="19">
                  <c:v>2030</c:v>
                </c:pt>
                <c:pt idx="20">
                  <c:v>2031</c:v>
                </c:pt>
                <c:pt idx="21">
                  <c:v>2032</c:v>
                </c:pt>
                <c:pt idx="22">
                  <c:v>2033</c:v>
                </c:pt>
                <c:pt idx="23">
                  <c:v>2034</c:v>
                </c:pt>
                <c:pt idx="24">
                  <c:v>2035</c:v>
                </c:pt>
                <c:pt idx="25">
                  <c:v>2036</c:v>
                </c:pt>
                <c:pt idx="26">
                  <c:v>2037</c:v>
                </c:pt>
                <c:pt idx="27">
                  <c:v>2038</c:v>
                </c:pt>
                <c:pt idx="28">
                  <c:v>2039</c:v>
                </c:pt>
                <c:pt idx="29">
                  <c:v>2040</c:v>
                </c:pt>
                <c:pt idx="30">
                  <c:v>2041</c:v>
                </c:pt>
                <c:pt idx="31">
                  <c:v>2042</c:v>
                </c:pt>
                <c:pt idx="32">
                  <c:v>2043</c:v>
                </c:pt>
                <c:pt idx="33">
                  <c:v>2044</c:v>
                </c:pt>
                <c:pt idx="34">
                  <c:v>2045</c:v>
                </c:pt>
                <c:pt idx="35">
                  <c:v>2046</c:v>
                </c:pt>
                <c:pt idx="36">
                  <c:v>2047</c:v>
                </c:pt>
                <c:pt idx="37">
                  <c:v>2048</c:v>
                </c:pt>
                <c:pt idx="38">
                  <c:v>2049</c:v>
                </c:pt>
                <c:pt idx="39">
                  <c:v>2050</c:v>
                </c:pt>
              </c:numCache>
            </c:numRef>
          </c:cat>
          <c:val>
            <c:numRef>
              <c:f>x1tot!$J$48:$J$87</c:f>
              <c:numCache>
                <c:formatCode>General</c:formatCode>
                <c:ptCount val="40"/>
                <c:pt idx="0">
                  <c:v>-0.43493500000000002</c:v>
                </c:pt>
                <c:pt idx="1">
                  <c:v>-0.86797800000000003</c:v>
                </c:pt>
                <c:pt idx="2">
                  <c:v>-1.2991379999999999</c:v>
                </c:pt>
                <c:pt idx="3">
                  <c:v>-1.728423</c:v>
                </c:pt>
                <c:pt idx="4">
                  <c:v>-2.15584</c:v>
                </c:pt>
                <c:pt idx="5">
                  <c:v>-2.5813980000000001</c:v>
                </c:pt>
                <c:pt idx="6">
                  <c:v>-3.0051060000000001</c:v>
                </c:pt>
                <c:pt idx="7">
                  <c:v>-3.426971</c:v>
                </c:pt>
                <c:pt idx="8">
                  <c:v>-3.8470019999999998</c:v>
                </c:pt>
                <c:pt idx="9">
                  <c:v>-4.2652049999999999</c:v>
                </c:pt>
                <c:pt idx="10">
                  <c:v>-4.6815910000000001</c:v>
                </c:pt>
                <c:pt idx="11">
                  <c:v>-5.0961629999999998</c:v>
                </c:pt>
                <c:pt idx="12">
                  <c:v>-5.5089329999999999</c:v>
                </c:pt>
                <c:pt idx="13">
                  <c:v>-5.9199070000000003</c:v>
                </c:pt>
                <c:pt idx="14">
                  <c:v>-6.3290930000000003</c:v>
                </c:pt>
                <c:pt idx="15">
                  <c:v>-6.7365029999999999</c:v>
                </c:pt>
                <c:pt idx="16">
                  <c:v>-7.1421380000000001</c:v>
                </c:pt>
                <c:pt idx="17">
                  <c:v>-7.5460120000000002</c:v>
                </c:pt>
                <c:pt idx="18">
                  <c:v>-7.948124</c:v>
                </c:pt>
                <c:pt idx="19">
                  <c:v>-8.34849</c:v>
                </c:pt>
                <c:pt idx="20">
                  <c:v>-8.7471139999999998</c:v>
                </c:pt>
                <c:pt idx="21">
                  <c:v>-9.1440040000000007</c:v>
                </c:pt>
                <c:pt idx="22">
                  <c:v>-9.5391689999999993</c:v>
                </c:pt>
                <c:pt idx="23">
                  <c:v>-9.9326129999999999</c:v>
                </c:pt>
                <c:pt idx="24">
                  <c:v>-10.324348000000001</c:v>
                </c:pt>
                <c:pt idx="25">
                  <c:v>-10.714378999999999</c:v>
                </c:pt>
                <c:pt idx="26">
                  <c:v>-11.102712</c:v>
                </c:pt>
                <c:pt idx="27">
                  <c:v>-11.489356000000001</c:v>
                </c:pt>
                <c:pt idx="28">
                  <c:v>-11.874321999999999</c:v>
                </c:pt>
                <c:pt idx="29">
                  <c:v>-12.257612</c:v>
                </c:pt>
                <c:pt idx="30">
                  <c:v>-12.639234999999999</c:v>
                </c:pt>
                <c:pt idx="31">
                  <c:v>-13.019197</c:v>
                </c:pt>
                <c:pt idx="32">
                  <c:v>-13.397506</c:v>
                </c:pt>
                <c:pt idx="33">
                  <c:v>-13.774171000000001</c:v>
                </c:pt>
                <c:pt idx="34">
                  <c:v>-14.149196999999999</c:v>
                </c:pt>
                <c:pt idx="35">
                  <c:v>-14.522591</c:v>
                </c:pt>
                <c:pt idx="36">
                  <c:v>-14.894363999999999</c:v>
                </c:pt>
                <c:pt idx="37">
                  <c:v>-15.264516</c:v>
                </c:pt>
                <c:pt idx="38">
                  <c:v>-15.633061</c:v>
                </c:pt>
                <c:pt idx="39">
                  <c:v>-16.000005999999999</c:v>
                </c:pt>
              </c:numCache>
            </c:numRef>
          </c:val>
          <c:smooth val="0"/>
          <c:extLst>
            <c:ext xmlns:c16="http://schemas.microsoft.com/office/drawing/2014/chart" uri="{C3380CC4-5D6E-409C-BE32-E72D297353CC}">
              <c16:uniqueId val="{00000007-0700-4D86-BB39-11F8BC74877D}"/>
            </c:ext>
          </c:extLst>
        </c:ser>
        <c:ser>
          <c:idx val="9"/>
          <c:order val="7"/>
          <c:tx>
            <c:strRef>
              <c:f>x1tot!$L$47</c:f>
              <c:strCache>
                <c:ptCount val="1"/>
                <c:pt idx="0">
                  <c:v>Fishing</c:v>
                </c:pt>
              </c:strCache>
            </c:strRef>
          </c:tx>
          <c:spPr>
            <a:ln w="28575" cap="rnd">
              <a:solidFill>
                <a:schemeClr val="accent4">
                  <a:lumMod val="60000"/>
                </a:schemeClr>
              </a:solidFill>
              <a:round/>
            </a:ln>
            <a:effectLst/>
          </c:spPr>
          <c:marker>
            <c:symbol val="none"/>
          </c:marker>
          <c:cat>
            <c:numRef>
              <c:f>x1tot!$B$48:$B$87</c:f>
              <c:numCache>
                <c:formatCode>General</c:formatCode>
                <c:ptCount val="40"/>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pt idx="13">
                  <c:v>2024</c:v>
                </c:pt>
                <c:pt idx="14">
                  <c:v>2025</c:v>
                </c:pt>
                <c:pt idx="15">
                  <c:v>2026</c:v>
                </c:pt>
                <c:pt idx="16">
                  <c:v>2027</c:v>
                </c:pt>
                <c:pt idx="17">
                  <c:v>2028</c:v>
                </c:pt>
                <c:pt idx="18">
                  <c:v>2029</c:v>
                </c:pt>
                <c:pt idx="19">
                  <c:v>2030</c:v>
                </c:pt>
                <c:pt idx="20">
                  <c:v>2031</c:v>
                </c:pt>
                <c:pt idx="21">
                  <c:v>2032</c:v>
                </c:pt>
                <c:pt idx="22">
                  <c:v>2033</c:v>
                </c:pt>
                <c:pt idx="23">
                  <c:v>2034</c:v>
                </c:pt>
                <c:pt idx="24">
                  <c:v>2035</c:v>
                </c:pt>
                <c:pt idx="25">
                  <c:v>2036</c:v>
                </c:pt>
                <c:pt idx="26">
                  <c:v>2037</c:v>
                </c:pt>
                <c:pt idx="27">
                  <c:v>2038</c:v>
                </c:pt>
                <c:pt idx="28">
                  <c:v>2039</c:v>
                </c:pt>
                <c:pt idx="29">
                  <c:v>2040</c:v>
                </c:pt>
                <c:pt idx="30">
                  <c:v>2041</c:v>
                </c:pt>
                <c:pt idx="31">
                  <c:v>2042</c:v>
                </c:pt>
                <c:pt idx="32">
                  <c:v>2043</c:v>
                </c:pt>
                <c:pt idx="33">
                  <c:v>2044</c:v>
                </c:pt>
                <c:pt idx="34">
                  <c:v>2045</c:v>
                </c:pt>
                <c:pt idx="35">
                  <c:v>2046</c:v>
                </c:pt>
                <c:pt idx="36">
                  <c:v>2047</c:v>
                </c:pt>
                <c:pt idx="37">
                  <c:v>2048</c:v>
                </c:pt>
                <c:pt idx="38">
                  <c:v>2049</c:v>
                </c:pt>
                <c:pt idx="39">
                  <c:v>2050</c:v>
                </c:pt>
              </c:numCache>
            </c:numRef>
          </c:cat>
          <c:val>
            <c:numRef>
              <c:f>x1tot!$L$48:$L$87</c:f>
              <c:numCache>
                <c:formatCode>General</c:formatCode>
                <c:ptCount val="40"/>
                <c:pt idx="0">
                  <c:v>-0.26305499999999998</c:v>
                </c:pt>
                <c:pt idx="1">
                  <c:v>-0.52541800000000005</c:v>
                </c:pt>
                <c:pt idx="2">
                  <c:v>-0.78709099999999999</c:v>
                </c:pt>
                <c:pt idx="3">
                  <c:v>-1.048076</c:v>
                </c:pt>
                <c:pt idx="4">
                  <c:v>-1.3083750000000001</c:v>
                </c:pt>
                <c:pt idx="5">
                  <c:v>-1.5679879999999999</c:v>
                </c:pt>
                <c:pt idx="6">
                  <c:v>-1.826919</c:v>
                </c:pt>
                <c:pt idx="7">
                  <c:v>-2.0851679999999999</c:v>
                </c:pt>
                <c:pt idx="8">
                  <c:v>-2.3427359999999999</c:v>
                </c:pt>
                <c:pt idx="9">
                  <c:v>-2.5996290000000002</c:v>
                </c:pt>
                <c:pt idx="10">
                  <c:v>-2.855845</c:v>
                </c:pt>
                <c:pt idx="11">
                  <c:v>-3.1113840000000001</c:v>
                </c:pt>
                <c:pt idx="12">
                  <c:v>-3.3662550000000002</c:v>
                </c:pt>
                <c:pt idx="13">
                  <c:v>-3.6204519999999998</c:v>
                </c:pt>
                <c:pt idx="14">
                  <c:v>-3.8739819999999998</c:v>
                </c:pt>
                <c:pt idx="15">
                  <c:v>-4.1268440000000002</c:v>
                </c:pt>
                <c:pt idx="16">
                  <c:v>-4.3790440000000004</c:v>
                </c:pt>
                <c:pt idx="17">
                  <c:v>-4.6305810000000003</c:v>
                </c:pt>
                <c:pt idx="18">
                  <c:v>-4.8814590000000004</c:v>
                </c:pt>
                <c:pt idx="19">
                  <c:v>-5.131672</c:v>
                </c:pt>
                <c:pt idx="20">
                  <c:v>-5.381227</c:v>
                </c:pt>
                <c:pt idx="21">
                  <c:v>-5.630128</c:v>
                </c:pt>
                <c:pt idx="22">
                  <c:v>-5.8783719999999997</c:v>
                </c:pt>
                <c:pt idx="23">
                  <c:v>-6.1259620000000004</c:v>
                </c:pt>
                <c:pt idx="24">
                  <c:v>-6.3729040000000001</c:v>
                </c:pt>
                <c:pt idx="25">
                  <c:v>-6.6192000000000002</c:v>
                </c:pt>
                <c:pt idx="26">
                  <c:v>-6.8648470000000001</c:v>
                </c:pt>
                <c:pt idx="27">
                  <c:v>-7.1098400000000002</c:v>
                </c:pt>
                <c:pt idx="28">
                  <c:v>-7.3541939999999997</c:v>
                </c:pt>
                <c:pt idx="29">
                  <c:v>-7.5979010000000002</c:v>
                </c:pt>
                <c:pt idx="30">
                  <c:v>-7.8409680000000002</c:v>
                </c:pt>
                <c:pt idx="31">
                  <c:v>-8.083399</c:v>
                </c:pt>
                <c:pt idx="32">
                  <c:v>-8.3251910000000002</c:v>
                </c:pt>
                <c:pt idx="33">
                  <c:v>-8.5663450000000001</c:v>
                </c:pt>
                <c:pt idx="34">
                  <c:v>-8.8068639999999991</c:v>
                </c:pt>
                <c:pt idx="35">
                  <c:v>-9.046754</c:v>
                </c:pt>
                <c:pt idx="36">
                  <c:v>-9.2860049999999994</c:v>
                </c:pt>
                <c:pt idx="37">
                  <c:v>-9.5246320000000004</c:v>
                </c:pt>
                <c:pt idx="38">
                  <c:v>-9.762632</c:v>
                </c:pt>
                <c:pt idx="39">
                  <c:v>-10.000009</c:v>
                </c:pt>
              </c:numCache>
            </c:numRef>
          </c:val>
          <c:smooth val="0"/>
          <c:extLst>
            <c:ext xmlns:c16="http://schemas.microsoft.com/office/drawing/2014/chart" uri="{C3380CC4-5D6E-409C-BE32-E72D297353CC}">
              <c16:uniqueId val="{00000009-0700-4D86-BB39-11F8BC74877D}"/>
            </c:ext>
          </c:extLst>
        </c:ser>
        <c:ser>
          <c:idx val="0"/>
          <c:order val="8"/>
          <c:tx>
            <c:strRef>
              <c:f>x1tot!$C$47</c:f>
              <c:strCache>
                <c:ptCount val="1"/>
                <c:pt idx="0">
                  <c:v>Cofteaoth</c:v>
                </c:pt>
              </c:strCache>
            </c:strRef>
          </c:tx>
          <c:spPr>
            <a:ln w="28575" cap="rnd">
              <a:solidFill>
                <a:schemeClr val="accent1"/>
              </a:solidFill>
              <a:round/>
            </a:ln>
            <a:effectLst/>
          </c:spPr>
          <c:marker>
            <c:symbol val="none"/>
          </c:marker>
          <c:cat>
            <c:numRef>
              <c:f>x1tot!$B$48:$B$87</c:f>
              <c:numCache>
                <c:formatCode>General</c:formatCode>
                <c:ptCount val="40"/>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pt idx="13">
                  <c:v>2024</c:v>
                </c:pt>
                <c:pt idx="14">
                  <c:v>2025</c:v>
                </c:pt>
                <c:pt idx="15">
                  <c:v>2026</c:v>
                </c:pt>
                <c:pt idx="16">
                  <c:v>2027</c:v>
                </c:pt>
                <c:pt idx="17">
                  <c:v>2028</c:v>
                </c:pt>
                <c:pt idx="18">
                  <c:v>2029</c:v>
                </c:pt>
                <c:pt idx="19">
                  <c:v>2030</c:v>
                </c:pt>
                <c:pt idx="20">
                  <c:v>2031</c:v>
                </c:pt>
                <c:pt idx="21">
                  <c:v>2032</c:v>
                </c:pt>
                <c:pt idx="22">
                  <c:v>2033</c:v>
                </c:pt>
                <c:pt idx="23">
                  <c:v>2034</c:v>
                </c:pt>
                <c:pt idx="24">
                  <c:v>2035</c:v>
                </c:pt>
                <c:pt idx="25">
                  <c:v>2036</c:v>
                </c:pt>
                <c:pt idx="26">
                  <c:v>2037</c:v>
                </c:pt>
                <c:pt idx="27">
                  <c:v>2038</c:v>
                </c:pt>
                <c:pt idx="28">
                  <c:v>2039</c:v>
                </c:pt>
                <c:pt idx="29">
                  <c:v>2040</c:v>
                </c:pt>
                <c:pt idx="30">
                  <c:v>2041</c:v>
                </c:pt>
                <c:pt idx="31">
                  <c:v>2042</c:v>
                </c:pt>
                <c:pt idx="32">
                  <c:v>2043</c:v>
                </c:pt>
                <c:pt idx="33">
                  <c:v>2044</c:v>
                </c:pt>
                <c:pt idx="34">
                  <c:v>2045</c:v>
                </c:pt>
                <c:pt idx="35">
                  <c:v>2046</c:v>
                </c:pt>
                <c:pt idx="36">
                  <c:v>2047</c:v>
                </c:pt>
                <c:pt idx="37">
                  <c:v>2048</c:v>
                </c:pt>
                <c:pt idx="38">
                  <c:v>2049</c:v>
                </c:pt>
                <c:pt idx="39">
                  <c:v>2050</c:v>
                </c:pt>
              </c:numCache>
            </c:numRef>
          </c:cat>
          <c:val>
            <c:numRef>
              <c:f>x1tot!$C$48:$C$87</c:f>
              <c:numCache>
                <c:formatCode>General</c:formatCode>
                <c:ptCount val="40"/>
                <c:pt idx="0">
                  <c:v>-0.88772399999999996</c:v>
                </c:pt>
                <c:pt idx="1">
                  <c:v>-1.7675670000000001</c:v>
                </c:pt>
                <c:pt idx="2">
                  <c:v>-2.6396000000000002</c:v>
                </c:pt>
                <c:pt idx="3">
                  <c:v>-3.503892</c:v>
                </c:pt>
                <c:pt idx="4">
                  <c:v>-4.3605119999999999</c:v>
                </c:pt>
                <c:pt idx="5">
                  <c:v>-5.2095269999999996</c:v>
                </c:pt>
                <c:pt idx="6">
                  <c:v>-6.0510039999999998</c:v>
                </c:pt>
                <c:pt idx="7">
                  <c:v>-6.8850129999999998</c:v>
                </c:pt>
                <c:pt idx="8">
                  <c:v>-7.7116170000000004</c:v>
                </c:pt>
                <c:pt idx="9">
                  <c:v>-8.5308840000000004</c:v>
                </c:pt>
                <c:pt idx="10">
                  <c:v>-9.3428780000000007</c:v>
                </c:pt>
                <c:pt idx="11">
                  <c:v>-10.147662</c:v>
                </c:pt>
                <c:pt idx="12">
                  <c:v>-10.945299</c:v>
                </c:pt>
                <c:pt idx="13">
                  <c:v>-11.735859</c:v>
                </c:pt>
                <c:pt idx="14">
                  <c:v>-12.519399999999999</c:v>
                </c:pt>
                <c:pt idx="15">
                  <c:v>-13.295985</c:v>
                </c:pt>
                <c:pt idx="16">
                  <c:v>-14.065678999999999</c:v>
                </c:pt>
                <c:pt idx="17">
                  <c:v>-14.828538999999999</c:v>
                </c:pt>
                <c:pt idx="18">
                  <c:v>-15.584626999999999</c:v>
                </c:pt>
                <c:pt idx="19">
                  <c:v>-16.334</c:v>
                </c:pt>
                <c:pt idx="20">
                  <c:v>-17.076720999999999</c:v>
                </c:pt>
                <c:pt idx="21">
                  <c:v>-17.812853</c:v>
                </c:pt>
                <c:pt idx="22">
                  <c:v>-18.542449999999999</c:v>
                </c:pt>
                <c:pt idx="23">
                  <c:v>-19.265566</c:v>
                </c:pt>
                <c:pt idx="24">
                  <c:v>-19.982267</c:v>
                </c:pt>
                <c:pt idx="25">
                  <c:v>-20.692603999999999</c:v>
                </c:pt>
                <c:pt idx="26">
                  <c:v>-21.396635</c:v>
                </c:pt>
                <c:pt idx="27">
                  <c:v>-22.094418000000001</c:v>
                </c:pt>
                <c:pt idx="28">
                  <c:v>-22.786004999999999</c:v>
                </c:pt>
                <c:pt idx="29">
                  <c:v>-23.471454999999999</c:v>
                </c:pt>
                <c:pt idx="30">
                  <c:v>-24.15082</c:v>
                </c:pt>
                <c:pt idx="31">
                  <c:v>-24.824148000000001</c:v>
                </c:pt>
                <c:pt idx="32">
                  <c:v>-25.491503000000002</c:v>
                </c:pt>
                <c:pt idx="33">
                  <c:v>-26.152930999999999</c:v>
                </c:pt>
                <c:pt idx="34">
                  <c:v>-26.808487</c:v>
                </c:pt>
                <c:pt idx="35">
                  <c:v>-27.458227000000001</c:v>
                </c:pt>
                <c:pt idx="36">
                  <c:v>-28.1022</c:v>
                </c:pt>
                <c:pt idx="37">
                  <c:v>-28.740454</c:v>
                </c:pt>
                <c:pt idx="38">
                  <c:v>-29.373038999999999</c:v>
                </c:pt>
                <c:pt idx="39">
                  <c:v>-30.000011000000001</c:v>
                </c:pt>
              </c:numCache>
            </c:numRef>
          </c:val>
          <c:smooth val="0"/>
          <c:extLst>
            <c:ext xmlns:c16="http://schemas.microsoft.com/office/drawing/2014/chart" uri="{C3380CC4-5D6E-409C-BE32-E72D297353CC}">
              <c16:uniqueId val="{00000000-0700-4D86-BB39-11F8BC74877D}"/>
            </c:ext>
          </c:extLst>
        </c:ser>
        <c:ser>
          <c:idx val="1"/>
          <c:order val="9"/>
          <c:tx>
            <c:strRef>
              <c:f>x1tot!$D$47</c:f>
              <c:strCache>
                <c:ptCount val="1"/>
                <c:pt idx="0">
                  <c:v>Wheat</c:v>
                </c:pt>
              </c:strCache>
            </c:strRef>
          </c:tx>
          <c:spPr>
            <a:ln w="28575" cap="rnd">
              <a:solidFill>
                <a:schemeClr val="accent2"/>
              </a:solidFill>
              <a:round/>
            </a:ln>
            <a:effectLst/>
          </c:spPr>
          <c:marker>
            <c:symbol val="none"/>
          </c:marker>
          <c:cat>
            <c:numRef>
              <c:f>x1tot!$B$48:$B$87</c:f>
              <c:numCache>
                <c:formatCode>General</c:formatCode>
                <c:ptCount val="40"/>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pt idx="13">
                  <c:v>2024</c:v>
                </c:pt>
                <c:pt idx="14">
                  <c:v>2025</c:v>
                </c:pt>
                <c:pt idx="15">
                  <c:v>2026</c:v>
                </c:pt>
                <c:pt idx="16">
                  <c:v>2027</c:v>
                </c:pt>
                <c:pt idx="17">
                  <c:v>2028</c:v>
                </c:pt>
                <c:pt idx="18">
                  <c:v>2029</c:v>
                </c:pt>
                <c:pt idx="19">
                  <c:v>2030</c:v>
                </c:pt>
                <c:pt idx="20">
                  <c:v>2031</c:v>
                </c:pt>
                <c:pt idx="21">
                  <c:v>2032</c:v>
                </c:pt>
                <c:pt idx="22">
                  <c:v>2033</c:v>
                </c:pt>
                <c:pt idx="23">
                  <c:v>2034</c:v>
                </c:pt>
                <c:pt idx="24">
                  <c:v>2035</c:v>
                </c:pt>
                <c:pt idx="25">
                  <c:v>2036</c:v>
                </c:pt>
                <c:pt idx="26">
                  <c:v>2037</c:v>
                </c:pt>
                <c:pt idx="27">
                  <c:v>2038</c:v>
                </c:pt>
                <c:pt idx="28">
                  <c:v>2039</c:v>
                </c:pt>
                <c:pt idx="29">
                  <c:v>2040</c:v>
                </c:pt>
                <c:pt idx="30">
                  <c:v>2041</c:v>
                </c:pt>
                <c:pt idx="31">
                  <c:v>2042</c:v>
                </c:pt>
                <c:pt idx="32">
                  <c:v>2043</c:v>
                </c:pt>
                <c:pt idx="33">
                  <c:v>2044</c:v>
                </c:pt>
                <c:pt idx="34">
                  <c:v>2045</c:v>
                </c:pt>
                <c:pt idx="35">
                  <c:v>2046</c:v>
                </c:pt>
                <c:pt idx="36">
                  <c:v>2047</c:v>
                </c:pt>
                <c:pt idx="37">
                  <c:v>2048</c:v>
                </c:pt>
                <c:pt idx="38">
                  <c:v>2049</c:v>
                </c:pt>
                <c:pt idx="39">
                  <c:v>2050</c:v>
                </c:pt>
              </c:numCache>
            </c:numRef>
          </c:cat>
          <c:val>
            <c:numRef>
              <c:f>x1tot!$D$48:$D$87</c:f>
              <c:numCache>
                <c:formatCode>General</c:formatCode>
                <c:ptCount val="40"/>
                <c:pt idx="0">
                  <c:v>-2.454993</c:v>
                </c:pt>
                <c:pt idx="1">
                  <c:v>-4.8497159999999999</c:v>
                </c:pt>
                <c:pt idx="2">
                  <c:v>-7.1856489999999997</c:v>
                </c:pt>
                <c:pt idx="3">
                  <c:v>-9.4642350000000004</c:v>
                </c:pt>
                <c:pt idx="4">
                  <c:v>-11.686882000000001</c:v>
                </c:pt>
                <c:pt idx="5">
                  <c:v>-13.854963</c:v>
                </c:pt>
                <c:pt idx="6">
                  <c:v>-15.969818999999999</c:v>
                </c:pt>
                <c:pt idx="7">
                  <c:v>-18.032755000000002</c:v>
                </c:pt>
                <c:pt idx="8">
                  <c:v>-20.045044000000001</c:v>
                </c:pt>
                <c:pt idx="9">
                  <c:v>-22.007933000000001</c:v>
                </c:pt>
                <c:pt idx="10">
                  <c:v>-23.922633999999999</c:v>
                </c:pt>
                <c:pt idx="11">
                  <c:v>-25.790327000000001</c:v>
                </c:pt>
                <c:pt idx="12">
                  <c:v>-27.612171</c:v>
                </c:pt>
                <c:pt idx="13">
                  <c:v>-29.389285999999998</c:v>
                </c:pt>
                <c:pt idx="14">
                  <c:v>-31.122774</c:v>
                </c:pt>
                <c:pt idx="15">
                  <c:v>-32.813704999999999</c:v>
                </c:pt>
                <c:pt idx="16">
                  <c:v>-34.463123000000003</c:v>
                </c:pt>
                <c:pt idx="17">
                  <c:v>-36.072048000000002</c:v>
                </c:pt>
                <c:pt idx="18">
                  <c:v>-37.641472</c:v>
                </c:pt>
                <c:pt idx="19">
                  <c:v>-39.172375000000002</c:v>
                </c:pt>
                <c:pt idx="20">
                  <c:v>-40.665688000000003</c:v>
                </c:pt>
                <c:pt idx="21">
                  <c:v>-42.122340999999999</c:v>
                </c:pt>
                <c:pt idx="22">
                  <c:v>-43.543232000000003</c:v>
                </c:pt>
                <c:pt idx="23">
                  <c:v>-44.929240999999998</c:v>
                </c:pt>
                <c:pt idx="24">
                  <c:v>-46.281222999999997</c:v>
                </c:pt>
                <c:pt idx="25">
                  <c:v>-47.600017999999999</c:v>
                </c:pt>
                <c:pt idx="26">
                  <c:v>-48.88644</c:v>
                </c:pt>
                <c:pt idx="27">
                  <c:v>-50.141269999999999</c:v>
                </c:pt>
                <c:pt idx="28">
                  <c:v>-51.365295000000003</c:v>
                </c:pt>
                <c:pt idx="29">
                  <c:v>-52.559277000000002</c:v>
                </c:pt>
                <c:pt idx="30">
                  <c:v>-53.723945999999998</c:v>
                </c:pt>
                <c:pt idx="31">
                  <c:v>-54.860019999999999</c:v>
                </c:pt>
                <c:pt idx="32">
                  <c:v>-55.968201000000001</c:v>
                </c:pt>
                <c:pt idx="33">
                  <c:v>-57.049174999999998</c:v>
                </c:pt>
                <c:pt idx="34">
                  <c:v>-58.103619000000002</c:v>
                </c:pt>
                <c:pt idx="35">
                  <c:v>-59.132171999999997</c:v>
                </c:pt>
                <c:pt idx="36">
                  <c:v>-60.135471000000003</c:v>
                </c:pt>
                <c:pt idx="37">
                  <c:v>-61.114142999999999</c:v>
                </c:pt>
                <c:pt idx="38">
                  <c:v>-62.06879</c:v>
                </c:pt>
                <c:pt idx="39">
                  <c:v>-63</c:v>
                </c:pt>
              </c:numCache>
            </c:numRef>
          </c:val>
          <c:smooth val="0"/>
          <c:extLst>
            <c:ext xmlns:c16="http://schemas.microsoft.com/office/drawing/2014/chart" uri="{C3380CC4-5D6E-409C-BE32-E72D297353CC}">
              <c16:uniqueId val="{00000001-0700-4D86-BB39-11F8BC74877D}"/>
            </c:ext>
          </c:extLst>
        </c:ser>
        <c:dLbls>
          <c:showLegendKey val="0"/>
          <c:showVal val="0"/>
          <c:showCatName val="0"/>
          <c:showSerName val="0"/>
          <c:showPercent val="0"/>
          <c:showBubbleSize val="0"/>
        </c:dLbls>
        <c:smooth val="0"/>
        <c:axId val="209890688"/>
        <c:axId val="209982592"/>
      </c:lineChart>
      <c:catAx>
        <c:axId val="209890688"/>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9982592"/>
        <c:crosses val="autoZero"/>
        <c:auto val="1"/>
        <c:lblAlgn val="ctr"/>
        <c:lblOffset val="100"/>
        <c:noMultiLvlLbl val="0"/>
      </c:catAx>
      <c:valAx>
        <c:axId val="2099825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989068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9027342455979412E-2"/>
          <c:y val="0.1865236818588025"/>
          <c:w val="0.90626659531636211"/>
          <c:h val="0.68523639638878919"/>
        </c:manualLayout>
      </c:layout>
      <c:lineChart>
        <c:grouping val="standard"/>
        <c:varyColors val="0"/>
        <c:ser>
          <c:idx val="0"/>
          <c:order val="0"/>
          <c:tx>
            <c:strRef>
              <c:f>'Charts 1-3'!$C$2</c:f>
              <c:strCache>
                <c:ptCount val="1"/>
                <c:pt idx="0">
                  <c:v>Aggregate capital</c:v>
                </c:pt>
              </c:strCache>
            </c:strRef>
          </c:tx>
          <c:spPr>
            <a:ln w="28575" cap="rnd">
              <a:solidFill>
                <a:schemeClr val="accent1"/>
              </a:solidFill>
              <a:round/>
            </a:ln>
            <a:effectLst/>
          </c:spPr>
          <c:marker>
            <c:symbol val="none"/>
          </c:marker>
          <c:cat>
            <c:numRef>
              <c:f>'Charts 1-3'!$B$3:$B$42</c:f>
              <c:numCache>
                <c:formatCode>General</c:formatCode>
                <c:ptCount val="40"/>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pt idx="13">
                  <c:v>2024</c:v>
                </c:pt>
                <c:pt idx="14">
                  <c:v>2025</c:v>
                </c:pt>
                <c:pt idx="15">
                  <c:v>2026</c:v>
                </c:pt>
                <c:pt idx="16">
                  <c:v>2027</c:v>
                </c:pt>
                <c:pt idx="17">
                  <c:v>2028</c:v>
                </c:pt>
                <c:pt idx="18">
                  <c:v>2029</c:v>
                </c:pt>
                <c:pt idx="19">
                  <c:v>2030</c:v>
                </c:pt>
                <c:pt idx="20">
                  <c:v>2031</c:v>
                </c:pt>
                <c:pt idx="21">
                  <c:v>2032</c:v>
                </c:pt>
                <c:pt idx="22">
                  <c:v>2033</c:v>
                </c:pt>
                <c:pt idx="23">
                  <c:v>2034</c:v>
                </c:pt>
                <c:pt idx="24">
                  <c:v>2035</c:v>
                </c:pt>
                <c:pt idx="25">
                  <c:v>2036</c:v>
                </c:pt>
                <c:pt idx="26">
                  <c:v>2037</c:v>
                </c:pt>
                <c:pt idx="27">
                  <c:v>2038</c:v>
                </c:pt>
                <c:pt idx="28">
                  <c:v>2039</c:v>
                </c:pt>
                <c:pt idx="29">
                  <c:v>2040</c:v>
                </c:pt>
                <c:pt idx="30">
                  <c:v>2041</c:v>
                </c:pt>
                <c:pt idx="31">
                  <c:v>2042</c:v>
                </c:pt>
                <c:pt idx="32">
                  <c:v>2043</c:v>
                </c:pt>
                <c:pt idx="33">
                  <c:v>2044</c:v>
                </c:pt>
                <c:pt idx="34">
                  <c:v>2045</c:v>
                </c:pt>
                <c:pt idx="35">
                  <c:v>2046</c:v>
                </c:pt>
                <c:pt idx="36">
                  <c:v>2047</c:v>
                </c:pt>
                <c:pt idx="37">
                  <c:v>2048</c:v>
                </c:pt>
                <c:pt idx="38">
                  <c:v>2049</c:v>
                </c:pt>
                <c:pt idx="39">
                  <c:v>2050</c:v>
                </c:pt>
              </c:numCache>
            </c:numRef>
          </c:cat>
          <c:val>
            <c:numRef>
              <c:f>'Charts 1-3'!$C$3:$C$42</c:f>
              <c:numCache>
                <c:formatCode>General</c:formatCode>
                <c:ptCount val="40"/>
                <c:pt idx="0">
                  <c:v>-2.1100000000000001E-4</c:v>
                </c:pt>
                <c:pt idx="1">
                  <c:v>-3.7060000000000001E-3</c:v>
                </c:pt>
                <c:pt idx="2">
                  <c:v>-8.5360000000000002E-3</c:v>
                </c:pt>
                <c:pt idx="3">
                  <c:v>-1.5181E-2</c:v>
                </c:pt>
                <c:pt idx="4">
                  <c:v>-1.3294E-2</c:v>
                </c:pt>
                <c:pt idx="5">
                  <c:v>-2.0941000000000001E-2</c:v>
                </c:pt>
                <c:pt idx="6">
                  <c:v>-2.0466999999999999E-2</c:v>
                </c:pt>
                <c:pt idx="7">
                  <c:v>-2.3487999999999998E-2</c:v>
                </c:pt>
                <c:pt idx="8">
                  <c:v>-3.0147E-2</c:v>
                </c:pt>
                <c:pt idx="9">
                  <c:v>-4.0738000000000003E-2</c:v>
                </c:pt>
                <c:pt idx="10">
                  <c:v>-5.5584000000000001E-2</c:v>
                </c:pt>
                <c:pt idx="11">
                  <c:v>-7.4161000000000005E-2</c:v>
                </c:pt>
                <c:pt idx="12">
                  <c:v>-9.6329999999999999E-2</c:v>
                </c:pt>
                <c:pt idx="13">
                  <c:v>-0.121973</c:v>
                </c:pt>
                <c:pt idx="14">
                  <c:v>-0.15096100000000001</c:v>
                </c:pt>
                <c:pt idx="15">
                  <c:v>-0.18315100000000001</c:v>
                </c:pt>
                <c:pt idx="16">
                  <c:v>-0.21839</c:v>
                </c:pt>
                <c:pt idx="17">
                  <c:v>-0.256496</c:v>
                </c:pt>
                <c:pt idx="18">
                  <c:v>-0.297294</c:v>
                </c:pt>
                <c:pt idx="19">
                  <c:v>-0.340584</c:v>
                </c:pt>
                <c:pt idx="20">
                  <c:v>-0.386185</c:v>
                </c:pt>
                <c:pt idx="21">
                  <c:v>-0.43391000000000002</c:v>
                </c:pt>
                <c:pt idx="22">
                  <c:v>-0.48358400000000001</c:v>
                </c:pt>
                <c:pt idx="23">
                  <c:v>-0.53503199999999995</c:v>
                </c:pt>
                <c:pt idx="24">
                  <c:v>-0.58809500000000003</c:v>
                </c:pt>
                <c:pt idx="25">
                  <c:v>-0.64261400000000002</c:v>
                </c:pt>
                <c:pt idx="26">
                  <c:v>-0.69844700000000004</c:v>
                </c:pt>
                <c:pt idx="27">
                  <c:v>-0.75546000000000002</c:v>
                </c:pt>
                <c:pt idx="28">
                  <c:v>-0.81353500000000001</c:v>
                </c:pt>
                <c:pt idx="29">
                  <c:v>-0.87255499999999997</c:v>
                </c:pt>
                <c:pt idx="30">
                  <c:v>-0.93241399999999997</c:v>
                </c:pt>
                <c:pt idx="31">
                  <c:v>-0.99301700000000004</c:v>
                </c:pt>
                <c:pt idx="32">
                  <c:v>-1.054268</c:v>
                </c:pt>
                <c:pt idx="33">
                  <c:v>-1.116098</c:v>
                </c:pt>
                <c:pt idx="34">
                  <c:v>-1.1784269999999999</c:v>
                </c:pt>
                <c:pt idx="35">
                  <c:v>-1.2411909999999999</c:v>
                </c:pt>
                <c:pt idx="36">
                  <c:v>-1.304325</c:v>
                </c:pt>
                <c:pt idx="37">
                  <c:v>-1.3677710000000001</c:v>
                </c:pt>
                <c:pt idx="38">
                  <c:v>-1.431473</c:v>
                </c:pt>
                <c:pt idx="39">
                  <c:v>-1.4953959999999999</c:v>
                </c:pt>
              </c:numCache>
            </c:numRef>
          </c:val>
          <c:smooth val="0"/>
          <c:extLst>
            <c:ext xmlns:c16="http://schemas.microsoft.com/office/drawing/2014/chart" uri="{C3380CC4-5D6E-409C-BE32-E72D297353CC}">
              <c16:uniqueId val="{00000000-3FBF-4D9F-8522-8F830E478F95}"/>
            </c:ext>
          </c:extLst>
        </c:ser>
        <c:ser>
          <c:idx val="1"/>
          <c:order val="1"/>
          <c:tx>
            <c:strRef>
              <c:f>'Charts 1-3'!$D$2</c:f>
              <c:strCache>
                <c:ptCount val="1"/>
                <c:pt idx="0">
                  <c:v>Aggregate employment</c:v>
                </c:pt>
              </c:strCache>
            </c:strRef>
          </c:tx>
          <c:spPr>
            <a:ln w="28575" cap="rnd">
              <a:solidFill>
                <a:schemeClr val="accent2"/>
              </a:solidFill>
              <a:round/>
            </a:ln>
            <a:effectLst/>
          </c:spPr>
          <c:marker>
            <c:symbol val="none"/>
          </c:marker>
          <c:cat>
            <c:numRef>
              <c:f>'Charts 1-3'!$B$3:$B$42</c:f>
              <c:numCache>
                <c:formatCode>General</c:formatCode>
                <c:ptCount val="40"/>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pt idx="13">
                  <c:v>2024</c:v>
                </c:pt>
                <c:pt idx="14">
                  <c:v>2025</c:v>
                </c:pt>
                <c:pt idx="15">
                  <c:v>2026</c:v>
                </c:pt>
                <c:pt idx="16">
                  <c:v>2027</c:v>
                </c:pt>
                <c:pt idx="17">
                  <c:v>2028</c:v>
                </c:pt>
                <c:pt idx="18">
                  <c:v>2029</c:v>
                </c:pt>
                <c:pt idx="19">
                  <c:v>2030</c:v>
                </c:pt>
                <c:pt idx="20">
                  <c:v>2031</c:v>
                </c:pt>
                <c:pt idx="21">
                  <c:v>2032</c:v>
                </c:pt>
                <c:pt idx="22">
                  <c:v>2033</c:v>
                </c:pt>
                <c:pt idx="23">
                  <c:v>2034</c:v>
                </c:pt>
                <c:pt idx="24">
                  <c:v>2035</c:v>
                </c:pt>
                <c:pt idx="25">
                  <c:v>2036</c:v>
                </c:pt>
                <c:pt idx="26">
                  <c:v>2037</c:v>
                </c:pt>
                <c:pt idx="27">
                  <c:v>2038</c:v>
                </c:pt>
                <c:pt idx="28">
                  <c:v>2039</c:v>
                </c:pt>
                <c:pt idx="29">
                  <c:v>2040</c:v>
                </c:pt>
                <c:pt idx="30">
                  <c:v>2041</c:v>
                </c:pt>
                <c:pt idx="31">
                  <c:v>2042</c:v>
                </c:pt>
                <c:pt idx="32">
                  <c:v>2043</c:v>
                </c:pt>
                <c:pt idx="33">
                  <c:v>2044</c:v>
                </c:pt>
                <c:pt idx="34">
                  <c:v>2045</c:v>
                </c:pt>
                <c:pt idx="35">
                  <c:v>2046</c:v>
                </c:pt>
                <c:pt idx="36">
                  <c:v>2047</c:v>
                </c:pt>
                <c:pt idx="37">
                  <c:v>2048</c:v>
                </c:pt>
                <c:pt idx="38">
                  <c:v>2049</c:v>
                </c:pt>
                <c:pt idx="39">
                  <c:v>2050</c:v>
                </c:pt>
              </c:numCache>
            </c:numRef>
          </c:cat>
          <c:val>
            <c:numRef>
              <c:f>'Charts 1-3'!$D$3:$D$42</c:f>
              <c:numCache>
                <c:formatCode>General</c:formatCode>
                <c:ptCount val="40"/>
                <c:pt idx="0">
                  <c:v>-8.3043000000000006E-2</c:v>
                </c:pt>
                <c:pt idx="1">
                  <c:v>-0.14573700000000001</c:v>
                </c:pt>
                <c:pt idx="2">
                  <c:v>-0.18005099999999999</c:v>
                </c:pt>
                <c:pt idx="3">
                  <c:v>-0.226549</c:v>
                </c:pt>
                <c:pt idx="4">
                  <c:v>-0.21029800000000001</c:v>
                </c:pt>
                <c:pt idx="5">
                  <c:v>-0.26895200000000002</c:v>
                </c:pt>
                <c:pt idx="6">
                  <c:v>-0.26459500000000002</c:v>
                </c:pt>
                <c:pt idx="7">
                  <c:v>-0.25331100000000001</c:v>
                </c:pt>
                <c:pt idx="8">
                  <c:v>-0.23969599999999999</c:v>
                </c:pt>
                <c:pt idx="9">
                  <c:v>-0.22431799999999999</c:v>
                </c:pt>
                <c:pt idx="10">
                  <c:v>-0.213868</c:v>
                </c:pt>
                <c:pt idx="11">
                  <c:v>-0.20580100000000001</c:v>
                </c:pt>
                <c:pt idx="12">
                  <c:v>-0.19902</c:v>
                </c:pt>
                <c:pt idx="13">
                  <c:v>-0.19312499999999999</c:v>
                </c:pt>
                <c:pt idx="14">
                  <c:v>-0.18791099999999999</c:v>
                </c:pt>
                <c:pt idx="15">
                  <c:v>-0.18324399999999999</c:v>
                </c:pt>
                <c:pt idx="16">
                  <c:v>-0.17904600000000001</c:v>
                </c:pt>
                <c:pt idx="17">
                  <c:v>-0.17527200000000001</c:v>
                </c:pt>
                <c:pt idx="18">
                  <c:v>-0.17188300000000001</c:v>
                </c:pt>
                <c:pt idx="19">
                  <c:v>-0.168846</c:v>
                </c:pt>
                <c:pt idx="20">
                  <c:v>-0.166128</c:v>
                </c:pt>
                <c:pt idx="21">
                  <c:v>-0.16370999999999999</c:v>
                </c:pt>
                <c:pt idx="22">
                  <c:v>-0.16156300000000001</c:v>
                </c:pt>
                <c:pt idx="23">
                  <c:v>-0.15968299999999999</c:v>
                </c:pt>
                <c:pt idx="24">
                  <c:v>-0.15803700000000001</c:v>
                </c:pt>
                <c:pt idx="25">
                  <c:v>-0.15661</c:v>
                </c:pt>
                <c:pt idx="26">
                  <c:v>-0.15538099999999999</c:v>
                </c:pt>
                <c:pt idx="27">
                  <c:v>-0.154335</c:v>
                </c:pt>
                <c:pt idx="28">
                  <c:v>-0.15343699999999999</c:v>
                </c:pt>
                <c:pt idx="29">
                  <c:v>-0.15268699999999999</c:v>
                </c:pt>
                <c:pt idx="30">
                  <c:v>-0.15207599999999999</c:v>
                </c:pt>
                <c:pt idx="31">
                  <c:v>-0.15157200000000001</c:v>
                </c:pt>
                <c:pt idx="32">
                  <c:v>-0.15117</c:v>
                </c:pt>
                <c:pt idx="33">
                  <c:v>-0.150864</c:v>
                </c:pt>
                <c:pt idx="34">
                  <c:v>-0.15063599999999999</c:v>
                </c:pt>
                <c:pt idx="35">
                  <c:v>-0.15048900000000001</c:v>
                </c:pt>
                <c:pt idx="36">
                  <c:v>-0.15040999999999999</c:v>
                </c:pt>
                <c:pt idx="37">
                  <c:v>-0.15040200000000001</c:v>
                </c:pt>
                <c:pt idx="38">
                  <c:v>-0.15043899999999999</c:v>
                </c:pt>
                <c:pt idx="39">
                  <c:v>-0.15051999999999999</c:v>
                </c:pt>
              </c:numCache>
            </c:numRef>
          </c:val>
          <c:smooth val="0"/>
          <c:extLst>
            <c:ext xmlns:c16="http://schemas.microsoft.com/office/drawing/2014/chart" uri="{C3380CC4-5D6E-409C-BE32-E72D297353CC}">
              <c16:uniqueId val="{00000001-3FBF-4D9F-8522-8F830E478F95}"/>
            </c:ext>
          </c:extLst>
        </c:ser>
        <c:ser>
          <c:idx val="2"/>
          <c:order val="2"/>
          <c:tx>
            <c:strRef>
              <c:f>'Charts 1-3'!$E$2</c:f>
              <c:strCache>
                <c:ptCount val="1"/>
                <c:pt idx="0">
                  <c:v>realGDP</c:v>
                </c:pt>
              </c:strCache>
            </c:strRef>
          </c:tx>
          <c:spPr>
            <a:ln w="28575" cap="rnd">
              <a:solidFill>
                <a:schemeClr val="accent3"/>
              </a:solidFill>
              <a:round/>
            </a:ln>
            <a:effectLst/>
          </c:spPr>
          <c:marker>
            <c:symbol val="none"/>
          </c:marker>
          <c:cat>
            <c:numRef>
              <c:f>'Charts 1-3'!$B$3:$B$42</c:f>
              <c:numCache>
                <c:formatCode>General</c:formatCode>
                <c:ptCount val="40"/>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pt idx="13">
                  <c:v>2024</c:v>
                </c:pt>
                <c:pt idx="14">
                  <c:v>2025</c:v>
                </c:pt>
                <c:pt idx="15">
                  <c:v>2026</c:v>
                </c:pt>
                <c:pt idx="16">
                  <c:v>2027</c:v>
                </c:pt>
                <c:pt idx="17">
                  <c:v>2028</c:v>
                </c:pt>
                <c:pt idx="18">
                  <c:v>2029</c:v>
                </c:pt>
                <c:pt idx="19">
                  <c:v>2030</c:v>
                </c:pt>
                <c:pt idx="20">
                  <c:v>2031</c:v>
                </c:pt>
                <c:pt idx="21">
                  <c:v>2032</c:v>
                </c:pt>
                <c:pt idx="22">
                  <c:v>2033</c:v>
                </c:pt>
                <c:pt idx="23">
                  <c:v>2034</c:v>
                </c:pt>
                <c:pt idx="24">
                  <c:v>2035</c:v>
                </c:pt>
                <c:pt idx="25">
                  <c:v>2036</c:v>
                </c:pt>
                <c:pt idx="26">
                  <c:v>2037</c:v>
                </c:pt>
                <c:pt idx="27">
                  <c:v>2038</c:v>
                </c:pt>
                <c:pt idx="28">
                  <c:v>2039</c:v>
                </c:pt>
                <c:pt idx="29">
                  <c:v>2040</c:v>
                </c:pt>
                <c:pt idx="30">
                  <c:v>2041</c:v>
                </c:pt>
                <c:pt idx="31">
                  <c:v>2042</c:v>
                </c:pt>
                <c:pt idx="32">
                  <c:v>2043</c:v>
                </c:pt>
                <c:pt idx="33">
                  <c:v>2044</c:v>
                </c:pt>
                <c:pt idx="34">
                  <c:v>2045</c:v>
                </c:pt>
                <c:pt idx="35">
                  <c:v>2046</c:v>
                </c:pt>
                <c:pt idx="36">
                  <c:v>2047</c:v>
                </c:pt>
                <c:pt idx="37">
                  <c:v>2048</c:v>
                </c:pt>
                <c:pt idx="38">
                  <c:v>2049</c:v>
                </c:pt>
                <c:pt idx="39">
                  <c:v>2050</c:v>
                </c:pt>
              </c:numCache>
            </c:numRef>
          </c:cat>
          <c:val>
            <c:numRef>
              <c:f>'Charts 1-3'!$E$3:$E$42</c:f>
              <c:numCache>
                <c:formatCode>General</c:formatCode>
                <c:ptCount val="40"/>
                <c:pt idx="0">
                  <c:v>-8.8574E-2</c:v>
                </c:pt>
                <c:pt idx="1">
                  <c:v>-0.17848</c:v>
                </c:pt>
                <c:pt idx="2">
                  <c:v>-0.268237</c:v>
                </c:pt>
                <c:pt idx="3">
                  <c:v>-0.36443799999999998</c:v>
                </c:pt>
                <c:pt idx="4">
                  <c:v>-0.45157900000000001</c:v>
                </c:pt>
                <c:pt idx="5">
                  <c:v>-0.56628100000000003</c:v>
                </c:pt>
                <c:pt idx="6">
                  <c:v>-0.66573800000000005</c:v>
                </c:pt>
                <c:pt idx="7">
                  <c:v>-0.76568999999999998</c:v>
                </c:pt>
                <c:pt idx="8">
                  <c:v>-0.86679300000000004</c:v>
                </c:pt>
                <c:pt idx="9">
                  <c:v>-0.96839500000000001</c:v>
                </c:pt>
                <c:pt idx="10">
                  <c:v>-1.072441</c:v>
                </c:pt>
                <c:pt idx="11">
                  <c:v>-1.1778299999999999</c:v>
                </c:pt>
                <c:pt idx="12">
                  <c:v>-1.2841290000000001</c:v>
                </c:pt>
                <c:pt idx="13">
                  <c:v>-1.3910290000000001</c:v>
                </c:pt>
                <c:pt idx="14">
                  <c:v>-1.498316</c:v>
                </c:pt>
                <c:pt idx="15">
                  <c:v>-1.605818</c:v>
                </c:pt>
                <c:pt idx="16">
                  <c:v>-1.7133929999999999</c:v>
                </c:pt>
                <c:pt idx="17">
                  <c:v>-1.8209500000000001</c:v>
                </c:pt>
                <c:pt idx="18">
                  <c:v>-1.928396</c:v>
                </c:pt>
                <c:pt idx="19">
                  <c:v>-2.0356740000000002</c:v>
                </c:pt>
                <c:pt idx="20">
                  <c:v>-2.142725</c:v>
                </c:pt>
                <c:pt idx="21">
                  <c:v>-2.2495210000000001</c:v>
                </c:pt>
                <c:pt idx="22">
                  <c:v>-2.3560300000000001</c:v>
                </c:pt>
                <c:pt idx="23">
                  <c:v>-2.4622359999999999</c:v>
                </c:pt>
                <c:pt idx="24">
                  <c:v>-2.5681180000000001</c:v>
                </c:pt>
                <c:pt idx="25">
                  <c:v>-2.6736789999999999</c:v>
                </c:pt>
                <c:pt idx="26">
                  <c:v>-2.778905</c:v>
                </c:pt>
                <c:pt idx="27">
                  <c:v>-2.8837969999999999</c:v>
                </c:pt>
                <c:pt idx="28">
                  <c:v>-2.988356</c:v>
                </c:pt>
                <c:pt idx="29">
                  <c:v>-3.0925850000000001</c:v>
                </c:pt>
                <c:pt idx="30">
                  <c:v>-3.1964839999999999</c:v>
                </c:pt>
                <c:pt idx="31">
                  <c:v>-3.3000539999999998</c:v>
                </c:pt>
                <c:pt idx="32">
                  <c:v>-3.4033039999999999</c:v>
                </c:pt>
                <c:pt idx="33">
                  <c:v>-3.506237</c:v>
                </c:pt>
                <c:pt idx="34">
                  <c:v>-3.6088550000000001</c:v>
                </c:pt>
                <c:pt idx="35">
                  <c:v>-3.7111679999999998</c:v>
                </c:pt>
                <c:pt idx="36">
                  <c:v>-3.8131849999999998</c:v>
                </c:pt>
                <c:pt idx="37">
                  <c:v>-3.914895</c:v>
                </c:pt>
                <c:pt idx="38">
                  <c:v>-4.016311</c:v>
                </c:pt>
                <c:pt idx="39">
                  <c:v>-4.1174299999999997</c:v>
                </c:pt>
              </c:numCache>
            </c:numRef>
          </c:val>
          <c:smooth val="0"/>
          <c:extLst>
            <c:ext xmlns:c16="http://schemas.microsoft.com/office/drawing/2014/chart" uri="{C3380CC4-5D6E-409C-BE32-E72D297353CC}">
              <c16:uniqueId val="{00000002-3FBF-4D9F-8522-8F830E478F95}"/>
            </c:ext>
          </c:extLst>
        </c:ser>
        <c:dLbls>
          <c:showLegendKey val="0"/>
          <c:showVal val="0"/>
          <c:showCatName val="0"/>
          <c:showSerName val="0"/>
          <c:showPercent val="0"/>
          <c:showBubbleSize val="0"/>
        </c:dLbls>
        <c:smooth val="0"/>
        <c:axId val="209993088"/>
        <c:axId val="210003072"/>
      </c:lineChart>
      <c:catAx>
        <c:axId val="209993088"/>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0003072"/>
        <c:crosses val="autoZero"/>
        <c:auto val="1"/>
        <c:lblAlgn val="ctr"/>
        <c:lblOffset val="100"/>
        <c:noMultiLvlLbl val="0"/>
      </c:catAx>
      <c:valAx>
        <c:axId val="210003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9993088"/>
        <c:crosses val="autoZero"/>
        <c:crossBetween val="between"/>
      </c:valAx>
      <c:spPr>
        <a:noFill/>
        <a:ln>
          <a:noFill/>
        </a:ln>
        <a:effectLst/>
      </c:spPr>
    </c:plotArea>
    <c:legend>
      <c:legendPos val="l"/>
      <c:layout>
        <c:manualLayout>
          <c:xMode val="edge"/>
          <c:yMode val="edge"/>
          <c:x val="0.15720524017467249"/>
          <c:y val="0.53952670473152886"/>
          <c:w val="0.29114329240313491"/>
          <c:h val="0.3894769995855781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1"/>
          <c:tx>
            <c:strRef>
              <c:f>'Charts 4-5'!$D$2</c:f>
              <c:strCache>
                <c:ptCount val="1"/>
                <c:pt idx="0">
                  <c:v>Aggregate employment</c:v>
                </c:pt>
              </c:strCache>
            </c:strRef>
          </c:tx>
          <c:spPr>
            <a:ln w="28575" cap="rnd">
              <a:solidFill>
                <a:schemeClr val="accent2"/>
              </a:solidFill>
              <a:round/>
            </a:ln>
            <a:effectLst/>
          </c:spPr>
          <c:marker>
            <c:symbol val="none"/>
          </c:marker>
          <c:cat>
            <c:numRef>
              <c:f>'Charts 4-5'!$B$3:$B$42</c:f>
              <c:numCache>
                <c:formatCode>General</c:formatCode>
                <c:ptCount val="40"/>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pt idx="13">
                  <c:v>2024</c:v>
                </c:pt>
                <c:pt idx="14">
                  <c:v>2025</c:v>
                </c:pt>
                <c:pt idx="15">
                  <c:v>2026</c:v>
                </c:pt>
                <c:pt idx="16">
                  <c:v>2027</c:v>
                </c:pt>
                <c:pt idx="17">
                  <c:v>2028</c:v>
                </c:pt>
                <c:pt idx="18">
                  <c:v>2029</c:v>
                </c:pt>
                <c:pt idx="19">
                  <c:v>2030</c:v>
                </c:pt>
                <c:pt idx="20">
                  <c:v>2031</c:v>
                </c:pt>
                <c:pt idx="21">
                  <c:v>2032</c:v>
                </c:pt>
                <c:pt idx="22">
                  <c:v>2033</c:v>
                </c:pt>
                <c:pt idx="23">
                  <c:v>2034</c:v>
                </c:pt>
                <c:pt idx="24">
                  <c:v>2035</c:v>
                </c:pt>
                <c:pt idx="25">
                  <c:v>2036</c:v>
                </c:pt>
                <c:pt idx="26">
                  <c:v>2037</c:v>
                </c:pt>
                <c:pt idx="27">
                  <c:v>2038</c:v>
                </c:pt>
                <c:pt idx="28">
                  <c:v>2039</c:v>
                </c:pt>
                <c:pt idx="29">
                  <c:v>2040</c:v>
                </c:pt>
                <c:pt idx="30">
                  <c:v>2041</c:v>
                </c:pt>
                <c:pt idx="31">
                  <c:v>2042</c:v>
                </c:pt>
                <c:pt idx="32">
                  <c:v>2043</c:v>
                </c:pt>
                <c:pt idx="33">
                  <c:v>2044</c:v>
                </c:pt>
                <c:pt idx="34">
                  <c:v>2045</c:v>
                </c:pt>
                <c:pt idx="35">
                  <c:v>2046</c:v>
                </c:pt>
                <c:pt idx="36">
                  <c:v>2047</c:v>
                </c:pt>
                <c:pt idx="37">
                  <c:v>2048</c:v>
                </c:pt>
                <c:pt idx="38">
                  <c:v>2049</c:v>
                </c:pt>
                <c:pt idx="39">
                  <c:v>2050</c:v>
                </c:pt>
              </c:numCache>
            </c:numRef>
          </c:cat>
          <c:val>
            <c:numRef>
              <c:f>'Charts 4-5'!$D$3:$D$42</c:f>
              <c:numCache>
                <c:formatCode>General</c:formatCode>
                <c:ptCount val="40"/>
                <c:pt idx="0">
                  <c:v>-8.3043000000000006E-2</c:v>
                </c:pt>
                <c:pt idx="1">
                  <c:v>-0.14573700000000001</c:v>
                </c:pt>
                <c:pt idx="2">
                  <c:v>-0.18005099999999999</c:v>
                </c:pt>
                <c:pt idx="3">
                  <c:v>-0.226549</c:v>
                </c:pt>
                <c:pt idx="4">
                  <c:v>-0.21029800000000001</c:v>
                </c:pt>
                <c:pt idx="5">
                  <c:v>-0.26895200000000002</c:v>
                </c:pt>
                <c:pt idx="6">
                  <c:v>-0.26459500000000002</c:v>
                </c:pt>
                <c:pt idx="7">
                  <c:v>-0.25331100000000001</c:v>
                </c:pt>
                <c:pt idx="8">
                  <c:v>-0.23969599999999999</c:v>
                </c:pt>
                <c:pt idx="9">
                  <c:v>-0.22431799999999999</c:v>
                </c:pt>
                <c:pt idx="10">
                  <c:v>-0.213868</c:v>
                </c:pt>
                <c:pt idx="11">
                  <c:v>-0.20580100000000001</c:v>
                </c:pt>
                <c:pt idx="12">
                  <c:v>-0.19902</c:v>
                </c:pt>
                <c:pt idx="13">
                  <c:v>-0.19312499999999999</c:v>
                </c:pt>
                <c:pt idx="14">
                  <c:v>-0.18791099999999999</c:v>
                </c:pt>
                <c:pt idx="15">
                  <c:v>-0.18324399999999999</c:v>
                </c:pt>
                <c:pt idx="16">
                  <c:v>-0.17904600000000001</c:v>
                </c:pt>
                <c:pt idx="17">
                  <c:v>-0.17527200000000001</c:v>
                </c:pt>
                <c:pt idx="18">
                  <c:v>-0.17188300000000001</c:v>
                </c:pt>
                <c:pt idx="19">
                  <c:v>-0.168846</c:v>
                </c:pt>
                <c:pt idx="20">
                  <c:v>-0.166128</c:v>
                </c:pt>
                <c:pt idx="21">
                  <c:v>-0.16370999999999999</c:v>
                </c:pt>
                <c:pt idx="22">
                  <c:v>-0.16156300000000001</c:v>
                </c:pt>
                <c:pt idx="23">
                  <c:v>-0.15968299999999999</c:v>
                </c:pt>
                <c:pt idx="24">
                  <c:v>-0.15803700000000001</c:v>
                </c:pt>
                <c:pt idx="25">
                  <c:v>-0.15661</c:v>
                </c:pt>
                <c:pt idx="26">
                  <c:v>-0.15538099999999999</c:v>
                </c:pt>
                <c:pt idx="27">
                  <c:v>-0.154335</c:v>
                </c:pt>
                <c:pt idx="28">
                  <c:v>-0.15343699999999999</c:v>
                </c:pt>
                <c:pt idx="29">
                  <c:v>-0.15268699999999999</c:v>
                </c:pt>
                <c:pt idx="30">
                  <c:v>-0.15207599999999999</c:v>
                </c:pt>
                <c:pt idx="31">
                  <c:v>-0.15157200000000001</c:v>
                </c:pt>
                <c:pt idx="32">
                  <c:v>-0.15117</c:v>
                </c:pt>
                <c:pt idx="33">
                  <c:v>-0.150864</c:v>
                </c:pt>
                <c:pt idx="34">
                  <c:v>-0.15063599999999999</c:v>
                </c:pt>
                <c:pt idx="35">
                  <c:v>-0.15048900000000001</c:v>
                </c:pt>
                <c:pt idx="36">
                  <c:v>-0.15040999999999999</c:v>
                </c:pt>
                <c:pt idx="37">
                  <c:v>-0.15040200000000001</c:v>
                </c:pt>
                <c:pt idx="38">
                  <c:v>-0.15043899999999999</c:v>
                </c:pt>
                <c:pt idx="39">
                  <c:v>-0.15051999999999999</c:v>
                </c:pt>
              </c:numCache>
            </c:numRef>
          </c:val>
          <c:smooth val="0"/>
          <c:extLst>
            <c:ext xmlns:c16="http://schemas.microsoft.com/office/drawing/2014/chart" uri="{C3380CC4-5D6E-409C-BE32-E72D297353CC}">
              <c16:uniqueId val="{00000000-5FE5-41DF-8E71-B60978509677}"/>
            </c:ext>
          </c:extLst>
        </c:ser>
        <c:dLbls>
          <c:showLegendKey val="0"/>
          <c:showVal val="0"/>
          <c:showCatName val="0"/>
          <c:showSerName val="0"/>
          <c:showPercent val="0"/>
          <c:showBubbleSize val="0"/>
        </c:dLbls>
        <c:marker val="1"/>
        <c:smooth val="0"/>
        <c:axId val="210042240"/>
        <c:axId val="210633856"/>
      </c:lineChart>
      <c:lineChart>
        <c:grouping val="standard"/>
        <c:varyColors val="0"/>
        <c:ser>
          <c:idx val="0"/>
          <c:order val="0"/>
          <c:tx>
            <c:strRef>
              <c:f>'Charts 4-5'!$C$2</c:f>
              <c:strCache>
                <c:ptCount val="1"/>
                <c:pt idx="0">
                  <c:v>Real wage</c:v>
                </c:pt>
              </c:strCache>
            </c:strRef>
          </c:tx>
          <c:spPr>
            <a:ln w="28575" cap="rnd">
              <a:solidFill>
                <a:schemeClr val="accent1"/>
              </a:solidFill>
              <a:round/>
            </a:ln>
            <a:effectLst/>
          </c:spPr>
          <c:marker>
            <c:symbol val="none"/>
          </c:marker>
          <c:cat>
            <c:numRef>
              <c:f>'Charts 4-5'!$B$3:$B$42</c:f>
              <c:numCache>
                <c:formatCode>General</c:formatCode>
                <c:ptCount val="40"/>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pt idx="13">
                  <c:v>2024</c:v>
                </c:pt>
                <c:pt idx="14">
                  <c:v>2025</c:v>
                </c:pt>
                <c:pt idx="15">
                  <c:v>2026</c:v>
                </c:pt>
                <c:pt idx="16">
                  <c:v>2027</c:v>
                </c:pt>
                <c:pt idx="17">
                  <c:v>2028</c:v>
                </c:pt>
                <c:pt idx="18">
                  <c:v>2029</c:v>
                </c:pt>
                <c:pt idx="19">
                  <c:v>2030</c:v>
                </c:pt>
                <c:pt idx="20">
                  <c:v>2031</c:v>
                </c:pt>
                <c:pt idx="21">
                  <c:v>2032</c:v>
                </c:pt>
                <c:pt idx="22">
                  <c:v>2033</c:v>
                </c:pt>
                <c:pt idx="23">
                  <c:v>2034</c:v>
                </c:pt>
                <c:pt idx="24">
                  <c:v>2035</c:v>
                </c:pt>
                <c:pt idx="25">
                  <c:v>2036</c:v>
                </c:pt>
                <c:pt idx="26">
                  <c:v>2037</c:v>
                </c:pt>
                <c:pt idx="27">
                  <c:v>2038</c:v>
                </c:pt>
                <c:pt idx="28">
                  <c:v>2039</c:v>
                </c:pt>
                <c:pt idx="29">
                  <c:v>2040</c:v>
                </c:pt>
                <c:pt idx="30">
                  <c:v>2041</c:v>
                </c:pt>
                <c:pt idx="31">
                  <c:v>2042</c:v>
                </c:pt>
                <c:pt idx="32">
                  <c:v>2043</c:v>
                </c:pt>
                <c:pt idx="33">
                  <c:v>2044</c:v>
                </c:pt>
                <c:pt idx="34">
                  <c:v>2045</c:v>
                </c:pt>
                <c:pt idx="35">
                  <c:v>2046</c:v>
                </c:pt>
                <c:pt idx="36">
                  <c:v>2047</c:v>
                </c:pt>
                <c:pt idx="37">
                  <c:v>2048</c:v>
                </c:pt>
                <c:pt idx="38">
                  <c:v>2049</c:v>
                </c:pt>
                <c:pt idx="39">
                  <c:v>2050</c:v>
                </c:pt>
              </c:numCache>
            </c:numRef>
          </c:cat>
          <c:val>
            <c:numRef>
              <c:f>'Charts 4-5'!$C$3:$C$42</c:f>
              <c:numCache>
                <c:formatCode>General</c:formatCode>
                <c:ptCount val="40"/>
                <c:pt idx="0">
                  <c:v>-7.4418999999999999E-2</c:v>
                </c:pt>
                <c:pt idx="1">
                  <c:v>-0.20652799999999999</c:v>
                </c:pt>
                <c:pt idx="2">
                  <c:v>-0.36968200000000001</c:v>
                </c:pt>
                <c:pt idx="3">
                  <c:v>-0.57523000000000002</c:v>
                </c:pt>
                <c:pt idx="4">
                  <c:v>-0.76509499999999997</c:v>
                </c:pt>
                <c:pt idx="5">
                  <c:v>-1.0101549999999999</c:v>
                </c:pt>
                <c:pt idx="6">
                  <c:v>-1.250988</c:v>
                </c:pt>
                <c:pt idx="7">
                  <c:v>-1.481241</c:v>
                </c:pt>
                <c:pt idx="8">
                  <c:v>-1.6986490000000001</c:v>
                </c:pt>
                <c:pt idx="9">
                  <c:v>-1.901526</c:v>
                </c:pt>
                <c:pt idx="10">
                  <c:v>-2.0948470000000001</c:v>
                </c:pt>
                <c:pt idx="11">
                  <c:v>-2.2803209999999998</c:v>
                </c:pt>
                <c:pt idx="12">
                  <c:v>-2.4590920000000001</c:v>
                </c:pt>
                <c:pt idx="13">
                  <c:v>-2.631993</c:v>
                </c:pt>
                <c:pt idx="14">
                  <c:v>-2.7996310000000002</c:v>
                </c:pt>
                <c:pt idx="15">
                  <c:v>-2.962513</c:v>
                </c:pt>
                <c:pt idx="16">
                  <c:v>-3.1210770000000001</c:v>
                </c:pt>
                <c:pt idx="17">
                  <c:v>-3.275712</c:v>
                </c:pt>
                <c:pt idx="18">
                  <c:v>-3.4267750000000001</c:v>
                </c:pt>
                <c:pt idx="19">
                  <c:v>-3.5746030000000002</c:v>
                </c:pt>
                <c:pt idx="20">
                  <c:v>-3.7195170000000002</c:v>
                </c:pt>
                <c:pt idx="21">
                  <c:v>-3.8617900000000001</c:v>
                </c:pt>
                <c:pt idx="22">
                  <c:v>-4.0016809999999996</c:v>
                </c:pt>
                <c:pt idx="23">
                  <c:v>-4.1394209999999996</c:v>
                </c:pt>
                <c:pt idx="24">
                  <c:v>-4.2752379999999999</c:v>
                </c:pt>
                <c:pt idx="25">
                  <c:v>-4.4093249999999999</c:v>
                </c:pt>
                <c:pt idx="26">
                  <c:v>-4.5418620000000001</c:v>
                </c:pt>
                <c:pt idx="27">
                  <c:v>-4.6730150000000004</c:v>
                </c:pt>
                <c:pt idx="28">
                  <c:v>-4.8029489999999999</c:v>
                </c:pt>
                <c:pt idx="29">
                  <c:v>-4.931781</c:v>
                </c:pt>
                <c:pt idx="30">
                  <c:v>-5.0596329999999998</c:v>
                </c:pt>
                <c:pt idx="31">
                  <c:v>-5.1866190000000003</c:v>
                </c:pt>
                <c:pt idx="32">
                  <c:v>-5.3128310000000001</c:v>
                </c:pt>
                <c:pt idx="33">
                  <c:v>-5.4383619999999997</c:v>
                </c:pt>
                <c:pt idx="34">
                  <c:v>-5.5632789999999996</c:v>
                </c:pt>
                <c:pt idx="35">
                  <c:v>-5.6876559999999996</c:v>
                </c:pt>
                <c:pt idx="36">
                  <c:v>-5.8115459999999999</c:v>
                </c:pt>
                <c:pt idx="37">
                  <c:v>-5.9349949999999998</c:v>
                </c:pt>
                <c:pt idx="38">
                  <c:v>-6.0580759999999998</c:v>
                </c:pt>
                <c:pt idx="39">
                  <c:v>-6.1808249999999996</c:v>
                </c:pt>
              </c:numCache>
            </c:numRef>
          </c:val>
          <c:smooth val="0"/>
          <c:extLst>
            <c:ext xmlns:c16="http://schemas.microsoft.com/office/drawing/2014/chart" uri="{C3380CC4-5D6E-409C-BE32-E72D297353CC}">
              <c16:uniqueId val="{00000001-5FE5-41DF-8E71-B60978509677}"/>
            </c:ext>
          </c:extLst>
        </c:ser>
        <c:dLbls>
          <c:showLegendKey val="0"/>
          <c:showVal val="0"/>
          <c:showCatName val="0"/>
          <c:showSerName val="0"/>
          <c:showPercent val="0"/>
          <c:showBubbleSize val="0"/>
        </c:dLbls>
        <c:marker val="1"/>
        <c:smooth val="0"/>
        <c:axId val="210637184"/>
        <c:axId val="210635392"/>
      </c:lineChart>
      <c:catAx>
        <c:axId val="210042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0633856"/>
        <c:crosses val="autoZero"/>
        <c:auto val="1"/>
        <c:lblAlgn val="ctr"/>
        <c:lblOffset val="100"/>
        <c:noMultiLvlLbl val="0"/>
      </c:catAx>
      <c:valAx>
        <c:axId val="2106338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0042240"/>
        <c:crosses val="autoZero"/>
        <c:crossBetween val="between"/>
      </c:valAx>
      <c:valAx>
        <c:axId val="210635392"/>
        <c:scaling>
          <c:orientation val="minMax"/>
        </c:scaling>
        <c:delete val="0"/>
        <c:axPos val="r"/>
        <c:numFmt formatCode="General" sourceLinked="1"/>
        <c:majorTickMark val="out"/>
        <c:minorTickMark val="none"/>
        <c:tickLblPos val="nextTo"/>
        <c:crossAx val="210637184"/>
        <c:crosses val="max"/>
        <c:crossBetween val="between"/>
      </c:valAx>
      <c:catAx>
        <c:axId val="210637184"/>
        <c:scaling>
          <c:orientation val="minMax"/>
        </c:scaling>
        <c:delete val="1"/>
        <c:axPos val="b"/>
        <c:numFmt formatCode="General" sourceLinked="1"/>
        <c:majorTickMark val="out"/>
        <c:minorTickMark val="none"/>
        <c:tickLblPos val="nextTo"/>
        <c:crossAx val="210635392"/>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'Charts 1-3'!$H$2</c:f>
              <c:strCache>
                <c:ptCount val="1"/>
                <c:pt idx="0">
                  <c:v>Technology contribution</c:v>
                </c:pt>
              </c:strCache>
            </c:strRef>
          </c:tx>
          <c:spPr>
            <a:ln w="28575" cap="rnd">
              <a:solidFill>
                <a:schemeClr val="accent1"/>
              </a:solidFill>
              <a:round/>
            </a:ln>
            <a:effectLst/>
          </c:spPr>
          <c:marker>
            <c:symbol val="none"/>
          </c:marker>
          <c:cat>
            <c:numRef>
              <c:f>'Charts 1-3'!$G$3:$G$42</c:f>
              <c:numCache>
                <c:formatCode>General</c:formatCode>
                <c:ptCount val="40"/>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pt idx="13">
                  <c:v>2024</c:v>
                </c:pt>
                <c:pt idx="14">
                  <c:v>2025</c:v>
                </c:pt>
                <c:pt idx="15">
                  <c:v>2026</c:v>
                </c:pt>
                <c:pt idx="16">
                  <c:v>2027</c:v>
                </c:pt>
                <c:pt idx="17">
                  <c:v>2028</c:v>
                </c:pt>
                <c:pt idx="18">
                  <c:v>2029</c:v>
                </c:pt>
                <c:pt idx="19">
                  <c:v>2030</c:v>
                </c:pt>
                <c:pt idx="20">
                  <c:v>2031</c:v>
                </c:pt>
                <c:pt idx="21">
                  <c:v>2032</c:v>
                </c:pt>
                <c:pt idx="22">
                  <c:v>2033</c:v>
                </c:pt>
                <c:pt idx="23">
                  <c:v>2034</c:v>
                </c:pt>
                <c:pt idx="24">
                  <c:v>2035</c:v>
                </c:pt>
                <c:pt idx="25">
                  <c:v>2036</c:v>
                </c:pt>
                <c:pt idx="26">
                  <c:v>2037</c:v>
                </c:pt>
                <c:pt idx="27">
                  <c:v>2038</c:v>
                </c:pt>
                <c:pt idx="28">
                  <c:v>2039</c:v>
                </c:pt>
                <c:pt idx="29">
                  <c:v>2040</c:v>
                </c:pt>
                <c:pt idx="30">
                  <c:v>2041</c:v>
                </c:pt>
                <c:pt idx="31">
                  <c:v>2042</c:v>
                </c:pt>
                <c:pt idx="32">
                  <c:v>2043</c:v>
                </c:pt>
                <c:pt idx="33">
                  <c:v>2044</c:v>
                </c:pt>
                <c:pt idx="34">
                  <c:v>2045</c:v>
                </c:pt>
                <c:pt idx="35">
                  <c:v>2046</c:v>
                </c:pt>
                <c:pt idx="36">
                  <c:v>2047</c:v>
                </c:pt>
                <c:pt idx="37">
                  <c:v>2048</c:v>
                </c:pt>
                <c:pt idx="38">
                  <c:v>2049</c:v>
                </c:pt>
                <c:pt idx="39">
                  <c:v>2050</c:v>
                </c:pt>
              </c:numCache>
            </c:numRef>
          </c:cat>
          <c:val>
            <c:numRef>
              <c:f>'Charts 1-3'!$H$3:$H$42</c:f>
              <c:numCache>
                <c:formatCode>General</c:formatCode>
                <c:ptCount val="40"/>
                <c:pt idx="0">
                  <c:v>-6.7156999999999994E-2</c:v>
                </c:pt>
                <c:pt idx="1">
                  <c:v>-0.14097100000000001</c:v>
                </c:pt>
                <c:pt idx="2">
                  <c:v>-0.22289600000000001</c:v>
                </c:pt>
                <c:pt idx="3">
                  <c:v>-0.31133100000000002</c:v>
                </c:pt>
                <c:pt idx="4">
                  <c:v>-0.41001700000000002</c:v>
                </c:pt>
                <c:pt idx="5">
                  <c:v>-0.51701399999999997</c:v>
                </c:pt>
                <c:pt idx="6">
                  <c:v>-0.62887999999999999</c:v>
                </c:pt>
                <c:pt idx="7">
                  <c:v>-0.74068599999999996</c:v>
                </c:pt>
                <c:pt idx="8">
                  <c:v>-0.85123000000000004</c:v>
                </c:pt>
                <c:pt idx="9">
                  <c:v>-0.95933999999999997</c:v>
                </c:pt>
                <c:pt idx="10">
                  <c:v>-1.0649850000000001</c:v>
                </c:pt>
                <c:pt idx="11">
                  <c:v>-1.1688259999999999</c:v>
                </c:pt>
                <c:pt idx="12">
                  <c:v>-1.270365</c:v>
                </c:pt>
                <c:pt idx="13">
                  <c:v>-1.369478</c:v>
                </c:pt>
                <c:pt idx="14">
                  <c:v>-1.4660820000000001</c:v>
                </c:pt>
                <c:pt idx="15">
                  <c:v>-1.5601389999999999</c:v>
                </c:pt>
                <c:pt idx="16">
                  <c:v>-1.6516550000000001</c:v>
                </c:pt>
                <c:pt idx="17">
                  <c:v>-1.7406729999999999</c:v>
                </c:pt>
                <c:pt idx="18">
                  <c:v>-1.827264</c:v>
                </c:pt>
                <c:pt idx="19">
                  <c:v>-1.911521</c:v>
                </c:pt>
                <c:pt idx="20">
                  <c:v>-1.9935529999999999</c:v>
                </c:pt>
                <c:pt idx="21">
                  <c:v>-2.073483</c:v>
                </c:pt>
                <c:pt idx="22">
                  <c:v>-2.1514359999999999</c:v>
                </c:pt>
                <c:pt idx="23">
                  <c:v>-2.2275420000000001</c:v>
                </c:pt>
                <c:pt idx="24">
                  <c:v>-2.3019289999999999</c:v>
                </c:pt>
                <c:pt idx="25">
                  <c:v>-2.3747280000000002</c:v>
                </c:pt>
                <c:pt idx="26">
                  <c:v>-2.446059</c:v>
                </c:pt>
                <c:pt idx="27">
                  <c:v>-2.5160439999999999</c:v>
                </c:pt>
                <c:pt idx="28">
                  <c:v>-2.584797</c:v>
                </c:pt>
                <c:pt idx="29">
                  <c:v>-2.6524230000000002</c:v>
                </c:pt>
                <c:pt idx="30">
                  <c:v>-2.7190259999999999</c:v>
                </c:pt>
                <c:pt idx="31">
                  <c:v>-2.7846989999999998</c:v>
                </c:pt>
                <c:pt idx="32">
                  <c:v>-2.8495309999999998</c:v>
                </c:pt>
                <c:pt idx="33">
                  <c:v>-2.9136030000000002</c:v>
                </c:pt>
                <c:pt idx="34">
                  <c:v>-2.9769920000000001</c:v>
                </c:pt>
                <c:pt idx="35">
                  <c:v>-3.0397690000000002</c:v>
                </c:pt>
                <c:pt idx="36">
                  <c:v>-3.1019960000000002</c:v>
                </c:pt>
                <c:pt idx="37">
                  <c:v>-3.1637330000000001</c:v>
                </c:pt>
                <c:pt idx="38">
                  <c:v>-3.2250369999999999</c:v>
                </c:pt>
                <c:pt idx="39">
                  <c:v>-3.2859539999999998</c:v>
                </c:pt>
              </c:numCache>
            </c:numRef>
          </c:val>
          <c:smooth val="0"/>
          <c:extLst>
            <c:ext xmlns:c16="http://schemas.microsoft.com/office/drawing/2014/chart" uri="{C3380CC4-5D6E-409C-BE32-E72D297353CC}">
              <c16:uniqueId val="{00000000-33B3-4507-83C6-CE4B27805ABE}"/>
            </c:ext>
          </c:extLst>
        </c:ser>
        <c:ser>
          <c:idx val="1"/>
          <c:order val="1"/>
          <c:tx>
            <c:strRef>
              <c:f>'Charts 1-3'!$I$2</c:f>
              <c:strCache>
                <c:ptCount val="1"/>
                <c:pt idx="0">
                  <c:v>Primary factor contribution</c:v>
                </c:pt>
              </c:strCache>
            </c:strRef>
          </c:tx>
          <c:spPr>
            <a:ln w="28575" cap="rnd">
              <a:solidFill>
                <a:schemeClr val="accent2"/>
              </a:solidFill>
              <a:round/>
            </a:ln>
            <a:effectLst/>
          </c:spPr>
          <c:marker>
            <c:symbol val="none"/>
          </c:marker>
          <c:cat>
            <c:numRef>
              <c:f>'Charts 1-3'!$G$3:$G$42</c:f>
              <c:numCache>
                <c:formatCode>General</c:formatCode>
                <c:ptCount val="40"/>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pt idx="13">
                  <c:v>2024</c:v>
                </c:pt>
                <c:pt idx="14">
                  <c:v>2025</c:v>
                </c:pt>
                <c:pt idx="15">
                  <c:v>2026</c:v>
                </c:pt>
                <c:pt idx="16">
                  <c:v>2027</c:v>
                </c:pt>
                <c:pt idx="17">
                  <c:v>2028</c:v>
                </c:pt>
                <c:pt idx="18">
                  <c:v>2029</c:v>
                </c:pt>
                <c:pt idx="19">
                  <c:v>2030</c:v>
                </c:pt>
                <c:pt idx="20">
                  <c:v>2031</c:v>
                </c:pt>
                <c:pt idx="21">
                  <c:v>2032</c:v>
                </c:pt>
                <c:pt idx="22">
                  <c:v>2033</c:v>
                </c:pt>
                <c:pt idx="23">
                  <c:v>2034</c:v>
                </c:pt>
                <c:pt idx="24">
                  <c:v>2035</c:v>
                </c:pt>
                <c:pt idx="25">
                  <c:v>2036</c:v>
                </c:pt>
                <c:pt idx="26">
                  <c:v>2037</c:v>
                </c:pt>
                <c:pt idx="27">
                  <c:v>2038</c:v>
                </c:pt>
                <c:pt idx="28">
                  <c:v>2039</c:v>
                </c:pt>
                <c:pt idx="29">
                  <c:v>2040</c:v>
                </c:pt>
                <c:pt idx="30">
                  <c:v>2041</c:v>
                </c:pt>
                <c:pt idx="31">
                  <c:v>2042</c:v>
                </c:pt>
                <c:pt idx="32">
                  <c:v>2043</c:v>
                </c:pt>
                <c:pt idx="33">
                  <c:v>2044</c:v>
                </c:pt>
                <c:pt idx="34">
                  <c:v>2045</c:v>
                </c:pt>
                <c:pt idx="35">
                  <c:v>2046</c:v>
                </c:pt>
                <c:pt idx="36">
                  <c:v>2047</c:v>
                </c:pt>
                <c:pt idx="37">
                  <c:v>2048</c:v>
                </c:pt>
                <c:pt idx="38">
                  <c:v>2049</c:v>
                </c:pt>
                <c:pt idx="39">
                  <c:v>2050</c:v>
                </c:pt>
              </c:numCache>
            </c:numRef>
          </c:cat>
          <c:val>
            <c:numRef>
              <c:f>'Charts 1-3'!$I$3:$I$42</c:f>
              <c:numCache>
                <c:formatCode>General</c:formatCode>
                <c:ptCount val="40"/>
                <c:pt idx="0">
                  <c:v>-2.1521000000000012E-2</c:v>
                </c:pt>
                <c:pt idx="1">
                  <c:v>-3.7726999999999983E-2</c:v>
                </c:pt>
                <c:pt idx="2">
                  <c:v>-4.5645999999999992E-2</c:v>
                </c:pt>
                <c:pt idx="3">
                  <c:v>-5.3499999999999992E-2</c:v>
                </c:pt>
                <c:pt idx="4">
                  <c:v>-4.1931999999999969E-2</c:v>
                </c:pt>
                <c:pt idx="5">
                  <c:v>-5.0018000000000007E-2</c:v>
                </c:pt>
                <c:pt idx="6">
                  <c:v>-3.7685999999999997E-2</c:v>
                </c:pt>
                <c:pt idx="7">
                  <c:v>-2.5877000000000039E-2</c:v>
                </c:pt>
                <c:pt idx="8">
                  <c:v>-1.644000000000001E-2</c:v>
                </c:pt>
                <c:pt idx="9">
                  <c:v>-9.8989999999999911E-3</c:v>
                </c:pt>
                <c:pt idx="10">
                  <c:v>-8.2709999999999173E-3</c:v>
                </c:pt>
                <c:pt idx="11">
                  <c:v>-9.7830000000000972E-3</c:v>
                </c:pt>
                <c:pt idx="12">
                  <c:v>-1.4498000000000122E-2</c:v>
                </c:pt>
                <c:pt idx="13">
                  <c:v>-2.2242000000000095E-2</c:v>
                </c:pt>
                <c:pt idx="14">
                  <c:v>-3.2867999999999897E-2</c:v>
                </c:pt>
                <c:pt idx="15">
                  <c:v>-4.6256000000000075E-2</c:v>
                </c:pt>
                <c:pt idx="16">
                  <c:v>-6.22609999999999E-2</c:v>
                </c:pt>
                <c:pt idx="17">
                  <c:v>-8.0733000000000166E-2</c:v>
                </c:pt>
                <c:pt idx="18">
                  <c:v>-0.1015299999999999</c:v>
                </c:pt>
                <c:pt idx="19">
                  <c:v>-0.12448900000000007</c:v>
                </c:pt>
                <c:pt idx="20">
                  <c:v>-0.149451</c:v>
                </c:pt>
                <c:pt idx="21">
                  <c:v>-0.17625599999999997</c:v>
                </c:pt>
                <c:pt idx="22">
                  <c:v>-0.20475300000000018</c:v>
                </c:pt>
                <c:pt idx="23">
                  <c:v>-0.23479899999999976</c:v>
                </c:pt>
                <c:pt idx="24">
                  <c:v>-0.26624399999999993</c:v>
                </c:pt>
                <c:pt idx="25">
                  <c:v>-0.2989569999999997</c:v>
                </c:pt>
                <c:pt idx="26">
                  <c:v>-0.33280200000000004</c:v>
                </c:pt>
                <c:pt idx="27">
                  <c:v>-0.36765399999999993</c:v>
                </c:pt>
                <c:pt idx="28">
                  <c:v>-0.40341199999999988</c:v>
                </c:pt>
                <c:pt idx="29">
                  <c:v>-0.43996199999999996</c:v>
                </c:pt>
                <c:pt idx="30">
                  <c:v>-0.4772050000000001</c:v>
                </c:pt>
                <c:pt idx="31">
                  <c:v>-0.5150560000000004</c:v>
                </c:pt>
                <c:pt idx="32">
                  <c:v>-0.55342800000000025</c:v>
                </c:pt>
                <c:pt idx="33">
                  <c:v>-0.59224399999999999</c:v>
                </c:pt>
                <c:pt idx="34">
                  <c:v>-0.63143400000000005</c:v>
                </c:pt>
                <c:pt idx="35">
                  <c:v>-0.67093599999999975</c:v>
                </c:pt>
                <c:pt idx="36">
                  <c:v>-0.71068199999999981</c:v>
                </c:pt>
                <c:pt idx="37">
                  <c:v>-0.75062000000000006</c:v>
                </c:pt>
                <c:pt idx="38">
                  <c:v>-0.79069700000000021</c:v>
                </c:pt>
                <c:pt idx="39">
                  <c:v>-0.83087000000000044</c:v>
                </c:pt>
              </c:numCache>
            </c:numRef>
          </c:val>
          <c:smooth val="0"/>
          <c:extLst>
            <c:ext xmlns:c16="http://schemas.microsoft.com/office/drawing/2014/chart" uri="{C3380CC4-5D6E-409C-BE32-E72D297353CC}">
              <c16:uniqueId val="{00000001-33B3-4507-83C6-CE4B27805ABE}"/>
            </c:ext>
          </c:extLst>
        </c:ser>
        <c:ser>
          <c:idx val="2"/>
          <c:order val="2"/>
          <c:tx>
            <c:strRef>
              <c:f>'Charts 1-3'!$J$2</c:f>
              <c:strCache>
                <c:ptCount val="1"/>
                <c:pt idx="0">
                  <c:v>realGDP</c:v>
                </c:pt>
              </c:strCache>
            </c:strRef>
          </c:tx>
          <c:spPr>
            <a:ln w="28575" cap="rnd">
              <a:solidFill>
                <a:schemeClr val="accent3"/>
              </a:solidFill>
              <a:round/>
            </a:ln>
            <a:effectLst/>
          </c:spPr>
          <c:marker>
            <c:symbol val="none"/>
          </c:marker>
          <c:cat>
            <c:numRef>
              <c:f>'Charts 1-3'!$G$3:$G$42</c:f>
              <c:numCache>
                <c:formatCode>General</c:formatCode>
                <c:ptCount val="40"/>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pt idx="13">
                  <c:v>2024</c:v>
                </c:pt>
                <c:pt idx="14">
                  <c:v>2025</c:v>
                </c:pt>
                <c:pt idx="15">
                  <c:v>2026</c:v>
                </c:pt>
                <c:pt idx="16">
                  <c:v>2027</c:v>
                </c:pt>
                <c:pt idx="17">
                  <c:v>2028</c:v>
                </c:pt>
                <c:pt idx="18">
                  <c:v>2029</c:v>
                </c:pt>
                <c:pt idx="19">
                  <c:v>2030</c:v>
                </c:pt>
                <c:pt idx="20">
                  <c:v>2031</c:v>
                </c:pt>
                <c:pt idx="21">
                  <c:v>2032</c:v>
                </c:pt>
                <c:pt idx="22">
                  <c:v>2033</c:v>
                </c:pt>
                <c:pt idx="23">
                  <c:v>2034</c:v>
                </c:pt>
                <c:pt idx="24">
                  <c:v>2035</c:v>
                </c:pt>
                <c:pt idx="25">
                  <c:v>2036</c:v>
                </c:pt>
                <c:pt idx="26">
                  <c:v>2037</c:v>
                </c:pt>
                <c:pt idx="27">
                  <c:v>2038</c:v>
                </c:pt>
                <c:pt idx="28">
                  <c:v>2039</c:v>
                </c:pt>
                <c:pt idx="29">
                  <c:v>2040</c:v>
                </c:pt>
                <c:pt idx="30">
                  <c:v>2041</c:v>
                </c:pt>
                <c:pt idx="31">
                  <c:v>2042</c:v>
                </c:pt>
                <c:pt idx="32">
                  <c:v>2043</c:v>
                </c:pt>
                <c:pt idx="33">
                  <c:v>2044</c:v>
                </c:pt>
                <c:pt idx="34">
                  <c:v>2045</c:v>
                </c:pt>
                <c:pt idx="35">
                  <c:v>2046</c:v>
                </c:pt>
                <c:pt idx="36">
                  <c:v>2047</c:v>
                </c:pt>
                <c:pt idx="37">
                  <c:v>2048</c:v>
                </c:pt>
                <c:pt idx="38">
                  <c:v>2049</c:v>
                </c:pt>
                <c:pt idx="39">
                  <c:v>2050</c:v>
                </c:pt>
              </c:numCache>
            </c:numRef>
          </c:cat>
          <c:val>
            <c:numRef>
              <c:f>'Charts 1-3'!$J$3:$J$42</c:f>
              <c:numCache>
                <c:formatCode>General</c:formatCode>
                <c:ptCount val="40"/>
                <c:pt idx="0">
                  <c:v>-8.8678000000000007E-2</c:v>
                </c:pt>
                <c:pt idx="1">
                  <c:v>-0.178698</c:v>
                </c:pt>
                <c:pt idx="2">
                  <c:v>-0.268542</c:v>
                </c:pt>
                <c:pt idx="3">
                  <c:v>-0.36483100000000002</c:v>
                </c:pt>
                <c:pt idx="4">
                  <c:v>-0.45194899999999999</c:v>
                </c:pt>
                <c:pt idx="5">
                  <c:v>-0.56703199999999998</c:v>
                </c:pt>
                <c:pt idx="6">
                  <c:v>-0.66656599999999999</c:v>
                </c:pt>
                <c:pt idx="7">
                  <c:v>-0.76656299999999999</c:v>
                </c:pt>
                <c:pt idx="8">
                  <c:v>-0.86767000000000005</c:v>
                </c:pt>
                <c:pt idx="9">
                  <c:v>-0.96923899999999996</c:v>
                </c:pt>
                <c:pt idx="10">
                  <c:v>-1.073256</c:v>
                </c:pt>
                <c:pt idx="11">
                  <c:v>-1.178609</c:v>
                </c:pt>
                <c:pt idx="12">
                  <c:v>-1.2848630000000001</c:v>
                </c:pt>
                <c:pt idx="13">
                  <c:v>-1.3917200000000001</c:v>
                </c:pt>
                <c:pt idx="14">
                  <c:v>-1.49895</c:v>
                </c:pt>
                <c:pt idx="15">
                  <c:v>-1.606395</c:v>
                </c:pt>
                <c:pt idx="16">
                  <c:v>-1.713916</c:v>
                </c:pt>
                <c:pt idx="17">
                  <c:v>-1.8214060000000001</c:v>
                </c:pt>
                <c:pt idx="18">
                  <c:v>-1.9287939999999999</c:v>
                </c:pt>
                <c:pt idx="19">
                  <c:v>-2.0360100000000001</c:v>
                </c:pt>
                <c:pt idx="20">
                  <c:v>-2.1430039999999999</c:v>
                </c:pt>
                <c:pt idx="21">
                  <c:v>-2.2497389999999999</c:v>
                </c:pt>
                <c:pt idx="22">
                  <c:v>-2.3561890000000001</c:v>
                </c:pt>
                <c:pt idx="23">
                  <c:v>-2.4623409999999999</c:v>
                </c:pt>
                <c:pt idx="24">
                  <c:v>-2.5681729999999998</c:v>
                </c:pt>
                <c:pt idx="25">
                  <c:v>-2.6736849999999999</c:v>
                </c:pt>
                <c:pt idx="26">
                  <c:v>-2.778861</c:v>
                </c:pt>
                <c:pt idx="27">
                  <c:v>-2.8836979999999999</c:v>
                </c:pt>
                <c:pt idx="28">
                  <c:v>-2.9882089999999999</c:v>
                </c:pt>
                <c:pt idx="29">
                  <c:v>-3.0923850000000002</c:v>
                </c:pt>
                <c:pt idx="30">
                  <c:v>-3.196231</c:v>
                </c:pt>
                <c:pt idx="31">
                  <c:v>-3.2997550000000002</c:v>
                </c:pt>
                <c:pt idx="32">
                  <c:v>-3.4029590000000001</c:v>
                </c:pt>
                <c:pt idx="33">
                  <c:v>-3.5058470000000002</c:v>
                </c:pt>
                <c:pt idx="34">
                  <c:v>-3.6084260000000001</c:v>
                </c:pt>
                <c:pt idx="35">
                  <c:v>-3.7107049999999999</c:v>
                </c:pt>
                <c:pt idx="36">
                  <c:v>-3.812678</c:v>
                </c:pt>
                <c:pt idx="37">
                  <c:v>-3.9143530000000002</c:v>
                </c:pt>
                <c:pt idx="38">
                  <c:v>-4.0157340000000001</c:v>
                </c:pt>
                <c:pt idx="39">
                  <c:v>-4.1168240000000003</c:v>
                </c:pt>
              </c:numCache>
            </c:numRef>
          </c:val>
          <c:smooth val="0"/>
          <c:extLst>
            <c:ext xmlns:c16="http://schemas.microsoft.com/office/drawing/2014/chart" uri="{C3380CC4-5D6E-409C-BE32-E72D297353CC}">
              <c16:uniqueId val="{00000002-33B3-4507-83C6-CE4B27805ABE}"/>
            </c:ext>
          </c:extLst>
        </c:ser>
        <c:dLbls>
          <c:showLegendKey val="0"/>
          <c:showVal val="0"/>
          <c:showCatName val="0"/>
          <c:showSerName val="0"/>
          <c:showPercent val="0"/>
          <c:showBubbleSize val="0"/>
        </c:dLbls>
        <c:smooth val="0"/>
        <c:axId val="210664064"/>
        <c:axId val="210665856"/>
      </c:lineChart>
      <c:catAx>
        <c:axId val="21066406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0665856"/>
        <c:crosses val="autoZero"/>
        <c:auto val="1"/>
        <c:lblAlgn val="ctr"/>
        <c:lblOffset val="100"/>
        <c:noMultiLvlLbl val="0"/>
      </c:catAx>
      <c:valAx>
        <c:axId val="2106658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0664064"/>
        <c:crosses val="autoZero"/>
        <c:crossBetween val="between"/>
      </c:valAx>
      <c:spPr>
        <a:noFill/>
        <a:ln>
          <a:noFill/>
        </a:ln>
        <a:effectLst/>
      </c:spPr>
    </c:plotArea>
    <c:legend>
      <c:legendPos val="l"/>
      <c:layout>
        <c:manualLayout>
          <c:xMode val="edge"/>
          <c:yMode val="edge"/>
          <c:x val="0.14918414918414918"/>
          <c:y val="0.44061101557707583"/>
          <c:w val="0.32747560401103709"/>
          <c:h val="0.42529097655896464"/>
        </c:manualLayout>
      </c:layout>
      <c:overlay val="1"/>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'Charts 1-3'!$M$2</c:f>
              <c:strCache>
                <c:ptCount val="1"/>
                <c:pt idx="0">
                  <c:v>Consumption (private)</c:v>
                </c:pt>
              </c:strCache>
            </c:strRef>
          </c:tx>
          <c:spPr>
            <a:ln w="28575" cap="rnd">
              <a:solidFill>
                <a:schemeClr val="accent1"/>
              </a:solidFill>
              <a:round/>
            </a:ln>
            <a:effectLst/>
          </c:spPr>
          <c:marker>
            <c:symbol val="none"/>
          </c:marker>
          <c:cat>
            <c:numRef>
              <c:f>'Charts 1-3'!$L$3:$L$42</c:f>
              <c:numCache>
                <c:formatCode>General</c:formatCode>
                <c:ptCount val="40"/>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pt idx="13">
                  <c:v>2024</c:v>
                </c:pt>
                <c:pt idx="14">
                  <c:v>2025</c:v>
                </c:pt>
                <c:pt idx="15">
                  <c:v>2026</c:v>
                </c:pt>
                <c:pt idx="16">
                  <c:v>2027</c:v>
                </c:pt>
                <c:pt idx="17">
                  <c:v>2028</c:v>
                </c:pt>
                <c:pt idx="18">
                  <c:v>2029</c:v>
                </c:pt>
                <c:pt idx="19">
                  <c:v>2030</c:v>
                </c:pt>
                <c:pt idx="20">
                  <c:v>2031</c:v>
                </c:pt>
                <c:pt idx="21">
                  <c:v>2032</c:v>
                </c:pt>
                <c:pt idx="22">
                  <c:v>2033</c:v>
                </c:pt>
                <c:pt idx="23">
                  <c:v>2034</c:v>
                </c:pt>
                <c:pt idx="24">
                  <c:v>2035</c:v>
                </c:pt>
                <c:pt idx="25">
                  <c:v>2036</c:v>
                </c:pt>
                <c:pt idx="26">
                  <c:v>2037</c:v>
                </c:pt>
                <c:pt idx="27">
                  <c:v>2038</c:v>
                </c:pt>
                <c:pt idx="28">
                  <c:v>2039</c:v>
                </c:pt>
                <c:pt idx="29">
                  <c:v>2040</c:v>
                </c:pt>
                <c:pt idx="30">
                  <c:v>2041</c:v>
                </c:pt>
                <c:pt idx="31">
                  <c:v>2042</c:v>
                </c:pt>
                <c:pt idx="32">
                  <c:v>2043</c:v>
                </c:pt>
                <c:pt idx="33">
                  <c:v>2044</c:v>
                </c:pt>
                <c:pt idx="34">
                  <c:v>2045</c:v>
                </c:pt>
                <c:pt idx="35">
                  <c:v>2046</c:v>
                </c:pt>
                <c:pt idx="36">
                  <c:v>2047</c:v>
                </c:pt>
                <c:pt idx="37">
                  <c:v>2048</c:v>
                </c:pt>
                <c:pt idx="38">
                  <c:v>2049</c:v>
                </c:pt>
                <c:pt idx="39">
                  <c:v>2050</c:v>
                </c:pt>
              </c:numCache>
            </c:numRef>
          </c:cat>
          <c:val>
            <c:numRef>
              <c:f>'Charts 1-3'!$M$3:$M$42</c:f>
              <c:numCache>
                <c:formatCode>General</c:formatCode>
                <c:ptCount val="40"/>
                <c:pt idx="0">
                  <c:v>-9.9021999999999999E-2</c:v>
                </c:pt>
                <c:pt idx="1">
                  <c:v>-0.20830899999999999</c:v>
                </c:pt>
                <c:pt idx="2">
                  <c:v>-0.31726500000000002</c:v>
                </c:pt>
                <c:pt idx="3">
                  <c:v>-0.443969</c:v>
                </c:pt>
                <c:pt idx="4">
                  <c:v>-0.54508500000000004</c:v>
                </c:pt>
                <c:pt idx="5">
                  <c:v>-0.70706599999999997</c:v>
                </c:pt>
                <c:pt idx="6">
                  <c:v>-0.83648900000000004</c:v>
                </c:pt>
                <c:pt idx="7">
                  <c:v>-0.96328599999999998</c:v>
                </c:pt>
                <c:pt idx="8">
                  <c:v>-1.0876410000000001</c:v>
                </c:pt>
                <c:pt idx="9">
                  <c:v>-1.208126</c:v>
                </c:pt>
                <c:pt idx="10">
                  <c:v>-1.3296049999999999</c:v>
                </c:pt>
                <c:pt idx="11">
                  <c:v>-1.4504349999999999</c:v>
                </c:pt>
                <c:pt idx="12">
                  <c:v>-1.5702970000000001</c:v>
                </c:pt>
                <c:pt idx="13">
                  <c:v>-1.6890309999999999</c:v>
                </c:pt>
                <c:pt idx="14">
                  <c:v>-1.8065519999999999</c:v>
                </c:pt>
                <c:pt idx="15">
                  <c:v>-1.922809</c:v>
                </c:pt>
                <c:pt idx="16">
                  <c:v>-2.0377969999999999</c:v>
                </c:pt>
                <c:pt idx="17">
                  <c:v>-2.1515309999999999</c:v>
                </c:pt>
                <c:pt idx="18">
                  <c:v>-2.2640449999999999</c:v>
                </c:pt>
                <c:pt idx="19">
                  <c:v>-2.375381</c:v>
                </c:pt>
                <c:pt idx="20">
                  <c:v>-2.485589</c:v>
                </c:pt>
                <c:pt idx="21">
                  <c:v>-2.5947249999999999</c:v>
                </c:pt>
                <c:pt idx="22">
                  <c:v>-2.7028470000000002</c:v>
                </c:pt>
                <c:pt idx="23">
                  <c:v>-2.8100200000000002</c:v>
                </c:pt>
                <c:pt idx="24">
                  <c:v>-2.9163009999999998</c:v>
                </c:pt>
                <c:pt idx="25">
                  <c:v>-3.0217450000000001</c:v>
                </c:pt>
                <c:pt idx="26">
                  <c:v>-3.1264110000000001</c:v>
                </c:pt>
                <c:pt idx="27">
                  <c:v>-3.2303570000000001</c:v>
                </c:pt>
                <c:pt idx="28">
                  <c:v>-3.3336380000000001</c:v>
                </c:pt>
                <c:pt idx="29">
                  <c:v>-3.4363039999999998</c:v>
                </c:pt>
                <c:pt idx="30">
                  <c:v>-3.538402</c:v>
                </c:pt>
                <c:pt idx="31">
                  <c:v>-3.6399699999999999</c:v>
                </c:pt>
                <c:pt idx="32">
                  <c:v>-3.7410580000000002</c:v>
                </c:pt>
                <c:pt idx="33">
                  <c:v>-3.8417020000000002</c:v>
                </c:pt>
                <c:pt idx="34">
                  <c:v>-3.9419369999999998</c:v>
                </c:pt>
                <c:pt idx="35">
                  <c:v>-4.0417959999999997</c:v>
                </c:pt>
                <c:pt idx="36">
                  <c:v>-4.1413120000000001</c:v>
                </c:pt>
                <c:pt idx="37">
                  <c:v>-4.2405189999999999</c:v>
                </c:pt>
                <c:pt idx="38">
                  <c:v>-4.3394329999999997</c:v>
                </c:pt>
                <c:pt idx="39">
                  <c:v>-4.4380899999999999</c:v>
                </c:pt>
              </c:numCache>
            </c:numRef>
          </c:val>
          <c:smooth val="0"/>
          <c:extLst>
            <c:ext xmlns:c16="http://schemas.microsoft.com/office/drawing/2014/chart" uri="{C3380CC4-5D6E-409C-BE32-E72D297353CC}">
              <c16:uniqueId val="{00000000-684F-4783-9E37-8B123A673B98}"/>
            </c:ext>
          </c:extLst>
        </c:ser>
        <c:ser>
          <c:idx val="1"/>
          <c:order val="1"/>
          <c:tx>
            <c:strRef>
              <c:f>'Charts 1-3'!$N$2</c:f>
              <c:strCache>
                <c:ptCount val="1"/>
                <c:pt idx="0">
                  <c:v>Investment (private and public)</c:v>
                </c:pt>
              </c:strCache>
            </c:strRef>
          </c:tx>
          <c:spPr>
            <a:ln w="28575" cap="rnd">
              <a:solidFill>
                <a:schemeClr val="accent2"/>
              </a:solidFill>
              <a:round/>
            </a:ln>
            <a:effectLst/>
          </c:spPr>
          <c:marker>
            <c:symbol val="none"/>
          </c:marker>
          <c:cat>
            <c:numRef>
              <c:f>'Charts 1-3'!$L$3:$L$42</c:f>
              <c:numCache>
                <c:formatCode>General</c:formatCode>
                <c:ptCount val="40"/>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pt idx="13">
                  <c:v>2024</c:v>
                </c:pt>
                <c:pt idx="14">
                  <c:v>2025</c:v>
                </c:pt>
                <c:pt idx="15">
                  <c:v>2026</c:v>
                </c:pt>
                <c:pt idx="16">
                  <c:v>2027</c:v>
                </c:pt>
                <c:pt idx="17">
                  <c:v>2028</c:v>
                </c:pt>
                <c:pt idx="18">
                  <c:v>2029</c:v>
                </c:pt>
                <c:pt idx="19">
                  <c:v>2030</c:v>
                </c:pt>
                <c:pt idx="20">
                  <c:v>2031</c:v>
                </c:pt>
                <c:pt idx="21">
                  <c:v>2032</c:v>
                </c:pt>
                <c:pt idx="22">
                  <c:v>2033</c:v>
                </c:pt>
                <c:pt idx="23">
                  <c:v>2034</c:v>
                </c:pt>
                <c:pt idx="24">
                  <c:v>2035</c:v>
                </c:pt>
                <c:pt idx="25">
                  <c:v>2036</c:v>
                </c:pt>
                <c:pt idx="26">
                  <c:v>2037</c:v>
                </c:pt>
                <c:pt idx="27">
                  <c:v>2038</c:v>
                </c:pt>
                <c:pt idx="28">
                  <c:v>2039</c:v>
                </c:pt>
                <c:pt idx="29">
                  <c:v>2040</c:v>
                </c:pt>
                <c:pt idx="30">
                  <c:v>2041</c:v>
                </c:pt>
                <c:pt idx="31">
                  <c:v>2042</c:v>
                </c:pt>
                <c:pt idx="32">
                  <c:v>2043</c:v>
                </c:pt>
                <c:pt idx="33">
                  <c:v>2044</c:v>
                </c:pt>
                <c:pt idx="34">
                  <c:v>2045</c:v>
                </c:pt>
                <c:pt idx="35">
                  <c:v>2046</c:v>
                </c:pt>
                <c:pt idx="36">
                  <c:v>2047</c:v>
                </c:pt>
                <c:pt idx="37">
                  <c:v>2048</c:v>
                </c:pt>
                <c:pt idx="38">
                  <c:v>2049</c:v>
                </c:pt>
                <c:pt idx="39">
                  <c:v>2050</c:v>
                </c:pt>
              </c:numCache>
            </c:numRef>
          </c:cat>
          <c:val>
            <c:numRef>
              <c:f>'Charts 1-3'!$N$3:$N$42</c:f>
              <c:numCache>
                <c:formatCode>General</c:formatCode>
                <c:ptCount val="40"/>
                <c:pt idx="0">
                  <c:v>-1.4985E-2</c:v>
                </c:pt>
                <c:pt idx="1">
                  <c:v>-3.4478000000000002E-2</c:v>
                </c:pt>
                <c:pt idx="2">
                  <c:v>-6.2465E-2</c:v>
                </c:pt>
                <c:pt idx="3">
                  <c:v>-3.9306000000000001E-2</c:v>
                </c:pt>
                <c:pt idx="4">
                  <c:v>-8.8156999999999999E-2</c:v>
                </c:pt>
                <c:pt idx="5">
                  <c:v>-6.2085000000000001E-2</c:v>
                </c:pt>
                <c:pt idx="6">
                  <c:v>-9.2836000000000002E-2</c:v>
                </c:pt>
                <c:pt idx="7">
                  <c:v>-0.126086</c:v>
                </c:pt>
                <c:pt idx="8">
                  <c:v>-0.16476199999999999</c:v>
                </c:pt>
                <c:pt idx="9">
                  <c:v>-0.20910100000000001</c:v>
                </c:pt>
                <c:pt idx="10">
                  <c:v>-0.25467099999999998</c:v>
                </c:pt>
                <c:pt idx="11">
                  <c:v>-0.30265300000000001</c:v>
                </c:pt>
                <c:pt idx="12">
                  <c:v>-0.35288799999999998</c:v>
                </c:pt>
                <c:pt idx="13">
                  <c:v>-0.40515200000000001</c:v>
                </c:pt>
                <c:pt idx="14">
                  <c:v>-0.459235</c:v>
                </c:pt>
                <c:pt idx="15">
                  <c:v>-0.51492499999999997</c:v>
                </c:pt>
                <c:pt idx="16">
                  <c:v>-0.57203000000000004</c:v>
                </c:pt>
                <c:pt idx="17">
                  <c:v>-0.63036099999999995</c:v>
                </c:pt>
                <c:pt idx="18">
                  <c:v>-0.68976000000000004</c:v>
                </c:pt>
                <c:pt idx="19">
                  <c:v>-0.75007000000000001</c:v>
                </c:pt>
                <c:pt idx="20">
                  <c:v>-0.81115899999999996</c:v>
                </c:pt>
                <c:pt idx="21">
                  <c:v>-0.87291300000000005</c:v>
                </c:pt>
                <c:pt idx="22">
                  <c:v>-0.93523199999999995</c:v>
                </c:pt>
                <c:pt idx="23">
                  <c:v>-0.99802999999999997</c:v>
                </c:pt>
                <c:pt idx="24">
                  <c:v>-1.0612159999999999</c:v>
                </c:pt>
                <c:pt idx="25">
                  <c:v>-1.124735</c:v>
                </c:pt>
                <c:pt idx="26">
                  <c:v>-1.1885269999999999</c:v>
                </c:pt>
                <c:pt idx="27">
                  <c:v>-1.2525360000000001</c:v>
                </c:pt>
                <c:pt idx="28">
                  <c:v>-1.3167199999999999</c:v>
                </c:pt>
                <c:pt idx="29">
                  <c:v>-1.381038</c:v>
                </c:pt>
                <c:pt idx="30">
                  <c:v>-1.4454629999999999</c:v>
                </c:pt>
                <c:pt idx="31">
                  <c:v>-1.5099590000000001</c:v>
                </c:pt>
                <c:pt idx="32">
                  <c:v>-1.5745020000000001</c:v>
                </c:pt>
                <c:pt idx="33">
                  <c:v>-1.6390610000000001</c:v>
                </c:pt>
                <c:pt idx="34">
                  <c:v>-1.7036249999999999</c:v>
                </c:pt>
                <c:pt idx="35">
                  <c:v>-1.76817</c:v>
                </c:pt>
                <c:pt idx="36">
                  <c:v>-1.8326659999999999</c:v>
                </c:pt>
                <c:pt idx="37">
                  <c:v>-1.897111</c:v>
                </c:pt>
                <c:pt idx="38">
                  <c:v>-1.961473</c:v>
                </c:pt>
                <c:pt idx="39">
                  <c:v>-2.0257499999999999</c:v>
                </c:pt>
              </c:numCache>
            </c:numRef>
          </c:val>
          <c:smooth val="0"/>
          <c:extLst>
            <c:ext xmlns:c16="http://schemas.microsoft.com/office/drawing/2014/chart" uri="{C3380CC4-5D6E-409C-BE32-E72D297353CC}">
              <c16:uniqueId val="{00000001-684F-4783-9E37-8B123A673B98}"/>
            </c:ext>
          </c:extLst>
        </c:ser>
        <c:ser>
          <c:idx val="2"/>
          <c:order val="2"/>
          <c:tx>
            <c:strRef>
              <c:f>'Charts 1-3'!$O$2</c:f>
              <c:strCache>
                <c:ptCount val="1"/>
                <c:pt idx="0">
                  <c:v>real GDP</c:v>
                </c:pt>
              </c:strCache>
            </c:strRef>
          </c:tx>
          <c:spPr>
            <a:ln w="28575" cap="rnd">
              <a:solidFill>
                <a:schemeClr val="accent3"/>
              </a:solidFill>
              <a:round/>
            </a:ln>
            <a:effectLst/>
          </c:spPr>
          <c:marker>
            <c:symbol val="none"/>
          </c:marker>
          <c:cat>
            <c:numRef>
              <c:f>'Charts 1-3'!$L$3:$L$42</c:f>
              <c:numCache>
                <c:formatCode>General</c:formatCode>
                <c:ptCount val="40"/>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pt idx="13">
                  <c:v>2024</c:v>
                </c:pt>
                <c:pt idx="14">
                  <c:v>2025</c:v>
                </c:pt>
                <c:pt idx="15">
                  <c:v>2026</c:v>
                </c:pt>
                <c:pt idx="16">
                  <c:v>2027</c:v>
                </c:pt>
                <c:pt idx="17">
                  <c:v>2028</c:v>
                </c:pt>
                <c:pt idx="18">
                  <c:v>2029</c:v>
                </c:pt>
                <c:pt idx="19">
                  <c:v>2030</c:v>
                </c:pt>
                <c:pt idx="20">
                  <c:v>2031</c:v>
                </c:pt>
                <c:pt idx="21">
                  <c:v>2032</c:v>
                </c:pt>
                <c:pt idx="22">
                  <c:v>2033</c:v>
                </c:pt>
                <c:pt idx="23">
                  <c:v>2034</c:v>
                </c:pt>
                <c:pt idx="24">
                  <c:v>2035</c:v>
                </c:pt>
                <c:pt idx="25">
                  <c:v>2036</c:v>
                </c:pt>
                <c:pt idx="26">
                  <c:v>2037</c:v>
                </c:pt>
                <c:pt idx="27">
                  <c:v>2038</c:v>
                </c:pt>
                <c:pt idx="28">
                  <c:v>2039</c:v>
                </c:pt>
                <c:pt idx="29">
                  <c:v>2040</c:v>
                </c:pt>
                <c:pt idx="30">
                  <c:v>2041</c:v>
                </c:pt>
                <c:pt idx="31">
                  <c:v>2042</c:v>
                </c:pt>
                <c:pt idx="32">
                  <c:v>2043</c:v>
                </c:pt>
                <c:pt idx="33">
                  <c:v>2044</c:v>
                </c:pt>
                <c:pt idx="34">
                  <c:v>2045</c:v>
                </c:pt>
                <c:pt idx="35">
                  <c:v>2046</c:v>
                </c:pt>
                <c:pt idx="36">
                  <c:v>2047</c:v>
                </c:pt>
                <c:pt idx="37">
                  <c:v>2048</c:v>
                </c:pt>
                <c:pt idx="38">
                  <c:v>2049</c:v>
                </c:pt>
                <c:pt idx="39">
                  <c:v>2050</c:v>
                </c:pt>
              </c:numCache>
            </c:numRef>
          </c:cat>
          <c:val>
            <c:numRef>
              <c:f>'Charts 1-3'!$O$3:$O$42</c:f>
              <c:numCache>
                <c:formatCode>General</c:formatCode>
                <c:ptCount val="40"/>
                <c:pt idx="0">
                  <c:v>-8.8574E-2</c:v>
                </c:pt>
                <c:pt idx="1">
                  <c:v>-0.17848</c:v>
                </c:pt>
                <c:pt idx="2">
                  <c:v>-0.268237</c:v>
                </c:pt>
                <c:pt idx="3">
                  <c:v>-0.36443799999999998</c:v>
                </c:pt>
                <c:pt idx="4">
                  <c:v>-0.45157900000000001</c:v>
                </c:pt>
                <c:pt idx="5">
                  <c:v>-0.56628100000000003</c:v>
                </c:pt>
                <c:pt idx="6">
                  <c:v>-0.66573800000000005</c:v>
                </c:pt>
                <c:pt idx="7">
                  <c:v>-0.76568999999999998</c:v>
                </c:pt>
                <c:pt idx="8">
                  <c:v>-0.86679300000000004</c:v>
                </c:pt>
                <c:pt idx="9">
                  <c:v>-0.96839500000000001</c:v>
                </c:pt>
                <c:pt idx="10">
                  <c:v>-1.072441</c:v>
                </c:pt>
                <c:pt idx="11">
                  <c:v>-1.1778299999999999</c:v>
                </c:pt>
                <c:pt idx="12">
                  <c:v>-1.2841290000000001</c:v>
                </c:pt>
                <c:pt idx="13">
                  <c:v>-1.3910290000000001</c:v>
                </c:pt>
                <c:pt idx="14">
                  <c:v>-1.498316</c:v>
                </c:pt>
                <c:pt idx="15">
                  <c:v>-1.605818</c:v>
                </c:pt>
                <c:pt idx="16">
                  <c:v>-1.7133929999999999</c:v>
                </c:pt>
                <c:pt idx="17">
                  <c:v>-1.8209500000000001</c:v>
                </c:pt>
                <c:pt idx="18">
                  <c:v>-1.928396</c:v>
                </c:pt>
                <c:pt idx="19">
                  <c:v>-2.0356740000000002</c:v>
                </c:pt>
                <c:pt idx="20">
                  <c:v>-2.142725</c:v>
                </c:pt>
                <c:pt idx="21">
                  <c:v>-2.2495210000000001</c:v>
                </c:pt>
                <c:pt idx="22">
                  <c:v>-2.3560300000000001</c:v>
                </c:pt>
                <c:pt idx="23">
                  <c:v>-2.4622359999999999</c:v>
                </c:pt>
                <c:pt idx="24">
                  <c:v>-2.5681180000000001</c:v>
                </c:pt>
                <c:pt idx="25">
                  <c:v>-2.6736789999999999</c:v>
                </c:pt>
                <c:pt idx="26">
                  <c:v>-2.778905</c:v>
                </c:pt>
                <c:pt idx="27">
                  <c:v>-2.8837969999999999</c:v>
                </c:pt>
                <c:pt idx="28">
                  <c:v>-2.988356</c:v>
                </c:pt>
                <c:pt idx="29">
                  <c:v>-3.0925850000000001</c:v>
                </c:pt>
                <c:pt idx="30">
                  <c:v>-3.1964839999999999</c:v>
                </c:pt>
                <c:pt idx="31">
                  <c:v>-3.3000539999999998</c:v>
                </c:pt>
                <c:pt idx="32">
                  <c:v>-3.4033039999999999</c:v>
                </c:pt>
                <c:pt idx="33">
                  <c:v>-3.506237</c:v>
                </c:pt>
                <c:pt idx="34">
                  <c:v>-3.6088550000000001</c:v>
                </c:pt>
                <c:pt idx="35">
                  <c:v>-3.7111679999999998</c:v>
                </c:pt>
                <c:pt idx="36">
                  <c:v>-3.8131849999999998</c:v>
                </c:pt>
                <c:pt idx="37">
                  <c:v>-3.914895</c:v>
                </c:pt>
                <c:pt idx="38">
                  <c:v>-4.016311</c:v>
                </c:pt>
                <c:pt idx="39">
                  <c:v>-4.1174299999999997</c:v>
                </c:pt>
              </c:numCache>
            </c:numRef>
          </c:val>
          <c:smooth val="0"/>
          <c:extLst>
            <c:ext xmlns:c16="http://schemas.microsoft.com/office/drawing/2014/chart" uri="{C3380CC4-5D6E-409C-BE32-E72D297353CC}">
              <c16:uniqueId val="{00000002-684F-4783-9E37-8B123A673B98}"/>
            </c:ext>
          </c:extLst>
        </c:ser>
        <c:dLbls>
          <c:showLegendKey val="0"/>
          <c:showVal val="0"/>
          <c:showCatName val="0"/>
          <c:showSerName val="0"/>
          <c:showPercent val="0"/>
          <c:showBubbleSize val="0"/>
        </c:dLbls>
        <c:smooth val="0"/>
        <c:axId val="211126912"/>
        <c:axId val="211149184"/>
      </c:lineChart>
      <c:catAx>
        <c:axId val="211126912"/>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149184"/>
        <c:crosses val="autoZero"/>
        <c:auto val="1"/>
        <c:lblAlgn val="ctr"/>
        <c:lblOffset val="100"/>
        <c:noMultiLvlLbl val="0"/>
      </c:catAx>
      <c:valAx>
        <c:axId val="2111491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126912"/>
        <c:crosses val="autoZero"/>
        <c:crossBetween val="between"/>
      </c:valAx>
      <c:spPr>
        <a:noFill/>
        <a:ln>
          <a:noFill/>
        </a:ln>
        <a:effectLst/>
      </c:spPr>
    </c:plotArea>
    <c:legend>
      <c:legendPos val="l"/>
      <c:layout>
        <c:manualLayout>
          <c:xMode val="edge"/>
          <c:yMode val="edge"/>
          <c:x val="0.12742812742812742"/>
          <c:y val="0.38028913052535102"/>
          <c:w val="0.31721919375462682"/>
          <c:h val="0.44047994000749907"/>
        </c:manualLayout>
      </c:layout>
      <c:overlay val="1"/>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'Charts 4-5'!$G$2</c:f>
              <c:strCache>
                <c:ptCount val="1"/>
                <c:pt idx="0">
                  <c:v>Imports</c:v>
                </c:pt>
              </c:strCache>
            </c:strRef>
          </c:tx>
          <c:spPr>
            <a:ln w="28575" cap="rnd">
              <a:solidFill>
                <a:schemeClr val="accent1"/>
              </a:solidFill>
              <a:round/>
            </a:ln>
            <a:effectLst/>
          </c:spPr>
          <c:marker>
            <c:symbol val="none"/>
          </c:marker>
          <c:cat>
            <c:numRef>
              <c:f>'Charts 4-5'!$F$3:$F$42</c:f>
              <c:numCache>
                <c:formatCode>General</c:formatCode>
                <c:ptCount val="40"/>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pt idx="13">
                  <c:v>2024</c:v>
                </c:pt>
                <c:pt idx="14">
                  <c:v>2025</c:v>
                </c:pt>
                <c:pt idx="15">
                  <c:v>2026</c:v>
                </c:pt>
                <c:pt idx="16">
                  <c:v>2027</c:v>
                </c:pt>
                <c:pt idx="17">
                  <c:v>2028</c:v>
                </c:pt>
                <c:pt idx="18">
                  <c:v>2029</c:v>
                </c:pt>
                <c:pt idx="19">
                  <c:v>2030</c:v>
                </c:pt>
                <c:pt idx="20">
                  <c:v>2031</c:v>
                </c:pt>
                <c:pt idx="21">
                  <c:v>2032</c:v>
                </c:pt>
                <c:pt idx="22">
                  <c:v>2033</c:v>
                </c:pt>
                <c:pt idx="23">
                  <c:v>2034</c:v>
                </c:pt>
                <c:pt idx="24">
                  <c:v>2035</c:v>
                </c:pt>
                <c:pt idx="25">
                  <c:v>2036</c:v>
                </c:pt>
                <c:pt idx="26">
                  <c:v>2037</c:v>
                </c:pt>
                <c:pt idx="27">
                  <c:v>2038</c:v>
                </c:pt>
                <c:pt idx="28">
                  <c:v>2039</c:v>
                </c:pt>
                <c:pt idx="29">
                  <c:v>2040</c:v>
                </c:pt>
                <c:pt idx="30">
                  <c:v>2041</c:v>
                </c:pt>
                <c:pt idx="31">
                  <c:v>2042</c:v>
                </c:pt>
                <c:pt idx="32">
                  <c:v>2043</c:v>
                </c:pt>
                <c:pt idx="33">
                  <c:v>2044</c:v>
                </c:pt>
                <c:pt idx="34">
                  <c:v>2045</c:v>
                </c:pt>
                <c:pt idx="35">
                  <c:v>2046</c:v>
                </c:pt>
                <c:pt idx="36">
                  <c:v>2047</c:v>
                </c:pt>
                <c:pt idx="37">
                  <c:v>2048</c:v>
                </c:pt>
                <c:pt idx="38">
                  <c:v>2049</c:v>
                </c:pt>
                <c:pt idx="39">
                  <c:v>2050</c:v>
                </c:pt>
              </c:numCache>
            </c:numRef>
          </c:cat>
          <c:val>
            <c:numRef>
              <c:f>'Charts 4-5'!$G$3:$G$42</c:f>
              <c:numCache>
                <c:formatCode>General</c:formatCode>
                <c:ptCount val="40"/>
                <c:pt idx="0">
                  <c:v>-1.7817E-2</c:v>
                </c:pt>
                <c:pt idx="1">
                  <c:v>-3.4439999999999998E-2</c:v>
                </c:pt>
                <c:pt idx="2">
                  <c:v>-5.2288000000000001E-2</c:v>
                </c:pt>
                <c:pt idx="3">
                  <c:v>-4.8330999999999999E-2</c:v>
                </c:pt>
                <c:pt idx="4">
                  <c:v>-8.2174999999999998E-2</c:v>
                </c:pt>
                <c:pt idx="5">
                  <c:v>-8.2694000000000004E-2</c:v>
                </c:pt>
                <c:pt idx="6">
                  <c:v>-0.105604</c:v>
                </c:pt>
                <c:pt idx="7">
                  <c:v>-0.13362099999999999</c:v>
                </c:pt>
                <c:pt idx="8">
                  <c:v>-0.16690099999999999</c:v>
                </c:pt>
                <c:pt idx="9">
                  <c:v>-0.20524899999999999</c:v>
                </c:pt>
                <c:pt idx="10">
                  <c:v>-0.24584500000000001</c:v>
                </c:pt>
                <c:pt idx="11">
                  <c:v>-0.28907699999999997</c:v>
                </c:pt>
                <c:pt idx="12">
                  <c:v>-0.33458399999999999</c:v>
                </c:pt>
                <c:pt idx="13">
                  <c:v>-0.382102</c:v>
                </c:pt>
                <c:pt idx="14">
                  <c:v>-0.43138799999999999</c:v>
                </c:pt>
                <c:pt idx="15">
                  <c:v>-0.482242</c:v>
                </c:pt>
                <c:pt idx="16">
                  <c:v>-0.53446499999999997</c:v>
                </c:pt>
                <c:pt idx="17">
                  <c:v>-0.587897</c:v>
                </c:pt>
                <c:pt idx="18">
                  <c:v>-0.64238799999999996</c:v>
                </c:pt>
                <c:pt idx="19">
                  <c:v>-0.69779400000000003</c:v>
                </c:pt>
                <c:pt idx="20">
                  <c:v>-0.75400299999999998</c:v>
                </c:pt>
                <c:pt idx="21">
                  <c:v>-0.81090200000000001</c:v>
                </c:pt>
                <c:pt idx="22">
                  <c:v>-0.86839900000000003</c:v>
                </c:pt>
                <c:pt idx="23">
                  <c:v>-0.92641399999999996</c:v>
                </c:pt>
                <c:pt idx="24">
                  <c:v>-0.98486600000000002</c:v>
                </c:pt>
                <c:pt idx="25">
                  <c:v>-1.0436859999999999</c:v>
                </c:pt>
                <c:pt idx="26">
                  <c:v>-1.102813</c:v>
                </c:pt>
                <c:pt idx="27">
                  <c:v>-1.1621919999999999</c:v>
                </c:pt>
                <c:pt idx="28">
                  <c:v>-1.2217750000000001</c:v>
                </c:pt>
                <c:pt idx="29">
                  <c:v>-1.2815110000000001</c:v>
                </c:pt>
                <c:pt idx="30">
                  <c:v>-1.3413539999999999</c:v>
                </c:pt>
                <c:pt idx="31">
                  <c:v>-1.401267</c:v>
                </c:pt>
                <c:pt idx="32">
                  <c:v>-1.461209</c:v>
                </c:pt>
                <c:pt idx="33">
                  <c:v>-1.5211509999999999</c:v>
                </c:pt>
                <c:pt idx="34">
                  <c:v>-1.581059</c:v>
                </c:pt>
                <c:pt idx="35">
                  <c:v>-1.640897</c:v>
                </c:pt>
                <c:pt idx="36">
                  <c:v>-1.700631</c:v>
                </c:pt>
                <c:pt idx="37">
                  <c:v>-1.7602439999999999</c:v>
                </c:pt>
                <c:pt idx="38">
                  <c:v>-1.8196950000000001</c:v>
                </c:pt>
                <c:pt idx="39">
                  <c:v>-1.8789670000000001</c:v>
                </c:pt>
              </c:numCache>
            </c:numRef>
          </c:val>
          <c:smooth val="0"/>
          <c:extLst>
            <c:ext xmlns:c16="http://schemas.microsoft.com/office/drawing/2014/chart" uri="{C3380CC4-5D6E-409C-BE32-E72D297353CC}">
              <c16:uniqueId val="{00000000-26B8-4BA3-B229-520D23FF0F71}"/>
            </c:ext>
          </c:extLst>
        </c:ser>
        <c:ser>
          <c:idx val="1"/>
          <c:order val="1"/>
          <c:tx>
            <c:strRef>
              <c:f>'Charts 4-5'!$H$2</c:f>
              <c:strCache>
                <c:ptCount val="1"/>
                <c:pt idx="0">
                  <c:v>Exports</c:v>
                </c:pt>
              </c:strCache>
            </c:strRef>
          </c:tx>
          <c:spPr>
            <a:ln w="28575" cap="rnd">
              <a:solidFill>
                <a:schemeClr val="accent2"/>
              </a:solidFill>
              <a:round/>
            </a:ln>
            <a:effectLst/>
          </c:spPr>
          <c:marker>
            <c:symbol val="none"/>
          </c:marker>
          <c:cat>
            <c:numRef>
              <c:f>'Charts 4-5'!$F$3:$F$42</c:f>
              <c:numCache>
                <c:formatCode>General</c:formatCode>
                <c:ptCount val="40"/>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pt idx="13">
                  <c:v>2024</c:v>
                </c:pt>
                <c:pt idx="14">
                  <c:v>2025</c:v>
                </c:pt>
                <c:pt idx="15">
                  <c:v>2026</c:v>
                </c:pt>
                <c:pt idx="16">
                  <c:v>2027</c:v>
                </c:pt>
                <c:pt idx="17">
                  <c:v>2028</c:v>
                </c:pt>
                <c:pt idx="18">
                  <c:v>2029</c:v>
                </c:pt>
                <c:pt idx="19">
                  <c:v>2030</c:v>
                </c:pt>
                <c:pt idx="20">
                  <c:v>2031</c:v>
                </c:pt>
                <c:pt idx="21">
                  <c:v>2032</c:v>
                </c:pt>
                <c:pt idx="22">
                  <c:v>2033</c:v>
                </c:pt>
                <c:pt idx="23">
                  <c:v>2034</c:v>
                </c:pt>
                <c:pt idx="24">
                  <c:v>2035</c:v>
                </c:pt>
                <c:pt idx="25">
                  <c:v>2036</c:v>
                </c:pt>
                <c:pt idx="26">
                  <c:v>2037</c:v>
                </c:pt>
                <c:pt idx="27">
                  <c:v>2038</c:v>
                </c:pt>
                <c:pt idx="28">
                  <c:v>2039</c:v>
                </c:pt>
                <c:pt idx="29">
                  <c:v>2040</c:v>
                </c:pt>
                <c:pt idx="30">
                  <c:v>2041</c:v>
                </c:pt>
                <c:pt idx="31">
                  <c:v>2042</c:v>
                </c:pt>
                <c:pt idx="32">
                  <c:v>2043</c:v>
                </c:pt>
                <c:pt idx="33">
                  <c:v>2044</c:v>
                </c:pt>
                <c:pt idx="34">
                  <c:v>2045</c:v>
                </c:pt>
                <c:pt idx="35">
                  <c:v>2046</c:v>
                </c:pt>
                <c:pt idx="36">
                  <c:v>2047</c:v>
                </c:pt>
                <c:pt idx="37">
                  <c:v>2048</c:v>
                </c:pt>
                <c:pt idx="38">
                  <c:v>2049</c:v>
                </c:pt>
                <c:pt idx="39">
                  <c:v>2050</c:v>
                </c:pt>
              </c:numCache>
            </c:numRef>
          </c:cat>
          <c:val>
            <c:numRef>
              <c:f>'Charts 4-5'!$H$3:$H$42</c:f>
              <c:numCache>
                <c:formatCode>General</c:formatCode>
                <c:ptCount val="40"/>
                <c:pt idx="0">
                  <c:v>-0.102494</c:v>
                </c:pt>
                <c:pt idx="1">
                  <c:v>-0.16162699999999999</c:v>
                </c:pt>
                <c:pt idx="2">
                  <c:v>-0.21379699999999999</c:v>
                </c:pt>
                <c:pt idx="3">
                  <c:v>-0.24746899999999999</c:v>
                </c:pt>
                <c:pt idx="4">
                  <c:v>-0.31665900000000002</c:v>
                </c:pt>
                <c:pt idx="5">
                  <c:v>-0.31177300000000002</c:v>
                </c:pt>
                <c:pt idx="6">
                  <c:v>-0.33657500000000001</c:v>
                </c:pt>
                <c:pt idx="7">
                  <c:v>-0.38018400000000002</c:v>
                </c:pt>
                <c:pt idx="8">
                  <c:v>-0.44072499999999998</c:v>
                </c:pt>
                <c:pt idx="9">
                  <c:v>-0.51979299999999995</c:v>
                </c:pt>
                <c:pt idx="10">
                  <c:v>-0.608788</c:v>
                </c:pt>
                <c:pt idx="11">
                  <c:v>-0.70832700000000004</c:v>
                </c:pt>
                <c:pt idx="12">
                  <c:v>-0.81713899999999995</c:v>
                </c:pt>
                <c:pt idx="13">
                  <c:v>-0.934334</c:v>
                </c:pt>
                <c:pt idx="14">
                  <c:v>-1.0591729999999999</c:v>
                </c:pt>
                <c:pt idx="15">
                  <c:v>-1.190985</c:v>
                </c:pt>
                <c:pt idx="16">
                  <c:v>-1.329159</c:v>
                </c:pt>
                <c:pt idx="17">
                  <c:v>-1.4731449999999999</c:v>
                </c:pt>
                <c:pt idx="18">
                  <c:v>-1.6224369999999999</c:v>
                </c:pt>
                <c:pt idx="19">
                  <c:v>-1.776537</c:v>
                </c:pt>
                <c:pt idx="20">
                  <c:v>-1.9350039999999999</c:v>
                </c:pt>
                <c:pt idx="21">
                  <c:v>-2.0974330000000001</c:v>
                </c:pt>
                <c:pt idx="22">
                  <c:v>-2.2634500000000002</c:v>
                </c:pt>
                <c:pt idx="23">
                  <c:v>-2.4327030000000001</c:v>
                </c:pt>
                <c:pt idx="24">
                  <c:v>-2.60486</c:v>
                </c:pt>
                <c:pt idx="25">
                  <c:v>-2.779614</c:v>
                </c:pt>
                <c:pt idx="26">
                  <c:v>-2.9566919999999999</c:v>
                </c:pt>
                <c:pt idx="27">
                  <c:v>-3.1358269999999999</c:v>
                </c:pt>
                <c:pt idx="28">
                  <c:v>-3.3167559999999998</c:v>
                </c:pt>
                <c:pt idx="29">
                  <c:v>-3.4992519999999998</c:v>
                </c:pt>
                <c:pt idx="30">
                  <c:v>-3.6831070000000001</c:v>
                </c:pt>
                <c:pt idx="31">
                  <c:v>-3.8681130000000001</c:v>
                </c:pt>
                <c:pt idx="32">
                  <c:v>-4.0540779999999996</c:v>
                </c:pt>
                <c:pt idx="33">
                  <c:v>-4.2408169999999998</c:v>
                </c:pt>
                <c:pt idx="34">
                  <c:v>-4.4281629999999996</c:v>
                </c:pt>
                <c:pt idx="35">
                  <c:v>-4.6159670000000004</c:v>
                </c:pt>
                <c:pt idx="36">
                  <c:v>-4.8040779999999996</c:v>
                </c:pt>
                <c:pt idx="37">
                  <c:v>-4.9923539999999997</c:v>
                </c:pt>
                <c:pt idx="38">
                  <c:v>-5.1806429999999999</c:v>
                </c:pt>
                <c:pt idx="39">
                  <c:v>-5.3688260000000003</c:v>
                </c:pt>
              </c:numCache>
            </c:numRef>
          </c:val>
          <c:smooth val="0"/>
          <c:extLst>
            <c:ext xmlns:c16="http://schemas.microsoft.com/office/drawing/2014/chart" uri="{C3380CC4-5D6E-409C-BE32-E72D297353CC}">
              <c16:uniqueId val="{00000001-26B8-4BA3-B229-520D23FF0F71}"/>
            </c:ext>
          </c:extLst>
        </c:ser>
        <c:dLbls>
          <c:showLegendKey val="0"/>
          <c:showVal val="0"/>
          <c:showCatName val="0"/>
          <c:showSerName val="0"/>
          <c:showPercent val="0"/>
          <c:showBubbleSize val="0"/>
        </c:dLbls>
        <c:smooth val="0"/>
        <c:axId val="211180160"/>
        <c:axId val="211321216"/>
      </c:lineChart>
      <c:catAx>
        <c:axId val="211180160"/>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321216"/>
        <c:crosses val="autoZero"/>
        <c:auto val="1"/>
        <c:lblAlgn val="ctr"/>
        <c:lblOffset val="100"/>
        <c:noMultiLvlLbl val="0"/>
      </c:catAx>
      <c:valAx>
        <c:axId val="2113212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180160"/>
        <c:crosses val="autoZero"/>
        <c:crossBetween val="between"/>
      </c:valAx>
      <c:spPr>
        <a:noFill/>
        <a:ln>
          <a:noFill/>
        </a:ln>
        <a:effectLst/>
      </c:spPr>
    </c:plotArea>
    <c:legend>
      <c:legendPos val="l"/>
      <c:layout>
        <c:manualLayout>
          <c:xMode val="edge"/>
          <c:yMode val="edge"/>
          <c:x val="9.9456099456099456E-2"/>
          <c:y val="0.40154474642282617"/>
          <c:w val="0.26517555934878767"/>
          <c:h val="0.27217932435864872"/>
        </c:manualLayout>
      </c:layout>
      <c:overlay val="1"/>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FAN!$M$3</c:f>
              <c:strCache>
                <c:ptCount val="1"/>
                <c:pt idx="0">
                  <c:v>1 LocalMarket</c:v>
                </c:pt>
              </c:strCache>
            </c:strRef>
          </c:tx>
          <c:spPr>
            <a:solidFill>
              <a:srgbClr val="FF0000"/>
            </a:solidFill>
          </c:spPr>
          <c:invertIfNegative val="0"/>
          <c:cat>
            <c:strRef>
              <c:f>FAN!$N$2:$W$2</c:f>
              <c:strCache>
                <c:ptCount val="10"/>
                <c:pt idx="0">
                  <c:v>TextilePrd</c:v>
                </c:pt>
                <c:pt idx="1">
                  <c:v>FabMetalPrd</c:v>
                </c:pt>
                <c:pt idx="2">
                  <c:v>Annuals</c:v>
                </c:pt>
                <c:pt idx="3">
                  <c:v>WearAppPrd</c:v>
                </c:pt>
                <c:pt idx="4">
                  <c:v>Livestock</c:v>
                </c:pt>
                <c:pt idx="5">
                  <c:v>FoodBevSrv</c:v>
                </c:pt>
                <c:pt idx="6">
                  <c:v>SeafoodPrd</c:v>
                </c:pt>
                <c:pt idx="7">
                  <c:v>CoffeePrd</c:v>
                </c:pt>
                <c:pt idx="8">
                  <c:v>GrainPrd</c:v>
                </c:pt>
                <c:pt idx="9">
                  <c:v>OilsFatsPrd</c:v>
                </c:pt>
              </c:strCache>
            </c:strRef>
          </c:cat>
          <c:val>
            <c:numRef>
              <c:f>FAN!$N$3:$W$3</c:f>
              <c:numCache>
                <c:formatCode>General</c:formatCode>
                <c:ptCount val="10"/>
                <c:pt idx="0">
                  <c:v>-0.18</c:v>
                </c:pt>
                <c:pt idx="1">
                  <c:v>-0.94</c:v>
                </c:pt>
                <c:pt idx="2">
                  <c:v>3.08</c:v>
                </c:pt>
                <c:pt idx="3">
                  <c:v>-3.01</c:v>
                </c:pt>
                <c:pt idx="4">
                  <c:v>-5.57</c:v>
                </c:pt>
                <c:pt idx="5">
                  <c:v>-3.74</c:v>
                </c:pt>
                <c:pt idx="6">
                  <c:v>-3.07</c:v>
                </c:pt>
                <c:pt idx="7">
                  <c:v>-1.73</c:v>
                </c:pt>
                <c:pt idx="8">
                  <c:v>-7.54</c:v>
                </c:pt>
                <c:pt idx="9">
                  <c:v>-2.76</c:v>
                </c:pt>
              </c:numCache>
            </c:numRef>
          </c:val>
          <c:extLst>
            <c:ext xmlns:c16="http://schemas.microsoft.com/office/drawing/2014/chart" uri="{C3380CC4-5D6E-409C-BE32-E72D297353CC}">
              <c16:uniqueId val="{00000000-9119-46AF-955E-DA637CA065C8}"/>
            </c:ext>
          </c:extLst>
        </c:ser>
        <c:ser>
          <c:idx val="1"/>
          <c:order val="1"/>
          <c:tx>
            <c:strRef>
              <c:f>FAN!$M$4</c:f>
              <c:strCache>
                <c:ptCount val="1"/>
                <c:pt idx="0">
                  <c:v>2 DomShare</c:v>
                </c:pt>
              </c:strCache>
            </c:strRef>
          </c:tx>
          <c:spPr>
            <a:solidFill>
              <a:srgbClr val="00B050"/>
            </a:solidFill>
          </c:spPr>
          <c:invertIfNegative val="0"/>
          <c:cat>
            <c:strRef>
              <c:f>FAN!$N$2:$W$2</c:f>
              <c:strCache>
                <c:ptCount val="10"/>
                <c:pt idx="0">
                  <c:v>TextilePrd</c:v>
                </c:pt>
                <c:pt idx="1">
                  <c:v>FabMetalPrd</c:v>
                </c:pt>
                <c:pt idx="2">
                  <c:v>Annuals</c:v>
                </c:pt>
                <c:pt idx="3">
                  <c:v>WearAppPrd</c:v>
                </c:pt>
                <c:pt idx="4">
                  <c:v>Livestock</c:v>
                </c:pt>
                <c:pt idx="5">
                  <c:v>FoodBevSrv</c:v>
                </c:pt>
                <c:pt idx="6">
                  <c:v>SeafoodPrd</c:v>
                </c:pt>
                <c:pt idx="7">
                  <c:v>CoffeePrd</c:v>
                </c:pt>
                <c:pt idx="8">
                  <c:v>GrainPrd</c:v>
                </c:pt>
                <c:pt idx="9">
                  <c:v>OilsFatsPrd</c:v>
                </c:pt>
              </c:strCache>
            </c:strRef>
          </c:cat>
          <c:val>
            <c:numRef>
              <c:f>FAN!$N$4:$W$4</c:f>
              <c:numCache>
                <c:formatCode>General</c:formatCode>
                <c:ptCount val="10"/>
                <c:pt idx="0">
                  <c:v>-0.31</c:v>
                </c:pt>
                <c:pt idx="1">
                  <c:v>-1.8</c:v>
                </c:pt>
                <c:pt idx="2">
                  <c:v>-0.57999999999999996</c:v>
                </c:pt>
                <c:pt idx="3">
                  <c:v>-2.2599999999999998</c:v>
                </c:pt>
                <c:pt idx="4">
                  <c:v>2.82</c:v>
                </c:pt>
                <c:pt idx="5">
                  <c:v>-0.26</c:v>
                </c:pt>
                <c:pt idx="6">
                  <c:v>2.5299999999999998</c:v>
                </c:pt>
                <c:pt idx="7">
                  <c:v>1.94</c:v>
                </c:pt>
                <c:pt idx="8">
                  <c:v>1.0900000000000001</c:v>
                </c:pt>
                <c:pt idx="9">
                  <c:v>-0.02</c:v>
                </c:pt>
              </c:numCache>
            </c:numRef>
          </c:val>
          <c:extLst>
            <c:ext xmlns:c16="http://schemas.microsoft.com/office/drawing/2014/chart" uri="{C3380CC4-5D6E-409C-BE32-E72D297353CC}">
              <c16:uniqueId val="{00000001-9119-46AF-955E-DA637CA065C8}"/>
            </c:ext>
          </c:extLst>
        </c:ser>
        <c:ser>
          <c:idx val="2"/>
          <c:order val="2"/>
          <c:tx>
            <c:strRef>
              <c:f>FAN!$M$5</c:f>
              <c:strCache>
                <c:ptCount val="1"/>
                <c:pt idx="0">
                  <c:v>3 Export</c:v>
                </c:pt>
              </c:strCache>
            </c:strRef>
          </c:tx>
          <c:spPr>
            <a:solidFill>
              <a:srgbClr val="0070C0"/>
            </a:solidFill>
          </c:spPr>
          <c:invertIfNegative val="0"/>
          <c:cat>
            <c:strRef>
              <c:f>FAN!$N$2:$W$2</c:f>
              <c:strCache>
                <c:ptCount val="10"/>
                <c:pt idx="0">
                  <c:v>TextilePrd</c:v>
                </c:pt>
                <c:pt idx="1">
                  <c:v>FabMetalPrd</c:v>
                </c:pt>
                <c:pt idx="2">
                  <c:v>Annuals</c:v>
                </c:pt>
                <c:pt idx="3">
                  <c:v>WearAppPrd</c:v>
                </c:pt>
                <c:pt idx="4">
                  <c:v>Livestock</c:v>
                </c:pt>
                <c:pt idx="5">
                  <c:v>FoodBevSrv</c:v>
                </c:pt>
                <c:pt idx="6">
                  <c:v>SeafoodPrd</c:v>
                </c:pt>
                <c:pt idx="7">
                  <c:v>CoffeePrd</c:v>
                </c:pt>
                <c:pt idx="8">
                  <c:v>GrainPrd</c:v>
                </c:pt>
                <c:pt idx="9">
                  <c:v>OilsFatsPrd</c:v>
                </c:pt>
              </c:strCache>
            </c:strRef>
          </c:cat>
          <c:val>
            <c:numRef>
              <c:f>FAN!$N$5:$W$5</c:f>
              <c:numCache>
                <c:formatCode>General</c:formatCode>
                <c:ptCount val="10"/>
                <c:pt idx="0">
                  <c:v>6.4</c:v>
                </c:pt>
                <c:pt idx="1">
                  <c:v>8.3800000000000008</c:v>
                </c:pt>
                <c:pt idx="2">
                  <c:v>2.82</c:v>
                </c:pt>
                <c:pt idx="3">
                  <c:v>9.2100000000000009</c:v>
                </c:pt>
                <c:pt idx="4">
                  <c:v>-6.77</c:v>
                </c:pt>
                <c:pt idx="5">
                  <c:v>0.48</c:v>
                </c:pt>
                <c:pt idx="6">
                  <c:v>-10.55</c:v>
                </c:pt>
                <c:pt idx="7">
                  <c:v>-10.42</c:v>
                </c:pt>
                <c:pt idx="8">
                  <c:v>-4.91</c:v>
                </c:pt>
                <c:pt idx="9">
                  <c:v>-8.9600000000000009</c:v>
                </c:pt>
              </c:numCache>
            </c:numRef>
          </c:val>
          <c:extLst>
            <c:ext xmlns:c16="http://schemas.microsoft.com/office/drawing/2014/chart" uri="{C3380CC4-5D6E-409C-BE32-E72D297353CC}">
              <c16:uniqueId val="{00000002-9119-46AF-955E-DA637CA065C8}"/>
            </c:ext>
          </c:extLst>
        </c:ser>
        <c:ser>
          <c:idx val="3"/>
          <c:order val="3"/>
          <c:tx>
            <c:strRef>
              <c:f>FAN!$M$6</c:f>
              <c:strCache>
                <c:ptCount val="1"/>
                <c:pt idx="0">
                  <c:v>4 Total</c:v>
                </c:pt>
              </c:strCache>
            </c:strRef>
          </c:tx>
          <c:spPr>
            <a:solidFill>
              <a:schemeClr val="tx1"/>
            </a:solidFill>
          </c:spPr>
          <c:invertIfNegative val="0"/>
          <c:cat>
            <c:strRef>
              <c:f>FAN!$N$2:$W$2</c:f>
              <c:strCache>
                <c:ptCount val="10"/>
                <c:pt idx="0">
                  <c:v>TextilePrd</c:v>
                </c:pt>
                <c:pt idx="1">
                  <c:v>FabMetalPrd</c:v>
                </c:pt>
                <c:pt idx="2">
                  <c:v>Annuals</c:v>
                </c:pt>
                <c:pt idx="3">
                  <c:v>WearAppPrd</c:v>
                </c:pt>
                <c:pt idx="4">
                  <c:v>Livestock</c:v>
                </c:pt>
                <c:pt idx="5">
                  <c:v>FoodBevSrv</c:v>
                </c:pt>
                <c:pt idx="6">
                  <c:v>SeafoodPrd</c:v>
                </c:pt>
                <c:pt idx="7">
                  <c:v>CoffeePrd</c:v>
                </c:pt>
                <c:pt idx="8">
                  <c:v>GrainPrd</c:v>
                </c:pt>
                <c:pt idx="9">
                  <c:v>OilsFatsPrd</c:v>
                </c:pt>
              </c:strCache>
            </c:strRef>
          </c:cat>
          <c:val>
            <c:numRef>
              <c:f>FAN!$N$6:$W$6</c:f>
              <c:numCache>
                <c:formatCode>General</c:formatCode>
                <c:ptCount val="10"/>
                <c:pt idx="0">
                  <c:v>5.91</c:v>
                </c:pt>
                <c:pt idx="1">
                  <c:v>5.64</c:v>
                </c:pt>
                <c:pt idx="2">
                  <c:v>5.32</c:v>
                </c:pt>
                <c:pt idx="3">
                  <c:v>3.93</c:v>
                </c:pt>
                <c:pt idx="4">
                  <c:v>-9.52</c:v>
                </c:pt>
                <c:pt idx="5">
                  <c:v>-3.53</c:v>
                </c:pt>
                <c:pt idx="6">
                  <c:v>-11.09</c:v>
                </c:pt>
                <c:pt idx="7">
                  <c:v>-10.220000000000001</c:v>
                </c:pt>
                <c:pt idx="8">
                  <c:v>-11.35</c:v>
                </c:pt>
                <c:pt idx="9">
                  <c:v>-11.74</c:v>
                </c:pt>
              </c:numCache>
            </c:numRef>
          </c:val>
          <c:extLst>
            <c:ext xmlns:c16="http://schemas.microsoft.com/office/drawing/2014/chart" uri="{C3380CC4-5D6E-409C-BE32-E72D297353CC}">
              <c16:uniqueId val="{00000003-9119-46AF-955E-DA637CA065C8}"/>
            </c:ext>
          </c:extLst>
        </c:ser>
        <c:dLbls>
          <c:showLegendKey val="0"/>
          <c:showVal val="0"/>
          <c:showCatName val="0"/>
          <c:showSerName val="0"/>
          <c:showPercent val="0"/>
          <c:showBubbleSize val="0"/>
        </c:dLbls>
        <c:gapWidth val="150"/>
        <c:axId val="211353600"/>
        <c:axId val="211355136"/>
      </c:barChart>
      <c:catAx>
        <c:axId val="211353600"/>
        <c:scaling>
          <c:orientation val="minMax"/>
        </c:scaling>
        <c:delete val="0"/>
        <c:axPos val="b"/>
        <c:numFmt formatCode="General" sourceLinked="0"/>
        <c:majorTickMark val="out"/>
        <c:minorTickMark val="none"/>
        <c:tickLblPos val="low"/>
        <c:txPr>
          <a:bodyPr rot="-5400000" vert="horz"/>
          <a:lstStyle/>
          <a:p>
            <a:pPr>
              <a:defRPr/>
            </a:pPr>
            <a:endParaRPr lang="en-US"/>
          </a:p>
        </c:txPr>
        <c:crossAx val="211355136"/>
        <c:crosses val="autoZero"/>
        <c:auto val="1"/>
        <c:lblAlgn val="ctr"/>
        <c:lblOffset val="100"/>
        <c:noMultiLvlLbl val="0"/>
      </c:catAx>
      <c:valAx>
        <c:axId val="211355136"/>
        <c:scaling>
          <c:orientation val="minMax"/>
        </c:scaling>
        <c:delete val="0"/>
        <c:axPos val="l"/>
        <c:majorGridlines/>
        <c:numFmt formatCode="General" sourceLinked="1"/>
        <c:majorTickMark val="out"/>
        <c:minorTickMark val="none"/>
        <c:tickLblPos val="nextTo"/>
        <c:crossAx val="211353600"/>
        <c:crosses val="autoZero"/>
        <c:crossBetween val="between"/>
      </c:valAx>
    </c:plotArea>
    <c:legend>
      <c:legendPos val="r"/>
      <c:layout>
        <c:manualLayout>
          <c:xMode val="edge"/>
          <c:yMode val="edge"/>
          <c:x val="0.71998687664042005"/>
          <c:y val="3.6269320501603974E-2"/>
          <c:w val="0.16373760268319207"/>
          <c:h val="0.25900333269813547"/>
        </c:manualLayout>
      </c:layout>
      <c:overlay val="1"/>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FAO03</b:Tag>
    <b:SourceType>InternetSite</b:SourceType>
    <b:Guid>{39039D6B-DC8F-401C-B71A-D2E2843F6216}</b:Guid>
    <b:Title>Trade Reforms and Food Security, Chapter 2</b:Title>
    <b:Year>2003</b:Year>
    <b:Author>
      <b:Author>
        <b:NameList>
          <b:Person>
            <b:Last>FAO</b:Last>
          </b:Person>
        </b:NameList>
      </b:Author>
    </b:Author>
    <b:InternetSiteTitle>Food and Agriculture Organization of the United Nations</b:InternetSiteTitle>
    <b:URL>www.fao.orgdocrep/005/y4671e/y4671e06.htm</b:URL>
    <b:RefOrder>1</b:RefOrder>
  </b:Source>
  <b:Source>
    <b:Tag>FAO02</b:Tag>
    <b:SourceType>Report</b:SourceType>
    <b:Guid>{DD03EA05-7C57-48DE-8039-0FA8B79287B4}</b:Guid>
    <b:Title>The State of Food Insecurity in the World</b:Title>
    <b:Year>2002</b:Year>
    <b:Author>
      <b:Author>
        <b:NameList>
          <b:Person>
            <b:Last>FAO</b:Last>
          </b:Person>
        </b:NameList>
      </b:Author>
    </b:Author>
    <b:Publisher>FAO</b:Publisher>
    <b:City>Rome</b:City>
    <b:RefOrder>2</b:RefOrder>
  </b:Source>
  <b:Source>
    <b:Tag>Dix02</b:Tag>
    <b:SourceType>JournalArticle</b:SourceType>
    <b:Guid>{4F4B065A-F708-4367-A7B6-0A37496FF921}</b:Guid>
    <b:Title>Explaining a dynamic CGE simulation with a trade-focused BOTE analysis: The effects of eCommerce on Australia</b:Title>
    <b:Year>2002</b:Year>
    <b:Author>
      <b:Author>
        <b:NameList>
          <b:Person>
            <b:Last>Dixon</b:Last>
            <b:First>PD</b:First>
          </b:Person>
          <b:Person>
            <b:Last>Rimmer</b:Last>
            <b:First>MT</b:First>
          </b:Person>
        </b:NameList>
      </b:Author>
    </b:Author>
    <b:JournalName>Centre of Policy Studies Working Paper Series</b:JournalName>
    <b:Pages>29</b:Pages>
    <b:RefOrder>1</b:RefOrder>
  </b:Source>
</b:Sources>
</file>

<file path=customXml/itemProps1.xml><?xml version="1.0" encoding="utf-8"?>
<ds:datastoreItem xmlns:ds="http://schemas.openxmlformats.org/officeDocument/2006/customXml" ds:itemID="{C1F90FD7-C175-42E2-8E7C-94A890161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36</Pages>
  <Words>12030</Words>
  <Characters>60637</Characters>
  <Application>Microsoft Office Word</Application>
  <DocSecurity>0</DocSecurity>
  <Lines>3031</Lines>
  <Paragraphs>886</Paragraphs>
  <ScaleCrop>false</ScaleCrop>
  <HeadingPairs>
    <vt:vector size="2" baseType="variant">
      <vt:variant>
        <vt:lpstr>Title</vt:lpstr>
      </vt:variant>
      <vt:variant>
        <vt:i4>1</vt:i4>
      </vt:variant>
    </vt:vector>
  </HeadingPairs>
  <TitlesOfParts>
    <vt:vector size="1" baseType="lpstr">
      <vt:lpstr/>
    </vt:vector>
  </TitlesOfParts>
  <Company>University of Pretoria</Company>
  <LinksUpToDate>false</LinksUpToDate>
  <CharactersWithSpaces>71781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JVH</cp:lastModifiedBy>
  <cp:revision>2</cp:revision>
  <dcterms:created xsi:type="dcterms:W3CDTF">2018-09-18T12:00:00Z</dcterms:created>
  <dcterms:modified xsi:type="dcterms:W3CDTF">2018-09-18T12:00:00Z</dcterms:modified>
</cp:coreProperties>
</file>