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696" w:rsidRDefault="004C5696" w:rsidP="004C5696">
      <w:bookmarkStart w:id="0" w:name="_Toc5307860"/>
    </w:p>
    <w:p w:rsidR="004C5696" w:rsidRPr="004C5696" w:rsidRDefault="004E2BA0" w:rsidP="004C5696">
      <w:pPr>
        <w:pStyle w:val="Heading1"/>
        <w:numPr>
          <w:ilvl w:val="0"/>
          <w:numId w:val="0"/>
        </w:numPr>
        <w:ind w:left="432"/>
        <w:jc w:val="center"/>
        <w:rPr>
          <w:b/>
        </w:rPr>
      </w:pPr>
      <w:r>
        <w:rPr>
          <w:b/>
        </w:rPr>
        <w:t>Modelling the Progressive</w:t>
      </w:r>
      <w:r w:rsidR="004C5696" w:rsidRPr="004C5696">
        <w:rPr>
          <w:b/>
        </w:rPr>
        <w:t xml:space="preserve"> Trade Agenda</w:t>
      </w:r>
    </w:p>
    <w:p w:rsidR="004C5696" w:rsidRDefault="004C5696" w:rsidP="004C5696">
      <w:pPr>
        <w:spacing w:after="0" w:line="240" w:lineRule="auto"/>
        <w:jc w:val="center"/>
        <w:rPr>
          <w:lang w:val="en-GB" w:eastAsia="en-CA"/>
        </w:rPr>
      </w:pPr>
      <w:r>
        <w:rPr>
          <w:lang w:val="en-GB" w:eastAsia="en-CA"/>
        </w:rPr>
        <w:t>By Shenjie Chen</w:t>
      </w:r>
    </w:p>
    <w:p w:rsidR="004C5696" w:rsidRDefault="004C5696" w:rsidP="004C5696">
      <w:pPr>
        <w:spacing w:after="0" w:line="240" w:lineRule="auto"/>
        <w:jc w:val="center"/>
        <w:rPr>
          <w:lang w:val="en-GB" w:eastAsia="en-CA"/>
        </w:rPr>
      </w:pPr>
      <w:r>
        <w:rPr>
          <w:lang w:val="en-GB" w:eastAsia="en-CA"/>
        </w:rPr>
        <w:t xml:space="preserve">Global Affairs Canada </w:t>
      </w:r>
    </w:p>
    <w:p w:rsidR="004C5696" w:rsidRDefault="004C5696" w:rsidP="004C5696">
      <w:pPr>
        <w:spacing w:after="0" w:line="240" w:lineRule="auto"/>
        <w:jc w:val="center"/>
        <w:rPr>
          <w:lang w:val="en-GB" w:eastAsia="en-CA"/>
        </w:rPr>
      </w:pPr>
      <w:r>
        <w:rPr>
          <w:lang w:val="en-GB" w:eastAsia="en-CA"/>
        </w:rPr>
        <w:t xml:space="preserve">Charles Xiao </w:t>
      </w:r>
    </w:p>
    <w:p w:rsidR="00DD290C" w:rsidRDefault="00DD290C" w:rsidP="004C5696">
      <w:pPr>
        <w:spacing w:after="0" w:line="240" w:lineRule="auto"/>
        <w:jc w:val="center"/>
        <w:rPr>
          <w:lang w:val="en-GB" w:eastAsia="en-CA"/>
        </w:rPr>
      </w:pPr>
      <w:r>
        <w:rPr>
          <w:lang w:val="en-GB" w:eastAsia="en-CA"/>
        </w:rPr>
        <w:t>Infinite-Sum Modelling Inc.</w:t>
      </w:r>
    </w:p>
    <w:p w:rsidR="004C5696" w:rsidRPr="004C5696" w:rsidRDefault="004C5696" w:rsidP="004C5696">
      <w:pPr>
        <w:rPr>
          <w:lang w:val="en-GB" w:eastAsia="en-CA"/>
        </w:rPr>
      </w:pPr>
    </w:p>
    <w:p w:rsidR="004C5696" w:rsidRDefault="004E2BA0" w:rsidP="005114D4">
      <w:pPr>
        <w:pStyle w:val="Heading1"/>
      </w:pPr>
      <w:r>
        <w:t>The Progressive</w:t>
      </w:r>
      <w:r w:rsidR="004C5696">
        <w:t xml:space="preserve"> Trade Agenda: Objectives and Approaches</w:t>
      </w:r>
      <w:bookmarkEnd w:id="0"/>
    </w:p>
    <w:p w:rsidR="004C5696" w:rsidRPr="003046F5" w:rsidRDefault="004C5696" w:rsidP="004C5696">
      <w:pPr>
        <w:rPr>
          <w:lang w:val="en-GB"/>
        </w:rPr>
      </w:pPr>
    </w:p>
    <w:p w:rsidR="00D40B5C" w:rsidRDefault="00D40B5C" w:rsidP="00D40B5C">
      <w:r>
        <w:t xml:space="preserve">Canada’s PTA was articulated by the government as a response to a widely accepted view that the gains from globalization have not been fairly shared, that there have been losers as well as winners, and that distributional equity, environmental sustainability, and preservation of the ability of governments to regulate in the public interest needed to be addressed in a comprehensive and coherent manner in order to safeguard Canada’s consensus in favour of free trade and investment and the embrace of openness to the world more generally on which Canada’s prosperity depends. </w:t>
      </w:r>
    </w:p>
    <w:p w:rsidR="00D40B5C" w:rsidRDefault="00D40B5C" w:rsidP="00D40B5C">
      <w:r>
        <w:t>These concerns about the sustainability of trade and openness are also widely shared outside of Canada’s borders, as the 2017 Business Report to the G20 makes clear:</w:t>
      </w:r>
    </w:p>
    <w:p w:rsidR="00D40B5C" w:rsidRDefault="00D40B5C" w:rsidP="00D40B5C">
      <w:r>
        <w:t>“While the last 20 years saw the largest reduction in extreme poverty and inequality among nations in history, inequality in many nations has increased, often dramatically. Wages, meanwhile, remained largely stagnant. Many blame international commerce, providing ample breeding ground for populist sentiment that espouse protectionist narratives as an easy solution to bring back national prosperity … Trade is an engine for job growth and welfare. But if we do not address the public concerns we will not gain sufficient support for open and inclusive trade policy.” (B20, 2017).</w:t>
      </w:r>
    </w:p>
    <w:p w:rsidR="00D40B5C" w:rsidRDefault="00D40B5C" w:rsidP="00D40B5C">
      <w:pPr>
        <w:ind w:right="284"/>
      </w:pPr>
      <w:r w:rsidRPr="00D40B5C">
        <w:t>The PTA was substantially elaborated on in the government’s response (Freeland 2017) to the Report of the Standing Committee on International Trade on the Trans-Pacific Partnership (CIIT 2017):</w:t>
      </w:r>
    </w:p>
    <w:p w:rsidR="00D40B5C" w:rsidRDefault="00D40B5C" w:rsidP="00D40B5C">
      <w:pPr>
        <w:pStyle w:val="ListParagraph"/>
        <w:numPr>
          <w:ilvl w:val="0"/>
          <w:numId w:val="34"/>
        </w:numPr>
        <w:ind w:right="284"/>
      </w:pPr>
      <w:r>
        <w:t>P</w:t>
      </w:r>
      <w:r w:rsidR="003046F5">
        <w:t>rogressive</w:t>
      </w:r>
      <w:r w:rsidR="004C5696" w:rsidRPr="00D27460">
        <w:t xml:space="preserve"> trade means doing everything we can to ensure that all segments of society can take advantage of the opportunities that flow from trade and investment – wit</w:t>
      </w:r>
      <w:r w:rsidR="004C5696">
        <w:t>h a particular focus on women, i</w:t>
      </w:r>
      <w:r w:rsidR="004C5696" w:rsidRPr="00D27460">
        <w:t>ndigenous peoples, youth, and small- and medium-sized enterprises (SMEs). It also means making sure the gains from trade are more sustainably and broadly shared.</w:t>
      </w:r>
    </w:p>
    <w:p w:rsidR="00D40B5C" w:rsidRDefault="00D40B5C" w:rsidP="00D40B5C">
      <w:pPr>
        <w:pStyle w:val="ListParagraph"/>
        <w:numPr>
          <w:ilvl w:val="0"/>
          <w:numId w:val="34"/>
        </w:numPr>
        <w:ind w:right="284"/>
      </w:pPr>
      <w:r>
        <w:t>T</w:t>
      </w:r>
      <w:r w:rsidR="003046F5">
        <w:t>he progressive</w:t>
      </w:r>
      <w:r w:rsidR="004C5696" w:rsidRPr="00D27460">
        <w:t xml:space="preserve"> trade agenda translates into strong provisions in trade agreements in important areas such as worker’s rights, environment protection, gender equality and </w:t>
      </w:r>
      <w:r w:rsidR="004C5696" w:rsidRPr="00D27460">
        <w:lastRenderedPageBreak/>
        <w:t>reinforcing the continued right of governments to regulate in the public interest. Canada pursues, and will continue to pursue, these types of provisions in our bilateral, regional and multilateral trade initiatives.</w:t>
      </w:r>
    </w:p>
    <w:p w:rsidR="00D40B5C" w:rsidRDefault="00D40B5C" w:rsidP="00D40B5C">
      <w:pPr>
        <w:pStyle w:val="ListParagraph"/>
        <w:ind w:right="284"/>
      </w:pPr>
    </w:p>
    <w:p w:rsidR="00D40B5C" w:rsidRDefault="004C5696" w:rsidP="00D40B5C">
      <w:pPr>
        <w:pStyle w:val="ListParagraph"/>
        <w:numPr>
          <w:ilvl w:val="0"/>
          <w:numId w:val="34"/>
        </w:numPr>
        <w:ind w:right="284"/>
      </w:pPr>
      <w:r w:rsidRPr="00D27460">
        <w:t>In addition, the progressive trade agenda means an open and transparent process, and maintaining an ongoing dialogue with a broad range of</w:t>
      </w:r>
      <w:r w:rsidR="003046F5">
        <w:t xml:space="preserve"> civil society and other </w:t>
      </w:r>
      <w:r w:rsidRPr="00D27460">
        <w:t>stakeholders, including small and medium-sized businesses, women-owned enterprises, non-governmental organizations, and Indigenous peoples and northern communities.</w:t>
      </w:r>
    </w:p>
    <w:p w:rsidR="00D40B5C" w:rsidRDefault="00D40B5C" w:rsidP="00D40B5C">
      <w:pPr>
        <w:pStyle w:val="ListParagraph"/>
      </w:pPr>
    </w:p>
    <w:p w:rsidR="004C5696" w:rsidRPr="00D27460" w:rsidRDefault="004C5696" w:rsidP="00D40B5C">
      <w:pPr>
        <w:pStyle w:val="ListParagraph"/>
        <w:numPr>
          <w:ilvl w:val="0"/>
          <w:numId w:val="34"/>
        </w:numPr>
        <w:ind w:right="284"/>
      </w:pPr>
      <w:r w:rsidRPr="00D27460">
        <w:t>This includes an appropriate level of transparency for negotiations and related activities. It also means the promotion and communication of the benefits of trade and investment, and helping to create jobs for the middle class.</w:t>
      </w:r>
    </w:p>
    <w:p w:rsidR="004C5696" w:rsidRDefault="003046F5" w:rsidP="004C5696">
      <w:r>
        <w:t>In addition,</w:t>
      </w:r>
      <w:r w:rsidR="004C5696" w:rsidRPr="00722EBD">
        <w:t xml:space="preserve"> the PTA might encompass</w:t>
      </w:r>
      <w:r w:rsidR="004C5696">
        <w:t xml:space="preserve"> </w:t>
      </w:r>
      <w:r w:rsidR="004C5696" w:rsidRPr="00722EBD">
        <w:t>such issues as human rights, child labour, anti-corruption</w:t>
      </w:r>
      <w:r w:rsidR="004C5696">
        <w:t>,</w:t>
      </w:r>
      <w:r w:rsidR="004C5696" w:rsidRPr="00722EBD">
        <w:t xml:space="preserve"> and corporate social responsibility </w:t>
      </w:r>
      <w:r w:rsidR="004C5696">
        <w:t xml:space="preserve">(CSR) </w:t>
      </w:r>
      <w:r w:rsidR="004C5696" w:rsidRPr="00722EBD">
        <w:t xml:space="preserve">in </w:t>
      </w:r>
      <w:r w:rsidR="004C5696">
        <w:t xml:space="preserve">trade negotiations </w:t>
      </w:r>
      <w:r w:rsidR="004C5696" w:rsidRPr="00722EBD">
        <w:t xml:space="preserve">with countries where failure to address </w:t>
      </w:r>
      <w:r w:rsidR="004C5696">
        <w:t>these</w:t>
      </w:r>
      <w:r w:rsidR="004C5696" w:rsidRPr="00722EBD">
        <w:t xml:space="preserve"> issues would provok</w:t>
      </w:r>
      <w:r w:rsidR="004C5696">
        <w:t xml:space="preserve">e strong </w:t>
      </w:r>
      <w:r w:rsidR="004C5696" w:rsidRPr="00722EBD">
        <w:t>opposition</w:t>
      </w:r>
      <w:r w:rsidR="004C5696">
        <w:t xml:space="preserve"> in Canada, jeopardizing any such deal</w:t>
      </w:r>
      <w:r w:rsidR="004C5696" w:rsidRPr="00722EBD">
        <w:t>.</w:t>
      </w:r>
      <w:r w:rsidR="004C5696">
        <w:t>”</w:t>
      </w:r>
      <w:r w:rsidR="004C5696" w:rsidRPr="00722EBD">
        <w:t xml:space="preserve"> </w:t>
      </w:r>
    </w:p>
    <w:p w:rsidR="00D40B5C" w:rsidRDefault="00D40B5C" w:rsidP="00D40B5C">
      <w:r w:rsidRPr="00D40B5C">
        <w:t xml:space="preserve">Canada’s adoption of the PTA in response to these concerns is in line with the work on inclusive trade at the international level:  inclusive trade is described as meaning “building a system where the benefits are shared more widely [by] entrepreneurs, SMEs, women, and marginalised groups in all economies” (Azevado, 2016). </w:t>
      </w:r>
      <w:bookmarkStart w:id="1" w:name="_Toc5307862"/>
    </w:p>
    <w:bookmarkEnd w:id="1"/>
    <w:p w:rsidR="004C5696" w:rsidRDefault="004C5696" w:rsidP="004C5696">
      <w:pPr>
        <w:spacing w:after="160" w:line="259" w:lineRule="auto"/>
      </w:pPr>
      <w:r>
        <w:t xml:space="preserve">To summarize, the PTA can be situated as part of a broad mainstream international effort to improve trade governance to preserve support for an open trade system by making it more inclusive and promoting a better sharing of the benefits.  The elements of the PTA are consistent with the framing of inclusive trade by the major international institutions. And practice has been established for systematic review of trade agreements against the issues addressed by the PTA. </w:t>
      </w:r>
    </w:p>
    <w:p w:rsidR="004C5696" w:rsidRPr="00722EBD" w:rsidRDefault="004C5696" w:rsidP="004C5696">
      <w:r>
        <w:t xml:space="preserve">The PTA may, however, be distinguished in its application to Canada’s particular circumstances. For example, the inclusive trade agenda being advanced by the major international institutions has a strong emphasis on poverty reduction, reflecting the focus on lower-income countries. In Canada, the PTA has a strong focus on middle class jobs. </w:t>
      </w:r>
      <w:r w:rsidRPr="00722EBD">
        <w:t xml:space="preserve">In </w:t>
      </w:r>
      <w:r>
        <w:t xml:space="preserve">Prime Minister Trudeau’s mandate letter to International Trade </w:t>
      </w:r>
      <w:r w:rsidRPr="00722EBD">
        <w:t>Minister</w:t>
      </w:r>
      <w:r>
        <w:t xml:space="preserve"> </w:t>
      </w:r>
      <w:r w:rsidRPr="00242A78">
        <w:rPr>
          <w:rStyle w:val="Hyperlink"/>
          <w:rFonts w:eastAsia="Times New Roman"/>
        </w:rPr>
        <w:t>François-Philippe Champagne</w:t>
      </w:r>
      <w:r w:rsidRPr="00722EBD">
        <w:t xml:space="preserve">, </w:t>
      </w:r>
      <w:r>
        <w:t>t</w:t>
      </w:r>
      <w:r w:rsidRPr="00722EBD">
        <w:t xml:space="preserve">he </w:t>
      </w:r>
      <w:r>
        <w:t>m</w:t>
      </w:r>
      <w:r w:rsidRPr="00722EBD">
        <w:t xml:space="preserve">inister </w:t>
      </w:r>
      <w:r>
        <w:t>was charged with</w:t>
      </w:r>
      <w:r w:rsidRPr="00722EBD">
        <w:t xml:space="preserve"> “[advanc</w:t>
      </w:r>
      <w:r>
        <w:t>ing</w:t>
      </w:r>
      <w:r w:rsidRPr="00722EBD">
        <w:t>] Canada’s progressive trade agenda in order to create jobs for the middle class and those working hard to join it</w:t>
      </w:r>
      <w:r>
        <w:t>”</w:t>
      </w:r>
      <w:r w:rsidRPr="00722EBD">
        <w:t xml:space="preserve"> (Office of the Prime Minister</w:t>
      </w:r>
      <w:r>
        <w:t>, 2017</w:t>
      </w:r>
      <w:r w:rsidRPr="00722EBD">
        <w:t>).</w:t>
      </w:r>
    </w:p>
    <w:p w:rsidR="004C5696" w:rsidRDefault="004C5696" w:rsidP="004C5696">
      <w:pPr>
        <w:spacing w:after="160" w:line="259" w:lineRule="auto"/>
        <w:jc w:val="left"/>
        <w:rPr>
          <w:rFonts w:eastAsiaTheme="majorEastAsia" w:cs="Times New Roman"/>
          <w:bCs/>
          <w:noProof/>
          <w:color w:val="000000" w:themeColor="text1"/>
          <w:sz w:val="32"/>
          <w:szCs w:val="32"/>
          <w:lang w:val="en-GB" w:eastAsia="en-CA"/>
        </w:rPr>
      </w:pPr>
      <w:r>
        <w:br w:type="page"/>
      </w:r>
    </w:p>
    <w:p w:rsidR="004C5696" w:rsidRPr="00231569" w:rsidRDefault="004C5696" w:rsidP="004C5696">
      <w:pPr>
        <w:pStyle w:val="Heading1"/>
        <w:rPr>
          <w:lang w:val="en-CA"/>
        </w:rPr>
      </w:pPr>
      <w:bookmarkStart w:id="2" w:name="_Toc5307869"/>
      <w:r>
        <w:lastRenderedPageBreak/>
        <w:t>Quantitive Modelling Framework</w:t>
      </w:r>
      <w:bookmarkEnd w:id="2"/>
    </w:p>
    <w:p w:rsidR="004C5696" w:rsidRDefault="004C5696" w:rsidP="004C5696">
      <w:r>
        <w:t>This</w:t>
      </w:r>
      <w:r w:rsidR="008E6F1C">
        <w:t xml:space="preserve"> section provides an</w:t>
      </w:r>
      <w:r>
        <w:t xml:space="preserve"> overview of the modelling me</w:t>
      </w:r>
      <w:r w:rsidR="008E6F1C">
        <w:t>thodology used to assess the progressive elements of trade agreement: labour, gender, and age</w:t>
      </w:r>
      <w:r>
        <w:t xml:space="preserve">. </w:t>
      </w:r>
    </w:p>
    <w:p w:rsidR="004C5696" w:rsidRDefault="008E6F1C" w:rsidP="004C5696">
      <w:pPr>
        <w:pStyle w:val="Heading2"/>
      </w:pPr>
      <w:bookmarkStart w:id="3" w:name="_Toc5307871"/>
      <w:r>
        <w:t>The GTAP-Labour Market</w:t>
      </w:r>
      <w:r w:rsidR="004C5696">
        <w:t xml:space="preserve"> </w:t>
      </w:r>
      <w:bookmarkEnd w:id="3"/>
      <w:r>
        <w:t>Module</w:t>
      </w:r>
    </w:p>
    <w:p w:rsidR="005D1A9F" w:rsidRDefault="005D1A9F" w:rsidP="005D1A9F">
      <w:pPr>
        <w:pStyle w:val="Heading3"/>
        <w:numPr>
          <w:ilvl w:val="0"/>
          <w:numId w:val="0"/>
        </w:numPr>
        <w:rPr>
          <w:rFonts w:eastAsiaTheme="minorEastAsia" w:cstheme="minorBidi"/>
          <w:b w:val="0"/>
          <w:bCs w:val="0"/>
          <w:noProof w:val="0"/>
          <w:color w:val="auto"/>
        </w:rPr>
      </w:pPr>
    </w:p>
    <w:p w:rsidR="004C5696" w:rsidRPr="005D1A9F" w:rsidRDefault="004C5696" w:rsidP="005D1A9F">
      <w:pPr>
        <w:pStyle w:val="Heading3"/>
        <w:numPr>
          <w:ilvl w:val="0"/>
          <w:numId w:val="0"/>
        </w:numPr>
        <w:rPr>
          <w:b w:val="0"/>
        </w:rPr>
      </w:pPr>
      <w:r w:rsidRPr="005D1A9F">
        <w:rPr>
          <w:b w:val="0"/>
        </w:rPr>
        <w:t>The CGE</w:t>
      </w:r>
      <w:r w:rsidR="008E6F1C" w:rsidRPr="005D1A9F">
        <w:rPr>
          <w:b w:val="0"/>
        </w:rPr>
        <w:t xml:space="preserve"> model used to assess the progressive trade agenda builds on a GTAP dynamic model</w:t>
      </w:r>
      <w:r w:rsidRPr="005D1A9F">
        <w:rPr>
          <w:b w:val="0"/>
        </w:rPr>
        <w:t xml:space="preserve"> by adding a fully articulated labour supply module.</w:t>
      </w:r>
      <w:r w:rsidR="005D1A9F" w:rsidRPr="005D1A9F">
        <w:rPr>
          <w:b w:val="0"/>
        </w:rPr>
        <w:t xml:space="preserve"> </w:t>
      </w:r>
      <w:r w:rsidR="008E6F1C" w:rsidRPr="005D1A9F">
        <w:rPr>
          <w:b w:val="0"/>
        </w:rPr>
        <w:t>The underlying GTAP dynamic</w:t>
      </w:r>
      <w:r w:rsidRPr="005D1A9F">
        <w:rPr>
          <w:b w:val="0"/>
        </w:rPr>
        <w:t xml:space="preserve"> model is a dynamic model that modifies the standard GTAP framework by having two investors for each sector and each region: one domestic investor and one foreign investor. By contrast, the GTAP database has only one composite investor for each region-sector. The characteristics of the foreign-owned investor are derived from firm-level data from Standard &amp; Poor’s Capital IQ database, aggregated to GTAP sectors. Consistent with the empirical findings from the heterogeneous firms literature, foreign-owned firms tend to have higher returns on capital.  This higher return is explained by a tax on foreign direct investment (FDI) that restricts FDI inflows.  FDI flows respond to changes in rates of return across economies due to policy shocks such as the </w:t>
      </w:r>
      <w:r w:rsidR="00310A1B">
        <w:rPr>
          <w:b w:val="0"/>
        </w:rPr>
        <w:t>AGREEMENT</w:t>
      </w:r>
      <w:r w:rsidRPr="005D1A9F">
        <w:rPr>
          <w:b w:val="0"/>
        </w:rPr>
        <w:t xml:space="preserve">. Accordingly, this feature allows the model to capture the impact of </w:t>
      </w:r>
      <w:r w:rsidR="00310A1B">
        <w:rPr>
          <w:b w:val="0"/>
        </w:rPr>
        <w:t>AGREEMENT</w:t>
      </w:r>
      <w:r w:rsidRPr="005D1A9F">
        <w:rPr>
          <w:b w:val="0"/>
        </w:rPr>
        <w:t xml:space="preserve"> measures that affect investment in terms of liberalizing or restricting FDI flows.</w:t>
      </w:r>
    </w:p>
    <w:p w:rsidR="005D1A9F" w:rsidRDefault="005D1A9F" w:rsidP="004C5696"/>
    <w:p w:rsidR="005D1A9F" w:rsidRDefault="005D1A9F" w:rsidP="005D1A9F">
      <w:pPr>
        <w:pStyle w:val="Heading3"/>
      </w:pPr>
      <w:r>
        <w:t>The data framework of the labour market module</w:t>
      </w:r>
    </w:p>
    <w:p w:rsidR="005D1A9F" w:rsidRPr="005D1A9F" w:rsidRDefault="005D1A9F" w:rsidP="005D1A9F">
      <w:pPr>
        <w:rPr>
          <w:lang w:val="en-GB" w:eastAsia="en-CA"/>
        </w:rPr>
      </w:pPr>
    </w:p>
    <w:p w:rsidR="004C5696" w:rsidRDefault="004C5696" w:rsidP="004C5696">
      <w:r>
        <w:t>The standard GTAP database includes labour input in two categories: skilled and unskilled labour.  Both types of labour are mobile across sectors (but not internationally). Poli</w:t>
      </w:r>
      <w:r w:rsidR="008E6F1C">
        <w:t>cy shocks</w:t>
      </w:r>
      <w:r>
        <w:t xml:space="preserve"> drive changes in demand for the output of each sector, which in turn drive changes for each type of labour input across sectors.  The market-clearing wage for each type of labour applies across all sectors.  </w:t>
      </w:r>
    </w:p>
    <w:p w:rsidR="005D1A9F" w:rsidRDefault="008E6F1C" w:rsidP="004C5696">
      <w:r>
        <w:t>The GTAP-</w:t>
      </w:r>
      <w:r w:rsidR="004C5696">
        <w:t>LAB mo</w:t>
      </w:r>
      <w:r>
        <w:t>del</w:t>
      </w:r>
      <w:r w:rsidR="004C5696">
        <w:t xml:space="preserve"> substantially elaborates the labour market by introducing greater differentiation of labour skills and professions by sector, and adds in differentiation of the labour force by age and sex.  Further, it captures the movement of workers within sectors across professions, and into and out of the labour force, including into unemployment, into retirement as the labour force ages, and in and out of the labour force in response to changing wage rates. Accordingly, it sheds much greater light on the labour market dynamics of a trade agreement by allowing direct assessment of impacts in dimensions such as age and sex for which previous modelling frameworks allowed o</w:t>
      </w:r>
      <w:r w:rsidR="005D1A9F">
        <w:t>nly indirect inferences. Table 1</w:t>
      </w:r>
      <w:r w:rsidR="004C5696">
        <w:t xml:space="preserve"> sets out the categories into which the labour force is assigned. There are 10 possible categories: eight professional categories, together with unemployment and not being in the labour force</w:t>
      </w:r>
    </w:p>
    <w:p w:rsidR="005D1A9F" w:rsidRDefault="005D1A9F" w:rsidP="004C5696"/>
    <w:p w:rsidR="004C5696" w:rsidRDefault="005D1A9F" w:rsidP="004C5696">
      <w:pPr>
        <w:pStyle w:val="Caption"/>
      </w:pPr>
      <w:r>
        <w:lastRenderedPageBreak/>
        <w:t>Table 1</w:t>
      </w:r>
      <w:r w:rsidR="004C5696">
        <w:t>: Labour Market Categories for the GTAP-FDI-LAB Model</w:t>
      </w:r>
    </w:p>
    <w:tbl>
      <w:tblPr>
        <w:tblStyle w:val="GridTable1LightAccent5"/>
        <w:tblW w:w="9422" w:type="dxa"/>
        <w:tblLook w:val="04A0" w:firstRow="1" w:lastRow="0" w:firstColumn="1" w:lastColumn="0" w:noHBand="0" w:noVBand="1"/>
      </w:tblPr>
      <w:tblGrid>
        <w:gridCol w:w="1922"/>
        <w:gridCol w:w="7500"/>
      </w:tblGrid>
      <w:tr w:rsidR="004C5696" w:rsidRPr="00C0693D" w:rsidTr="004C5696">
        <w:trPr>
          <w:cnfStyle w:val="100000000000" w:firstRow="1" w:lastRow="0" w:firstColumn="0" w:lastColumn="0" w:oddVBand="0" w:evenVBand="0" w:oddHBand="0" w:evenHBand="0" w:firstRowFirstColumn="0" w:firstRowLastColumn="0" w:lastRowFirstColumn="0" w:lastRowLastColumn="0"/>
          <w:trHeight w:val="124"/>
        </w:trPr>
        <w:tc>
          <w:tcPr>
            <w:cnfStyle w:val="001000000000" w:firstRow="0" w:lastRow="0" w:firstColumn="1" w:lastColumn="0" w:oddVBand="0" w:evenVBand="0" w:oddHBand="0" w:evenHBand="0" w:firstRowFirstColumn="0" w:firstRowLastColumn="0" w:lastRowFirstColumn="0" w:lastRowLastColumn="0"/>
            <w:tcW w:w="1922" w:type="dxa"/>
          </w:tcPr>
          <w:p w:rsidR="004C5696" w:rsidRPr="00C0693D" w:rsidRDefault="004C5696" w:rsidP="004C5696">
            <w:pPr>
              <w:rPr>
                <w:rFonts w:cs="Times New Roman"/>
                <w:sz w:val="20"/>
                <w:szCs w:val="20"/>
              </w:rPr>
            </w:pPr>
            <w:r w:rsidRPr="00C0693D">
              <w:rPr>
                <w:rFonts w:cs="Times New Roman"/>
                <w:sz w:val="20"/>
                <w:szCs w:val="20"/>
              </w:rPr>
              <w:t>Indicator</w:t>
            </w:r>
          </w:p>
        </w:tc>
        <w:tc>
          <w:tcPr>
            <w:tcW w:w="7500" w:type="dxa"/>
          </w:tcPr>
          <w:p w:rsidR="004C5696" w:rsidRPr="00C0693D" w:rsidRDefault="004C5696" w:rsidP="004C5696">
            <w:pPr>
              <w:pStyle w:val="Default"/>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C0693D">
              <w:rPr>
                <w:rFonts w:ascii="Times New Roman" w:hAnsi="Times New Roman" w:cs="Times New Roman"/>
                <w:color w:val="auto"/>
                <w:sz w:val="20"/>
                <w:szCs w:val="20"/>
              </w:rPr>
              <w:t>Categories</w:t>
            </w:r>
          </w:p>
        </w:tc>
      </w:tr>
      <w:tr w:rsidR="004C5696" w:rsidRPr="00C0693D" w:rsidTr="004C5696">
        <w:trPr>
          <w:trHeight w:val="265"/>
        </w:trPr>
        <w:tc>
          <w:tcPr>
            <w:cnfStyle w:val="001000000000" w:firstRow="0" w:lastRow="0" w:firstColumn="1" w:lastColumn="0" w:oddVBand="0" w:evenVBand="0" w:oddHBand="0" w:evenHBand="0" w:firstRowFirstColumn="0" w:firstRowLastColumn="0" w:lastRowFirstColumn="0" w:lastRowLastColumn="0"/>
            <w:tcW w:w="1922" w:type="dxa"/>
          </w:tcPr>
          <w:p w:rsidR="004C5696" w:rsidRPr="00C0693D" w:rsidRDefault="004C5696" w:rsidP="004C5696">
            <w:pPr>
              <w:rPr>
                <w:rFonts w:cs="Times New Roman"/>
                <w:b w:val="0"/>
                <w:sz w:val="20"/>
                <w:szCs w:val="20"/>
              </w:rPr>
            </w:pPr>
            <w:r w:rsidRPr="00C0693D">
              <w:rPr>
                <w:rFonts w:cs="Times New Roman"/>
                <w:b w:val="0"/>
                <w:sz w:val="20"/>
                <w:szCs w:val="20"/>
              </w:rPr>
              <w:t>Labour market Status</w:t>
            </w:r>
          </w:p>
        </w:tc>
        <w:tc>
          <w:tcPr>
            <w:tcW w:w="7500" w:type="dxa"/>
          </w:tcPr>
          <w:p w:rsidR="004C5696" w:rsidRDefault="004C5696" w:rsidP="004C5696">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E12223">
              <w:rPr>
                <w:rFonts w:ascii="Times New Roman" w:hAnsi="Times New Roman" w:cs="Times New Roman"/>
                <w:color w:val="auto"/>
                <w:sz w:val="20"/>
                <w:szCs w:val="20"/>
              </w:rPr>
              <w:t>(1</w:t>
            </w:r>
            <w:r>
              <w:rPr>
                <w:rFonts w:ascii="Times New Roman" w:hAnsi="Times New Roman" w:cs="Times New Roman"/>
                <w:color w:val="auto"/>
                <w:sz w:val="20"/>
                <w:szCs w:val="20"/>
              </w:rPr>
              <w:t xml:space="preserve">) </w:t>
            </w:r>
            <w:r w:rsidRPr="006E0311">
              <w:rPr>
                <w:rFonts w:ascii="Times New Roman" w:hAnsi="Times New Roman" w:cs="Times New Roman"/>
                <w:color w:val="auto"/>
                <w:sz w:val="20"/>
                <w:szCs w:val="20"/>
              </w:rPr>
              <w:t>managerial</w:t>
            </w:r>
            <w:r>
              <w:rPr>
                <w:rFonts w:ascii="Times New Roman" w:hAnsi="Times New Roman" w:cs="Times New Roman"/>
                <w:color w:val="auto"/>
                <w:sz w:val="20"/>
                <w:szCs w:val="20"/>
              </w:rPr>
              <w:t xml:space="preserve">, (2) </w:t>
            </w:r>
            <w:r w:rsidRPr="006E0311">
              <w:rPr>
                <w:rFonts w:ascii="Times New Roman" w:hAnsi="Times New Roman" w:cs="Times New Roman"/>
                <w:color w:val="auto"/>
                <w:sz w:val="20"/>
                <w:szCs w:val="20"/>
              </w:rPr>
              <w:t>professional</w:t>
            </w:r>
            <w:r>
              <w:rPr>
                <w:rFonts w:ascii="Times New Roman" w:hAnsi="Times New Roman" w:cs="Times New Roman"/>
                <w:color w:val="auto"/>
                <w:sz w:val="20"/>
                <w:szCs w:val="20"/>
              </w:rPr>
              <w:t xml:space="preserve">, (3) </w:t>
            </w:r>
            <w:r w:rsidRPr="006E0311">
              <w:rPr>
                <w:rFonts w:ascii="Times New Roman" w:hAnsi="Times New Roman" w:cs="Times New Roman"/>
                <w:color w:val="auto"/>
                <w:sz w:val="20"/>
                <w:szCs w:val="20"/>
              </w:rPr>
              <w:t>technical</w:t>
            </w:r>
            <w:r>
              <w:rPr>
                <w:rFonts w:ascii="Times New Roman" w:hAnsi="Times New Roman" w:cs="Times New Roman"/>
                <w:color w:val="auto"/>
                <w:sz w:val="20"/>
                <w:szCs w:val="20"/>
              </w:rPr>
              <w:t xml:space="preserve">, (4) community and personal </w:t>
            </w:r>
            <w:r w:rsidRPr="006E0311">
              <w:rPr>
                <w:rFonts w:ascii="Times New Roman" w:hAnsi="Times New Roman" w:cs="Times New Roman"/>
                <w:color w:val="auto"/>
                <w:sz w:val="20"/>
                <w:szCs w:val="20"/>
              </w:rPr>
              <w:t>services</w:t>
            </w:r>
            <w:r>
              <w:rPr>
                <w:rFonts w:ascii="Times New Roman" w:hAnsi="Times New Roman" w:cs="Times New Roman"/>
                <w:color w:val="auto"/>
                <w:sz w:val="20"/>
                <w:szCs w:val="20"/>
              </w:rPr>
              <w:t>,</w:t>
            </w:r>
          </w:p>
          <w:p w:rsidR="004C5696" w:rsidRPr="00C0693D" w:rsidRDefault="004C5696" w:rsidP="004C5696">
            <w:pPr>
              <w:pStyle w:val="Defaul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Pr>
                <w:rFonts w:ascii="Times New Roman" w:hAnsi="Times New Roman" w:cs="Times New Roman"/>
                <w:color w:val="auto"/>
                <w:sz w:val="20"/>
                <w:szCs w:val="20"/>
              </w:rPr>
              <w:t xml:space="preserve">(5) </w:t>
            </w:r>
            <w:r w:rsidRPr="006E0311">
              <w:rPr>
                <w:rFonts w:ascii="Times New Roman" w:hAnsi="Times New Roman" w:cs="Times New Roman"/>
                <w:color w:val="auto"/>
                <w:sz w:val="20"/>
                <w:szCs w:val="20"/>
              </w:rPr>
              <w:t>clerical</w:t>
            </w:r>
            <w:r>
              <w:rPr>
                <w:rFonts w:ascii="Times New Roman" w:hAnsi="Times New Roman" w:cs="Times New Roman"/>
                <w:color w:val="auto"/>
                <w:sz w:val="20"/>
                <w:szCs w:val="20"/>
              </w:rPr>
              <w:t xml:space="preserve">, (6) </w:t>
            </w:r>
            <w:r w:rsidRPr="006E0311">
              <w:rPr>
                <w:rFonts w:ascii="Times New Roman" w:hAnsi="Times New Roman" w:cs="Times New Roman"/>
                <w:color w:val="auto"/>
                <w:sz w:val="20"/>
                <w:szCs w:val="20"/>
              </w:rPr>
              <w:t>sales</w:t>
            </w:r>
            <w:r>
              <w:rPr>
                <w:rFonts w:ascii="Times New Roman" w:hAnsi="Times New Roman" w:cs="Times New Roman"/>
                <w:color w:val="auto"/>
                <w:sz w:val="20"/>
                <w:szCs w:val="20"/>
              </w:rPr>
              <w:t xml:space="preserve">, (7) </w:t>
            </w:r>
            <w:r w:rsidRPr="006E0311">
              <w:rPr>
                <w:rFonts w:ascii="Times New Roman" w:hAnsi="Times New Roman" w:cs="Times New Roman"/>
                <w:color w:val="auto"/>
                <w:sz w:val="20"/>
                <w:szCs w:val="20"/>
              </w:rPr>
              <w:t>machinery operators</w:t>
            </w:r>
            <w:r>
              <w:rPr>
                <w:rFonts w:ascii="Times New Roman" w:hAnsi="Times New Roman" w:cs="Times New Roman"/>
                <w:color w:val="auto"/>
                <w:sz w:val="20"/>
                <w:szCs w:val="20"/>
              </w:rPr>
              <w:t xml:space="preserve"> and drivers, (8) </w:t>
            </w:r>
            <w:r w:rsidRPr="006E0311">
              <w:rPr>
                <w:rFonts w:ascii="Times New Roman" w:hAnsi="Times New Roman" w:cs="Times New Roman"/>
                <w:color w:val="auto"/>
                <w:sz w:val="20"/>
                <w:szCs w:val="20"/>
              </w:rPr>
              <w:t xml:space="preserve">agricultural workers and </w:t>
            </w:r>
            <w:r>
              <w:rPr>
                <w:rFonts w:ascii="Times New Roman" w:hAnsi="Times New Roman" w:cs="Times New Roman"/>
                <w:color w:val="auto"/>
                <w:sz w:val="20"/>
                <w:szCs w:val="20"/>
              </w:rPr>
              <w:t xml:space="preserve">labourers, (9) </w:t>
            </w:r>
            <w:r w:rsidRPr="00C0693D">
              <w:rPr>
                <w:rFonts w:ascii="Times New Roman" w:hAnsi="Times New Roman" w:cs="Times New Roman"/>
                <w:color w:val="auto"/>
                <w:sz w:val="20"/>
                <w:szCs w:val="20"/>
              </w:rPr>
              <w:t>unemployed</w:t>
            </w:r>
            <w:r>
              <w:rPr>
                <w:rFonts w:ascii="Times New Roman" w:hAnsi="Times New Roman" w:cs="Times New Roman"/>
                <w:color w:val="auto"/>
                <w:sz w:val="20"/>
                <w:szCs w:val="20"/>
              </w:rPr>
              <w:t>, and (10)</w:t>
            </w:r>
            <w:r w:rsidRPr="00C0693D">
              <w:rPr>
                <w:rFonts w:ascii="Times New Roman" w:hAnsi="Times New Roman" w:cs="Times New Roman"/>
                <w:color w:val="auto"/>
                <w:sz w:val="20"/>
                <w:szCs w:val="20"/>
              </w:rPr>
              <w:t xml:space="preserve"> not in the labour force.</w:t>
            </w:r>
          </w:p>
        </w:tc>
      </w:tr>
      <w:tr w:rsidR="004C5696" w:rsidRPr="00C0693D" w:rsidTr="004C5696">
        <w:trPr>
          <w:trHeight w:val="132"/>
        </w:trPr>
        <w:tc>
          <w:tcPr>
            <w:cnfStyle w:val="001000000000" w:firstRow="0" w:lastRow="0" w:firstColumn="1" w:lastColumn="0" w:oddVBand="0" w:evenVBand="0" w:oddHBand="0" w:evenHBand="0" w:firstRowFirstColumn="0" w:firstRowLastColumn="0" w:lastRowFirstColumn="0" w:lastRowLastColumn="0"/>
            <w:tcW w:w="1922" w:type="dxa"/>
          </w:tcPr>
          <w:p w:rsidR="004C5696" w:rsidRPr="00C0693D" w:rsidRDefault="004C5696" w:rsidP="004C5696">
            <w:pPr>
              <w:rPr>
                <w:rFonts w:cs="Times New Roman"/>
                <w:b w:val="0"/>
                <w:sz w:val="20"/>
                <w:szCs w:val="20"/>
                <w:lang w:eastAsia="zh-CN"/>
              </w:rPr>
            </w:pPr>
            <w:r w:rsidRPr="00C0693D">
              <w:rPr>
                <w:rFonts w:cs="Times New Roman"/>
                <w:b w:val="0"/>
                <w:sz w:val="20"/>
                <w:szCs w:val="20"/>
                <w:lang w:eastAsia="zh-CN"/>
              </w:rPr>
              <w:t>Gender</w:t>
            </w:r>
          </w:p>
        </w:tc>
        <w:tc>
          <w:tcPr>
            <w:tcW w:w="7500" w:type="dxa"/>
          </w:tcPr>
          <w:p w:rsidR="004C5696" w:rsidRPr="00C0693D" w:rsidRDefault="004C5696" w:rsidP="004C569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C0693D">
              <w:rPr>
                <w:rFonts w:ascii="Times New Roman" w:hAnsi="Times New Roman" w:cs="Times New Roman"/>
                <w:color w:val="auto"/>
                <w:sz w:val="20"/>
                <w:szCs w:val="20"/>
              </w:rPr>
              <w:t>male and female</w:t>
            </w:r>
          </w:p>
        </w:tc>
      </w:tr>
      <w:tr w:rsidR="004C5696" w:rsidRPr="00C0693D" w:rsidTr="004C5696">
        <w:trPr>
          <w:trHeight w:val="124"/>
        </w:trPr>
        <w:tc>
          <w:tcPr>
            <w:cnfStyle w:val="001000000000" w:firstRow="0" w:lastRow="0" w:firstColumn="1" w:lastColumn="0" w:oddVBand="0" w:evenVBand="0" w:oddHBand="0" w:evenHBand="0" w:firstRowFirstColumn="0" w:firstRowLastColumn="0" w:lastRowFirstColumn="0" w:lastRowLastColumn="0"/>
            <w:tcW w:w="1922" w:type="dxa"/>
          </w:tcPr>
          <w:p w:rsidR="004C5696" w:rsidRPr="00C0693D" w:rsidRDefault="004C5696" w:rsidP="004C5696">
            <w:pPr>
              <w:rPr>
                <w:rFonts w:cs="Times New Roman"/>
                <w:b w:val="0"/>
                <w:sz w:val="20"/>
                <w:szCs w:val="20"/>
              </w:rPr>
            </w:pPr>
            <w:r w:rsidRPr="00C0693D">
              <w:rPr>
                <w:rFonts w:cs="Times New Roman"/>
                <w:b w:val="0"/>
                <w:sz w:val="20"/>
                <w:szCs w:val="20"/>
              </w:rPr>
              <w:t xml:space="preserve">Age </w:t>
            </w:r>
          </w:p>
        </w:tc>
        <w:tc>
          <w:tcPr>
            <w:tcW w:w="7500" w:type="dxa"/>
          </w:tcPr>
          <w:p w:rsidR="004C5696" w:rsidRPr="00C0693D" w:rsidRDefault="004C5696" w:rsidP="004C5696">
            <w:pPr>
              <w:pStyle w:val="Default"/>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C0693D">
              <w:rPr>
                <w:rFonts w:ascii="Times New Roman" w:hAnsi="Times New Roman" w:cs="Times New Roman"/>
                <w:color w:val="auto"/>
                <w:sz w:val="20"/>
                <w:szCs w:val="20"/>
              </w:rPr>
              <w:t xml:space="preserve">(1) 15-24; (2) 25-34; (3) 35-44; (4) 45-54; (5) 55-64; (6) 65+. </w:t>
            </w:r>
          </w:p>
        </w:tc>
      </w:tr>
    </w:tbl>
    <w:p w:rsidR="005D1A9F" w:rsidRDefault="005D1A9F" w:rsidP="004C5696">
      <w:pPr>
        <w:rPr>
          <w:sz w:val="20"/>
          <w:szCs w:val="20"/>
        </w:rPr>
      </w:pPr>
    </w:p>
    <w:p w:rsidR="004C5696" w:rsidRDefault="005D1A9F" w:rsidP="004C5696">
      <w:r>
        <w:t>Table 2</w:t>
      </w:r>
      <w:r w:rsidR="004C5696">
        <w:t xml:space="preserve"> shows the distribution of persons across the pro</w:t>
      </w:r>
      <w:r>
        <w:t>fessional fields by sex. Table 3</w:t>
      </w:r>
      <w:r w:rsidR="004C5696">
        <w:t xml:space="preserve"> breaks this down by age group.</w:t>
      </w:r>
    </w:p>
    <w:p w:rsidR="004C5696" w:rsidRDefault="004C5696" w:rsidP="004C5696">
      <w:pPr>
        <w:pStyle w:val="Caption"/>
      </w:pPr>
    </w:p>
    <w:p w:rsidR="004C5696" w:rsidRDefault="005D1A9F" w:rsidP="004C5696">
      <w:pPr>
        <w:pStyle w:val="Caption"/>
      </w:pPr>
      <w:r>
        <w:t>Table 2</w:t>
      </w:r>
      <w:r w:rsidR="004C5696">
        <w:t>: Distribution of Canadian Labour Force by Professional Status and Sex, 2015</w:t>
      </w:r>
    </w:p>
    <w:tbl>
      <w:tblPr>
        <w:tblStyle w:val="GridTable1LightAccent5"/>
        <w:tblW w:w="9426" w:type="dxa"/>
        <w:tblLook w:val="04A0" w:firstRow="1" w:lastRow="0" w:firstColumn="1" w:lastColumn="0" w:noHBand="0" w:noVBand="1"/>
      </w:tblPr>
      <w:tblGrid>
        <w:gridCol w:w="3364"/>
        <w:gridCol w:w="2049"/>
        <w:gridCol w:w="2196"/>
        <w:gridCol w:w="1817"/>
      </w:tblGrid>
      <w:tr w:rsidR="004C5696" w:rsidRPr="00B74EDE" w:rsidTr="004C5696">
        <w:trPr>
          <w:cnfStyle w:val="100000000000" w:firstRow="1" w:lastRow="0" w:firstColumn="0" w:lastColumn="0" w:oddVBand="0" w:evenVBand="0" w:oddHBand="0"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3364" w:type="dxa"/>
            <w:hideMark/>
          </w:tcPr>
          <w:p w:rsidR="004C5696" w:rsidRPr="00B74EDE" w:rsidRDefault="004C5696" w:rsidP="004C5696">
            <w:pPr>
              <w:jc w:val="center"/>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 </w:t>
            </w:r>
          </w:p>
        </w:tc>
        <w:tc>
          <w:tcPr>
            <w:tcW w:w="2049" w:type="dxa"/>
            <w:hideMark/>
          </w:tcPr>
          <w:p w:rsidR="004C5696" w:rsidRPr="00B74EDE" w:rsidRDefault="004C5696" w:rsidP="004C5696">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Male</w:t>
            </w:r>
          </w:p>
        </w:tc>
        <w:tc>
          <w:tcPr>
            <w:tcW w:w="2196" w:type="dxa"/>
            <w:hideMark/>
          </w:tcPr>
          <w:p w:rsidR="004C5696" w:rsidRPr="00B74EDE" w:rsidRDefault="004C5696" w:rsidP="004C5696">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Female</w:t>
            </w:r>
          </w:p>
        </w:tc>
        <w:tc>
          <w:tcPr>
            <w:tcW w:w="1817" w:type="dxa"/>
            <w:hideMark/>
          </w:tcPr>
          <w:p w:rsidR="004C5696" w:rsidRPr="00B74EDE" w:rsidRDefault="004C5696" w:rsidP="004C5696">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Total</w:t>
            </w:r>
          </w:p>
        </w:tc>
      </w:tr>
      <w:tr w:rsidR="004C5696" w:rsidRPr="00B74EDE" w:rsidTr="004C5696">
        <w:trPr>
          <w:trHeight w:val="254"/>
        </w:trPr>
        <w:tc>
          <w:tcPr>
            <w:cnfStyle w:val="001000000000" w:firstRow="0" w:lastRow="0" w:firstColumn="1" w:lastColumn="0" w:oddVBand="0" w:evenVBand="0" w:oddHBand="0" w:evenHBand="0" w:firstRowFirstColumn="0" w:firstRowLastColumn="0" w:lastRowFirstColumn="0" w:lastRowLastColumn="0"/>
            <w:tcW w:w="3364" w:type="dxa"/>
            <w:noWrap/>
            <w:hideMark/>
          </w:tcPr>
          <w:p w:rsidR="004C5696" w:rsidRPr="00B74EDE" w:rsidRDefault="004C5696" w:rsidP="004C5696">
            <w:pPr>
              <w:jc w:val="left"/>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Managerial</w:t>
            </w:r>
          </w:p>
        </w:tc>
        <w:tc>
          <w:tcPr>
            <w:tcW w:w="2049"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1,331,106</w:t>
            </w:r>
          </w:p>
        </w:tc>
        <w:tc>
          <w:tcPr>
            <w:tcW w:w="2196"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916,383</w:t>
            </w:r>
          </w:p>
        </w:tc>
        <w:tc>
          <w:tcPr>
            <w:tcW w:w="1817"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2,247,489</w:t>
            </w:r>
          </w:p>
        </w:tc>
      </w:tr>
      <w:tr w:rsidR="004C5696" w:rsidRPr="00B74EDE" w:rsidTr="004C5696">
        <w:trPr>
          <w:trHeight w:val="254"/>
        </w:trPr>
        <w:tc>
          <w:tcPr>
            <w:cnfStyle w:val="001000000000" w:firstRow="0" w:lastRow="0" w:firstColumn="1" w:lastColumn="0" w:oddVBand="0" w:evenVBand="0" w:oddHBand="0" w:evenHBand="0" w:firstRowFirstColumn="0" w:firstRowLastColumn="0" w:lastRowFirstColumn="0" w:lastRowLastColumn="0"/>
            <w:tcW w:w="3364" w:type="dxa"/>
            <w:noWrap/>
            <w:hideMark/>
          </w:tcPr>
          <w:p w:rsidR="004C5696" w:rsidRPr="00B74EDE" w:rsidRDefault="004C5696" w:rsidP="004C5696">
            <w:pPr>
              <w:jc w:val="left"/>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Professional</w:t>
            </w:r>
          </w:p>
        </w:tc>
        <w:tc>
          <w:tcPr>
            <w:tcW w:w="2049"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1,259,547</w:t>
            </w:r>
          </w:p>
        </w:tc>
        <w:tc>
          <w:tcPr>
            <w:tcW w:w="2196"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1,749,759</w:t>
            </w:r>
          </w:p>
        </w:tc>
        <w:tc>
          <w:tcPr>
            <w:tcW w:w="1817"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3,009,306</w:t>
            </w:r>
          </w:p>
        </w:tc>
      </w:tr>
      <w:tr w:rsidR="004C5696" w:rsidRPr="00B74EDE" w:rsidTr="004C5696">
        <w:trPr>
          <w:trHeight w:val="254"/>
        </w:trPr>
        <w:tc>
          <w:tcPr>
            <w:cnfStyle w:val="001000000000" w:firstRow="0" w:lastRow="0" w:firstColumn="1" w:lastColumn="0" w:oddVBand="0" w:evenVBand="0" w:oddHBand="0" w:evenHBand="0" w:firstRowFirstColumn="0" w:firstRowLastColumn="0" w:lastRowFirstColumn="0" w:lastRowLastColumn="0"/>
            <w:tcW w:w="3364" w:type="dxa"/>
            <w:noWrap/>
            <w:hideMark/>
          </w:tcPr>
          <w:p w:rsidR="004C5696" w:rsidRPr="00B74EDE" w:rsidRDefault="004C5696" w:rsidP="004C5696">
            <w:pPr>
              <w:jc w:val="left"/>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Technical</w:t>
            </w:r>
          </w:p>
        </w:tc>
        <w:tc>
          <w:tcPr>
            <w:tcW w:w="2049"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761,992</w:t>
            </w:r>
          </w:p>
        </w:tc>
        <w:tc>
          <w:tcPr>
            <w:tcW w:w="2196"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875,889</w:t>
            </w:r>
          </w:p>
        </w:tc>
        <w:tc>
          <w:tcPr>
            <w:tcW w:w="1817"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1,637,881</w:t>
            </w:r>
          </w:p>
        </w:tc>
      </w:tr>
      <w:tr w:rsidR="004C5696" w:rsidRPr="00B74EDE" w:rsidTr="004C5696">
        <w:trPr>
          <w:trHeight w:val="254"/>
        </w:trPr>
        <w:tc>
          <w:tcPr>
            <w:cnfStyle w:val="001000000000" w:firstRow="0" w:lastRow="0" w:firstColumn="1" w:lastColumn="0" w:oddVBand="0" w:evenVBand="0" w:oddHBand="0" w:evenHBand="0" w:firstRowFirstColumn="0" w:firstRowLastColumn="0" w:lastRowFirstColumn="0" w:lastRowLastColumn="0"/>
            <w:tcW w:w="3364" w:type="dxa"/>
            <w:noWrap/>
            <w:hideMark/>
          </w:tcPr>
          <w:p w:rsidR="004C5696" w:rsidRPr="00B74EDE" w:rsidRDefault="004C5696" w:rsidP="004C5696">
            <w:pPr>
              <w:jc w:val="left"/>
              <w:rPr>
                <w:rFonts w:eastAsia="Times New Roman" w:cs="Times New Roman"/>
                <w:b w:val="0"/>
                <w:color w:val="000000"/>
                <w:sz w:val="20"/>
                <w:szCs w:val="20"/>
                <w:lang w:eastAsia="en-CA"/>
              </w:rPr>
            </w:pPr>
            <w:r>
              <w:rPr>
                <w:rFonts w:eastAsia="Times New Roman" w:cs="Times New Roman"/>
                <w:b w:val="0"/>
                <w:color w:val="000000"/>
                <w:sz w:val="20"/>
                <w:szCs w:val="20"/>
                <w:lang w:eastAsia="en-CA"/>
              </w:rPr>
              <w:t xml:space="preserve">Community and Personal </w:t>
            </w:r>
            <w:r w:rsidRPr="00B74EDE">
              <w:rPr>
                <w:rFonts w:eastAsia="Times New Roman" w:cs="Times New Roman"/>
                <w:b w:val="0"/>
                <w:color w:val="000000"/>
                <w:sz w:val="20"/>
                <w:szCs w:val="20"/>
                <w:lang w:eastAsia="en-CA"/>
              </w:rPr>
              <w:t>Services</w:t>
            </w:r>
          </w:p>
        </w:tc>
        <w:tc>
          <w:tcPr>
            <w:tcW w:w="2049"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249,564</w:t>
            </w:r>
          </w:p>
        </w:tc>
        <w:tc>
          <w:tcPr>
            <w:tcW w:w="2196"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588,405</w:t>
            </w:r>
          </w:p>
        </w:tc>
        <w:tc>
          <w:tcPr>
            <w:tcW w:w="1817"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837,968</w:t>
            </w:r>
          </w:p>
        </w:tc>
      </w:tr>
      <w:tr w:rsidR="004C5696" w:rsidRPr="00B74EDE" w:rsidTr="004C5696">
        <w:trPr>
          <w:trHeight w:val="254"/>
        </w:trPr>
        <w:tc>
          <w:tcPr>
            <w:cnfStyle w:val="001000000000" w:firstRow="0" w:lastRow="0" w:firstColumn="1" w:lastColumn="0" w:oddVBand="0" w:evenVBand="0" w:oddHBand="0" w:evenHBand="0" w:firstRowFirstColumn="0" w:firstRowLastColumn="0" w:lastRowFirstColumn="0" w:lastRowLastColumn="0"/>
            <w:tcW w:w="3364" w:type="dxa"/>
            <w:noWrap/>
            <w:hideMark/>
          </w:tcPr>
          <w:p w:rsidR="004C5696" w:rsidRPr="00B74EDE" w:rsidRDefault="004C5696" w:rsidP="004C5696">
            <w:pPr>
              <w:jc w:val="left"/>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Clerical</w:t>
            </w:r>
          </w:p>
        </w:tc>
        <w:tc>
          <w:tcPr>
            <w:tcW w:w="2049"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353,717</w:t>
            </w:r>
          </w:p>
        </w:tc>
        <w:tc>
          <w:tcPr>
            <w:tcW w:w="2196"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1,566,868</w:t>
            </w:r>
          </w:p>
        </w:tc>
        <w:tc>
          <w:tcPr>
            <w:tcW w:w="1817"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1,920,584</w:t>
            </w:r>
          </w:p>
        </w:tc>
      </w:tr>
      <w:tr w:rsidR="004C5696" w:rsidRPr="00B74EDE" w:rsidTr="004C5696">
        <w:trPr>
          <w:trHeight w:val="254"/>
        </w:trPr>
        <w:tc>
          <w:tcPr>
            <w:cnfStyle w:val="001000000000" w:firstRow="0" w:lastRow="0" w:firstColumn="1" w:lastColumn="0" w:oddVBand="0" w:evenVBand="0" w:oddHBand="0" w:evenHBand="0" w:firstRowFirstColumn="0" w:firstRowLastColumn="0" w:lastRowFirstColumn="0" w:lastRowLastColumn="0"/>
            <w:tcW w:w="3364" w:type="dxa"/>
            <w:noWrap/>
            <w:hideMark/>
          </w:tcPr>
          <w:p w:rsidR="004C5696" w:rsidRPr="00B74EDE" w:rsidRDefault="004C5696" w:rsidP="004C5696">
            <w:pPr>
              <w:jc w:val="left"/>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Sales</w:t>
            </w:r>
          </w:p>
        </w:tc>
        <w:tc>
          <w:tcPr>
            <w:tcW w:w="2049"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2,052,953</w:t>
            </w:r>
          </w:p>
        </w:tc>
        <w:tc>
          <w:tcPr>
            <w:tcW w:w="2196"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2,579,401</w:t>
            </w:r>
          </w:p>
        </w:tc>
        <w:tc>
          <w:tcPr>
            <w:tcW w:w="1817"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4,632,353</w:t>
            </w:r>
          </w:p>
        </w:tc>
      </w:tr>
      <w:tr w:rsidR="004C5696" w:rsidRPr="00B74EDE" w:rsidTr="004C5696">
        <w:trPr>
          <w:trHeight w:val="254"/>
        </w:trPr>
        <w:tc>
          <w:tcPr>
            <w:cnfStyle w:val="001000000000" w:firstRow="0" w:lastRow="0" w:firstColumn="1" w:lastColumn="0" w:oddVBand="0" w:evenVBand="0" w:oddHBand="0" w:evenHBand="0" w:firstRowFirstColumn="0" w:firstRowLastColumn="0" w:lastRowFirstColumn="0" w:lastRowLastColumn="0"/>
            <w:tcW w:w="3364" w:type="dxa"/>
            <w:noWrap/>
            <w:hideMark/>
          </w:tcPr>
          <w:p w:rsidR="004C5696" w:rsidRPr="00B74EDE" w:rsidRDefault="004C5696" w:rsidP="004C5696">
            <w:pPr>
              <w:jc w:val="left"/>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Machinery operators</w:t>
            </w:r>
            <w:r>
              <w:rPr>
                <w:rFonts w:eastAsia="Times New Roman" w:cs="Times New Roman"/>
                <w:b w:val="0"/>
                <w:color w:val="000000"/>
                <w:sz w:val="20"/>
                <w:szCs w:val="20"/>
                <w:lang w:eastAsia="en-CA"/>
              </w:rPr>
              <w:t xml:space="preserve"> &amp; Drivers</w:t>
            </w:r>
          </w:p>
        </w:tc>
        <w:tc>
          <w:tcPr>
            <w:tcW w:w="2049"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2,516,037</w:t>
            </w:r>
          </w:p>
        </w:tc>
        <w:tc>
          <w:tcPr>
            <w:tcW w:w="2196"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284,104</w:t>
            </w:r>
          </w:p>
        </w:tc>
        <w:tc>
          <w:tcPr>
            <w:tcW w:w="1817"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2,800,141</w:t>
            </w:r>
          </w:p>
        </w:tc>
      </w:tr>
      <w:tr w:rsidR="004C5696" w:rsidRPr="00B74EDE" w:rsidTr="004C5696">
        <w:trPr>
          <w:trHeight w:val="254"/>
        </w:trPr>
        <w:tc>
          <w:tcPr>
            <w:cnfStyle w:val="001000000000" w:firstRow="0" w:lastRow="0" w:firstColumn="1" w:lastColumn="0" w:oddVBand="0" w:evenVBand="0" w:oddHBand="0" w:evenHBand="0" w:firstRowFirstColumn="0" w:firstRowLastColumn="0" w:lastRowFirstColumn="0" w:lastRowLastColumn="0"/>
            <w:tcW w:w="3364" w:type="dxa"/>
            <w:noWrap/>
            <w:hideMark/>
          </w:tcPr>
          <w:p w:rsidR="004C5696" w:rsidRPr="00B74EDE" w:rsidRDefault="004C5696" w:rsidP="004C5696">
            <w:pPr>
              <w:jc w:val="left"/>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Agricultural Workers and Labourers</w:t>
            </w:r>
          </w:p>
        </w:tc>
        <w:tc>
          <w:tcPr>
            <w:tcW w:w="2049"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592,686</w:t>
            </w:r>
          </w:p>
        </w:tc>
        <w:tc>
          <w:tcPr>
            <w:tcW w:w="2196"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189,302</w:t>
            </w:r>
          </w:p>
        </w:tc>
        <w:tc>
          <w:tcPr>
            <w:tcW w:w="1817"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781,987</w:t>
            </w:r>
          </w:p>
        </w:tc>
      </w:tr>
      <w:tr w:rsidR="004C5696" w:rsidRPr="00B74EDE" w:rsidTr="004C5696">
        <w:trPr>
          <w:trHeight w:val="224"/>
        </w:trPr>
        <w:tc>
          <w:tcPr>
            <w:cnfStyle w:val="001000000000" w:firstRow="0" w:lastRow="0" w:firstColumn="1" w:lastColumn="0" w:oddVBand="0" w:evenVBand="0" w:oddHBand="0" w:evenHBand="0" w:firstRowFirstColumn="0" w:firstRowLastColumn="0" w:lastRowFirstColumn="0" w:lastRowLastColumn="0"/>
            <w:tcW w:w="3364" w:type="dxa"/>
            <w:hideMark/>
          </w:tcPr>
          <w:p w:rsidR="004C5696" w:rsidRPr="00B74EDE" w:rsidRDefault="004C5696" w:rsidP="004C5696">
            <w:pPr>
              <w:jc w:val="left"/>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Unemployed</w:t>
            </w:r>
          </w:p>
        </w:tc>
        <w:tc>
          <w:tcPr>
            <w:tcW w:w="2049"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757,113</w:t>
            </w:r>
          </w:p>
        </w:tc>
        <w:tc>
          <w:tcPr>
            <w:tcW w:w="2196"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570,049</w:t>
            </w:r>
          </w:p>
        </w:tc>
        <w:tc>
          <w:tcPr>
            <w:tcW w:w="1817"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1,327,162</w:t>
            </w:r>
          </w:p>
        </w:tc>
      </w:tr>
      <w:tr w:rsidR="004C5696" w:rsidRPr="00B74EDE" w:rsidTr="004C5696">
        <w:trPr>
          <w:trHeight w:val="224"/>
        </w:trPr>
        <w:tc>
          <w:tcPr>
            <w:cnfStyle w:val="001000000000" w:firstRow="0" w:lastRow="0" w:firstColumn="1" w:lastColumn="0" w:oddVBand="0" w:evenVBand="0" w:oddHBand="0" w:evenHBand="0" w:firstRowFirstColumn="0" w:firstRowLastColumn="0" w:lastRowFirstColumn="0" w:lastRowLastColumn="0"/>
            <w:tcW w:w="3364" w:type="dxa"/>
            <w:hideMark/>
          </w:tcPr>
          <w:p w:rsidR="004C5696" w:rsidRPr="00B74EDE" w:rsidRDefault="004C5696" w:rsidP="004C5696">
            <w:pPr>
              <w:jc w:val="left"/>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New Entrants</w:t>
            </w:r>
          </w:p>
        </w:tc>
        <w:tc>
          <w:tcPr>
            <w:tcW w:w="2049"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531,558</w:t>
            </w:r>
          </w:p>
        </w:tc>
        <w:tc>
          <w:tcPr>
            <w:tcW w:w="2196"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38,150</w:t>
            </w:r>
          </w:p>
        </w:tc>
        <w:tc>
          <w:tcPr>
            <w:tcW w:w="1817"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569,708</w:t>
            </w:r>
          </w:p>
        </w:tc>
      </w:tr>
      <w:tr w:rsidR="004C5696" w:rsidRPr="00B74EDE" w:rsidTr="004C5696">
        <w:trPr>
          <w:trHeight w:val="231"/>
        </w:trPr>
        <w:tc>
          <w:tcPr>
            <w:cnfStyle w:val="001000000000" w:firstRow="0" w:lastRow="0" w:firstColumn="1" w:lastColumn="0" w:oddVBand="0" w:evenVBand="0" w:oddHBand="0" w:evenHBand="0" w:firstRowFirstColumn="0" w:firstRowLastColumn="0" w:lastRowFirstColumn="0" w:lastRowLastColumn="0"/>
            <w:tcW w:w="3364" w:type="dxa"/>
            <w:hideMark/>
          </w:tcPr>
          <w:p w:rsidR="004C5696" w:rsidRPr="00B74EDE" w:rsidRDefault="004C5696" w:rsidP="004C5696">
            <w:pPr>
              <w:jc w:val="left"/>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N</w:t>
            </w:r>
            <w:r>
              <w:rPr>
                <w:rFonts w:eastAsia="Times New Roman" w:cs="Times New Roman"/>
                <w:b w:val="0"/>
                <w:color w:val="000000"/>
                <w:sz w:val="20"/>
                <w:szCs w:val="20"/>
                <w:lang w:eastAsia="en-CA"/>
              </w:rPr>
              <w:t>ot in Labour Force</w:t>
            </w:r>
          </w:p>
        </w:tc>
        <w:tc>
          <w:tcPr>
            <w:tcW w:w="2049"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4,115,391</w:t>
            </w:r>
          </w:p>
        </w:tc>
        <w:tc>
          <w:tcPr>
            <w:tcW w:w="2196"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5,596,395</w:t>
            </w:r>
          </w:p>
        </w:tc>
        <w:tc>
          <w:tcPr>
            <w:tcW w:w="1817"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9,711,785</w:t>
            </w:r>
          </w:p>
        </w:tc>
      </w:tr>
      <w:tr w:rsidR="004C5696" w:rsidRPr="00B74EDE" w:rsidTr="004C5696">
        <w:trPr>
          <w:trHeight w:val="224"/>
        </w:trPr>
        <w:tc>
          <w:tcPr>
            <w:cnfStyle w:val="001000000000" w:firstRow="0" w:lastRow="0" w:firstColumn="1" w:lastColumn="0" w:oddVBand="0" w:evenVBand="0" w:oddHBand="0" w:evenHBand="0" w:firstRowFirstColumn="0" w:firstRowLastColumn="0" w:lastRowFirstColumn="0" w:lastRowLastColumn="0"/>
            <w:tcW w:w="3364" w:type="dxa"/>
            <w:hideMark/>
          </w:tcPr>
          <w:p w:rsidR="004C5696" w:rsidRPr="00B74EDE" w:rsidRDefault="004C5696" w:rsidP="004C5696">
            <w:pPr>
              <w:jc w:val="left"/>
              <w:rPr>
                <w:rFonts w:eastAsia="Times New Roman" w:cs="Times New Roman"/>
                <w:b w:val="0"/>
                <w:color w:val="000000"/>
                <w:sz w:val="20"/>
                <w:szCs w:val="20"/>
                <w:lang w:eastAsia="en-CA"/>
              </w:rPr>
            </w:pPr>
            <w:r w:rsidRPr="00B74EDE">
              <w:rPr>
                <w:rFonts w:eastAsia="Times New Roman" w:cs="Times New Roman"/>
                <w:b w:val="0"/>
                <w:color w:val="000000"/>
                <w:sz w:val="20"/>
                <w:szCs w:val="20"/>
                <w:lang w:eastAsia="en-CA"/>
              </w:rPr>
              <w:t>Total</w:t>
            </w:r>
          </w:p>
        </w:tc>
        <w:tc>
          <w:tcPr>
            <w:tcW w:w="2049"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14,521,663</w:t>
            </w:r>
          </w:p>
        </w:tc>
        <w:tc>
          <w:tcPr>
            <w:tcW w:w="2196"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14,954,703</w:t>
            </w:r>
          </w:p>
        </w:tc>
        <w:tc>
          <w:tcPr>
            <w:tcW w:w="1817" w:type="dxa"/>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B74EDE">
              <w:rPr>
                <w:rFonts w:eastAsia="Times New Roman" w:cs="Times New Roman"/>
                <w:color w:val="000000"/>
                <w:sz w:val="20"/>
                <w:szCs w:val="20"/>
                <w:lang w:eastAsia="en-CA"/>
              </w:rPr>
              <w:t>29,476,366</w:t>
            </w:r>
          </w:p>
        </w:tc>
      </w:tr>
    </w:tbl>
    <w:p w:rsidR="004C5696" w:rsidRDefault="004C5696" w:rsidP="004C5696">
      <w:pPr>
        <w:rPr>
          <w:sz w:val="20"/>
          <w:szCs w:val="20"/>
        </w:rPr>
      </w:pPr>
      <w:r w:rsidRPr="006B143F">
        <w:rPr>
          <w:sz w:val="20"/>
          <w:szCs w:val="20"/>
        </w:rPr>
        <w:t>Sources: Statistics Canada, 2016 Canadian Census</w:t>
      </w:r>
    </w:p>
    <w:p w:rsidR="004C5696" w:rsidRDefault="005D1A9F" w:rsidP="004C5696">
      <w:pPr>
        <w:pStyle w:val="Caption"/>
      </w:pPr>
      <w:r>
        <w:t>Table 3</w:t>
      </w:r>
      <w:r w:rsidR="004C5696">
        <w:t>: Distribution of Canadian Labour Force by Professional Status and Age, 2015</w:t>
      </w:r>
    </w:p>
    <w:tbl>
      <w:tblPr>
        <w:tblStyle w:val="GridTable1LightAccent5"/>
        <w:tblW w:w="9400" w:type="dxa"/>
        <w:tblLook w:val="04A0" w:firstRow="1" w:lastRow="0" w:firstColumn="1" w:lastColumn="0" w:noHBand="0" w:noVBand="1"/>
      </w:tblPr>
      <w:tblGrid>
        <w:gridCol w:w="2840"/>
        <w:gridCol w:w="936"/>
        <w:gridCol w:w="936"/>
        <w:gridCol w:w="936"/>
        <w:gridCol w:w="936"/>
        <w:gridCol w:w="936"/>
        <w:gridCol w:w="936"/>
        <w:gridCol w:w="1026"/>
      </w:tblGrid>
      <w:tr w:rsidR="004C5696" w:rsidRPr="00B74EDE" w:rsidTr="004C5696">
        <w:trPr>
          <w:cnfStyle w:val="100000000000" w:firstRow="1" w:lastRow="0" w:firstColumn="0" w:lastColumn="0" w:oddVBand="0" w:evenVBand="0" w:oddHBand="0"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0" w:type="auto"/>
            <w:noWrap/>
            <w:hideMark/>
          </w:tcPr>
          <w:p w:rsidR="004C5696" w:rsidRPr="00B74EDE" w:rsidRDefault="004C5696" w:rsidP="004C5696">
            <w:pPr>
              <w:jc w:val="left"/>
              <w:rPr>
                <w:rFonts w:eastAsia="Times New Roman" w:cs="Times New Roman"/>
                <w:sz w:val="18"/>
                <w:szCs w:val="18"/>
                <w:lang w:eastAsia="en-CA"/>
              </w:rPr>
            </w:pPr>
          </w:p>
        </w:tc>
        <w:tc>
          <w:tcPr>
            <w:tcW w:w="0" w:type="auto"/>
            <w:noWrap/>
            <w:hideMark/>
          </w:tcPr>
          <w:p w:rsidR="004C5696" w:rsidRPr="00B74EDE" w:rsidRDefault="004C5696" w:rsidP="004C5696">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en-CA"/>
              </w:rPr>
            </w:pPr>
            <w:r w:rsidRPr="00B74EDE">
              <w:rPr>
                <w:rFonts w:eastAsia="Times New Roman" w:cs="Times New Roman"/>
                <w:color w:val="000000"/>
                <w:sz w:val="18"/>
                <w:szCs w:val="18"/>
                <w:lang w:eastAsia="en-CA"/>
              </w:rPr>
              <w:t>15-24</w:t>
            </w:r>
          </w:p>
        </w:tc>
        <w:tc>
          <w:tcPr>
            <w:tcW w:w="0" w:type="auto"/>
            <w:noWrap/>
            <w:hideMark/>
          </w:tcPr>
          <w:p w:rsidR="004C5696" w:rsidRPr="00B74EDE" w:rsidRDefault="004C5696" w:rsidP="004C5696">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en-CA"/>
              </w:rPr>
            </w:pPr>
            <w:r w:rsidRPr="00B74EDE">
              <w:rPr>
                <w:rFonts w:eastAsia="Times New Roman" w:cs="Times New Roman"/>
                <w:color w:val="000000"/>
                <w:sz w:val="18"/>
                <w:szCs w:val="18"/>
                <w:lang w:eastAsia="en-CA"/>
              </w:rPr>
              <w:t>25-34</w:t>
            </w:r>
          </w:p>
        </w:tc>
        <w:tc>
          <w:tcPr>
            <w:tcW w:w="0" w:type="auto"/>
            <w:noWrap/>
            <w:hideMark/>
          </w:tcPr>
          <w:p w:rsidR="004C5696" w:rsidRPr="00B74EDE" w:rsidRDefault="004C5696" w:rsidP="004C5696">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en-CA"/>
              </w:rPr>
            </w:pPr>
            <w:r w:rsidRPr="00B74EDE">
              <w:rPr>
                <w:rFonts w:eastAsia="Times New Roman" w:cs="Times New Roman"/>
                <w:color w:val="000000"/>
                <w:sz w:val="18"/>
                <w:szCs w:val="18"/>
                <w:lang w:eastAsia="en-CA"/>
              </w:rPr>
              <w:t>35-44</w:t>
            </w:r>
          </w:p>
        </w:tc>
        <w:tc>
          <w:tcPr>
            <w:tcW w:w="0" w:type="auto"/>
            <w:noWrap/>
            <w:hideMark/>
          </w:tcPr>
          <w:p w:rsidR="004C5696" w:rsidRPr="00B74EDE" w:rsidRDefault="004C5696" w:rsidP="004C5696">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en-CA"/>
              </w:rPr>
            </w:pPr>
            <w:r w:rsidRPr="00B74EDE">
              <w:rPr>
                <w:rFonts w:eastAsia="Times New Roman" w:cs="Times New Roman"/>
                <w:color w:val="000000"/>
                <w:sz w:val="18"/>
                <w:szCs w:val="18"/>
                <w:lang w:eastAsia="en-CA"/>
              </w:rPr>
              <w:t>45-54</w:t>
            </w:r>
          </w:p>
        </w:tc>
        <w:tc>
          <w:tcPr>
            <w:tcW w:w="0" w:type="auto"/>
            <w:noWrap/>
            <w:hideMark/>
          </w:tcPr>
          <w:p w:rsidR="004C5696" w:rsidRPr="00B74EDE" w:rsidRDefault="004C5696" w:rsidP="004C5696">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en-CA"/>
              </w:rPr>
            </w:pPr>
            <w:r w:rsidRPr="00B74EDE">
              <w:rPr>
                <w:rFonts w:eastAsia="Times New Roman" w:cs="Times New Roman"/>
                <w:color w:val="000000"/>
                <w:sz w:val="18"/>
                <w:szCs w:val="18"/>
                <w:lang w:eastAsia="en-CA"/>
              </w:rPr>
              <w:t>55-64</w:t>
            </w:r>
          </w:p>
        </w:tc>
        <w:tc>
          <w:tcPr>
            <w:tcW w:w="0" w:type="auto"/>
            <w:noWrap/>
            <w:hideMark/>
          </w:tcPr>
          <w:p w:rsidR="004C5696" w:rsidRPr="00B74EDE" w:rsidRDefault="004C5696" w:rsidP="004C5696">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en-CA"/>
              </w:rPr>
            </w:pPr>
            <w:r w:rsidRPr="00B74EDE">
              <w:rPr>
                <w:rFonts w:eastAsia="Times New Roman" w:cs="Times New Roman"/>
                <w:color w:val="000000"/>
                <w:sz w:val="18"/>
                <w:szCs w:val="18"/>
                <w:lang w:eastAsia="en-CA"/>
              </w:rPr>
              <w:t>65+</w:t>
            </w:r>
          </w:p>
        </w:tc>
        <w:tc>
          <w:tcPr>
            <w:tcW w:w="0" w:type="auto"/>
            <w:noWrap/>
            <w:hideMark/>
          </w:tcPr>
          <w:p w:rsidR="004C5696" w:rsidRPr="00B74EDE" w:rsidRDefault="004C5696" w:rsidP="004C5696">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en-CA"/>
              </w:rPr>
            </w:pPr>
            <w:r w:rsidRPr="00B74EDE">
              <w:rPr>
                <w:rFonts w:eastAsia="Times New Roman" w:cs="Times New Roman"/>
                <w:color w:val="000000"/>
                <w:sz w:val="18"/>
                <w:szCs w:val="18"/>
                <w:lang w:eastAsia="en-CA"/>
              </w:rPr>
              <w:t>Total</w:t>
            </w:r>
          </w:p>
        </w:tc>
      </w:tr>
      <w:tr w:rsidR="004C5696" w:rsidRPr="00B74EDE" w:rsidTr="004C5696">
        <w:trPr>
          <w:trHeight w:val="241"/>
        </w:trPr>
        <w:tc>
          <w:tcPr>
            <w:cnfStyle w:val="001000000000" w:firstRow="0" w:lastRow="0" w:firstColumn="1" w:lastColumn="0" w:oddVBand="0" w:evenVBand="0" w:oddHBand="0" w:evenHBand="0" w:firstRowFirstColumn="0" w:firstRowLastColumn="0" w:lastRowFirstColumn="0" w:lastRowLastColumn="0"/>
            <w:tcW w:w="0" w:type="auto"/>
            <w:noWrap/>
            <w:hideMark/>
          </w:tcPr>
          <w:p w:rsidR="004C5696" w:rsidRPr="00B74EDE" w:rsidRDefault="004C5696" w:rsidP="004C5696">
            <w:pPr>
              <w:rPr>
                <w:rFonts w:eastAsia="Times New Roman" w:cs="Times New Roman"/>
                <w:b w:val="0"/>
                <w:color w:val="000000"/>
                <w:sz w:val="18"/>
                <w:szCs w:val="18"/>
                <w:lang w:eastAsia="en-CA"/>
              </w:rPr>
            </w:pPr>
            <w:r w:rsidRPr="00B74EDE">
              <w:rPr>
                <w:rFonts w:eastAsia="Times New Roman" w:cs="Times New Roman"/>
                <w:b w:val="0"/>
                <w:color w:val="000000"/>
                <w:sz w:val="18"/>
                <w:szCs w:val="18"/>
                <w:lang w:eastAsia="en-CA"/>
              </w:rPr>
              <w:t>Managerial</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91,134</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400,142</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553,135</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629,318</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444,153</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129,607</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2,247,489</w:t>
            </w:r>
          </w:p>
        </w:tc>
      </w:tr>
      <w:tr w:rsidR="004C5696" w:rsidRPr="00B74EDE" w:rsidTr="004C5696">
        <w:trPr>
          <w:trHeight w:val="250"/>
        </w:trPr>
        <w:tc>
          <w:tcPr>
            <w:cnfStyle w:val="001000000000" w:firstRow="0" w:lastRow="0" w:firstColumn="1" w:lastColumn="0" w:oddVBand="0" w:evenVBand="0" w:oddHBand="0" w:evenHBand="0" w:firstRowFirstColumn="0" w:firstRowLastColumn="0" w:lastRowFirstColumn="0" w:lastRowLastColumn="0"/>
            <w:tcW w:w="0" w:type="auto"/>
            <w:noWrap/>
            <w:hideMark/>
          </w:tcPr>
          <w:p w:rsidR="004C5696" w:rsidRPr="00B74EDE" w:rsidRDefault="004C5696" w:rsidP="004C5696">
            <w:pPr>
              <w:rPr>
                <w:rFonts w:eastAsia="Times New Roman" w:cs="Times New Roman"/>
                <w:b w:val="0"/>
                <w:color w:val="000000"/>
                <w:sz w:val="18"/>
                <w:szCs w:val="18"/>
                <w:lang w:eastAsia="en-CA"/>
              </w:rPr>
            </w:pPr>
            <w:r w:rsidRPr="00B74EDE">
              <w:rPr>
                <w:rFonts w:eastAsia="Times New Roman" w:cs="Times New Roman"/>
                <w:b w:val="0"/>
                <w:color w:val="000000"/>
                <w:sz w:val="18"/>
                <w:szCs w:val="18"/>
                <w:lang w:eastAsia="en-CA"/>
              </w:rPr>
              <w:t>Professional</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157,131</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730,849</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783,067</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702,074</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478,128</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158,057</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3,009,305</w:t>
            </w:r>
          </w:p>
        </w:tc>
      </w:tr>
      <w:tr w:rsidR="004C5696" w:rsidRPr="00B74EDE" w:rsidTr="004C5696">
        <w:trPr>
          <w:trHeight w:val="177"/>
        </w:trPr>
        <w:tc>
          <w:tcPr>
            <w:cnfStyle w:val="001000000000" w:firstRow="0" w:lastRow="0" w:firstColumn="1" w:lastColumn="0" w:oddVBand="0" w:evenVBand="0" w:oddHBand="0" w:evenHBand="0" w:firstRowFirstColumn="0" w:firstRowLastColumn="0" w:lastRowFirstColumn="0" w:lastRowLastColumn="0"/>
            <w:tcW w:w="0" w:type="auto"/>
            <w:noWrap/>
            <w:hideMark/>
          </w:tcPr>
          <w:p w:rsidR="004C5696" w:rsidRPr="00B74EDE" w:rsidRDefault="004C5696" w:rsidP="004C5696">
            <w:pPr>
              <w:rPr>
                <w:rFonts w:eastAsia="Times New Roman" w:cs="Times New Roman"/>
                <w:b w:val="0"/>
                <w:color w:val="000000"/>
                <w:sz w:val="18"/>
                <w:szCs w:val="18"/>
                <w:lang w:eastAsia="en-CA"/>
              </w:rPr>
            </w:pPr>
            <w:r w:rsidRPr="00B74EDE">
              <w:rPr>
                <w:rFonts w:eastAsia="Times New Roman" w:cs="Times New Roman"/>
                <w:b w:val="0"/>
                <w:color w:val="000000"/>
                <w:sz w:val="18"/>
                <w:szCs w:val="18"/>
                <w:lang w:eastAsia="en-CA"/>
              </w:rPr>
              <w:t>Technical</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243,217</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401,181</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365,416</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331,363</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231,679</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65,027</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1,637,881</w:t>
            </w:r>
          </w:p>
        </w:tc>
      </w:tr>
      <w:tr w:rsidR="004C5696" w:rsidRPr="00B74EDE" w:rsidTr="004C5696">
        <w:trPr>
          <w:trHeight w:val="241"/>
        </w:trPr>
        <w:tc>
          <w:tcPr>
            <w:cnfStyle w:val="001000000000" w:firstRow="0" w:lastRow="0" w:firstColumn="1" w:lastColumn="0" w:oddVBand="0" w:evenVBand="0" w:oddHBand="0" w:evenHBand="0" w:firstRowFirstColumn="0" w:firstRowLastColumn="0" w:lastRowFirstColumn="0" w:lastRowLastColumn="0"/>
            <w:tcW w:w="0" w:type="auto"/>
            <w:noWrap/>
            <w:hideMark/>
          </w:tcPr>
          <w:p w:rsidR="004C5696" w:rsidRPr="00B74EDE" w:rsidRDefault="004C5696" w:rsidP="004C5696">
            <w:pPr>
              <w:rPr>
                <w:rFonts w:eastAsia="Times New Roman" w:cs="Times New Roman"/>
                <w:b w:val="0"/>
                <w:color w:val="000000"/>
                <w:sz w:val="18"/>
                <w:szCs w:val="18"/>
                <w:lang w:eastAsia="en-CA"/>
              </w:rPr>
            </w:pPr>
            <w:r w:rsidRPr="00B74EDE">
              <w:rPr>
                <w:rFonts w:eastAsia="Times New Roman" w:cs="Times New Roman"/>
                <w:b w:val="0"/>
                <w:color w:val="000000"/>
                <w:sz w:val="18"/>
                <w:szCs w:val="18"/>
                <w:lang w:eastAsia="en-CA"/>
              </w:rPr>
              <w:t>Community and Personal Services</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74,585</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169,236</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198,944</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207,848</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144,457</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42,899</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837,968</w:t>
            </w:r>
          </w:p>
        </w:tc>
      </w:tr>
      <w:tr w:rsidR="004C5696" w:rsidRPr="00B74EDE" w:rsidTr="004C5696">
        <w:trPr>
          <w:trHeight w:val="241"/>
        </w:trPr>
        <w:tc>
          <w:tcPr>
            <w:cnfStyle w:val="001000000000" w:firstRow="0" w:lastRow="0" w:firstColumn="1" w:lastColumn="0" w:oddVBand="0" w:evenVBand="0" w:oddHBand="0" w:evenHBand="0" w:firstRowFirstColumn="0" w:firstRowLastColumn="0" w:lastRowFirstColumn="0" w:lastRowLastColumn="0"/>
            <w:tcW w:w="0" w:type="auto"/>
            <w:noWrap/>
            <w:hideMark/>
          </w:tcPr>
          <w:p w:rsidR="004C5696" w:rsidRPr="00B74EDE" w:rsidRDefault="004C5696" w:rsidP="004C5696">
            <w:pPr>
              <w:rPr>
                <w:rFonts w:eastAsia="Times New Roman" w:cs="Times New Roman"/>
                <w:b w:val="0"/>
                <w:color w:val="000000"/>
                <w:sz w:val="18"/>
                <w:szCs w:val="18"/>
                <w:lang w:eastAsia="en-CA"/>
              </w:rPr>
            </w:pPr>
            <w:r w:rsidRPr="00B74EDE">
              <w:rPr>
                <w:rFonts w:eastAsia="Times New Roman" w:cs="Times New Roman"/>
                <w:b w:val="0"/>
                <w:color w:val="000000"/>
                <w:sz w:val="18"/>
                <w:szCs w:val="18"/>
                <w:lang w:eastAsia="en-CA"/>
              </w:rPr>
              <w:t>Clerical</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160,518</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347,235</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384,064</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473,075</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413,756</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141,936</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1,920,584</w:t>
            </w:r>
          </w:p>
        </w:tc>
      </w:tr>
      <w:tr w:rsidR="004C5696" w:rsidRPr="00B74EDE" w:rsidTr="004C5696">
        <w:trPr>
          <w:trHeight w:val="241"/>
        </w:trPr>
        <w:tc>
          <w:tcPr>
            <w:cnfStyle w:val="001000000000" w:firstRow="0" w:lastRow="0" w:firstColumn="1" w:lastColumn="0" w:oddVBand="0" w:evenVBand="0" w:oddHBand="0" w:evenHBand="0" w:firstRowFirstColumn="0" w:firstRowLastColumn="0" w:lastRowFirstColumn="0" w:lastRowLastColumn="0"/>
            <w:tcW w:w="0" w:type="auto"/>
            <w:noWrap/>
            <w:hideMark/>
          </w:tcPr>
          <w:p w:rsidR="004C5696" w:rsidRPr="00B74EDE" w:rsidRDefault="004C5696" w:rsidP="004C5696">
            <w:pPr>
              <w:rPr>
                <w:rFonts w:eastAsia="Times New Roman" w:cs="Times New Roman"/>
                <w:b w:val="0"/>
                <w:color w:val="000000"/>
                <w:sz w:val="18"/>
                <w:szCs w:val="18"/>
                <w:lang w:eastAsia="en-CA"/>
              </w:rPr>
            </w:pPr>
            <w:r w:rsidRPr="00B74EDE">
              <w:rPr>
                <w:rFonts w:eastAsia="Times New Roman" w:cs="Times New Roman"/>
                <w:b w:val="0"/>
                <w:color w:val="000000"/>
                <w:sz w:val="18"/>
                <w:szCs w:val="18"/>
                <w:lang w:eastAsia="en-CA"/>
              </w:rPr>
              <w:t>Sales</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1,338,972</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927,333</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681,102</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757,301</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675,317</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252,327</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4,632,353</w:t>
            </w:r>
          </w:p>
        </w:tc>
      </w:tr>
      <w:tr w:rsidR="004C5696" w:rsidRPr="00B74EDE" w:rsidTr="004C5696">
        <w:trPr>
          <w:trHeight w:val="241"/>
        </w:trPr>
        <w:tc>
          <w:tcPr>
            <w:cnfStyle w:val="001000000000" w:firstRow="0" w:lastRow="0" w:firstColumn="1" w:lastColumn="0" w:oddVBand="0" w:evenVBand="0" w:oddHBand="0" w:evenHBand="0" w:firstRowFirstColumn="0" w:firstRowLastColumn="0" w:lastRowFirstColumn="0" w:lastRowLastColumn="0"/>
            <w:tcW w:w="0" w:type="auto"/>
            <w:noWrap/>
            <w:hideMark/>
          </w:tcPr>
          <w:p w:rsidR="004C5696" w:rsidRPr="00B74EDE" w:rsidRDefault="004C5696" w:rsidP="004C5696">
            <w:pPr>
              <w:rPr>
                <w:rFonts w:eastAsia="Times New Roman" w:cs="Times New Roman"/>
                <w:b w:val="0"/>
                <w:color w:val="000000"/>
                <w:sz w:val="18"/>
                <w:szCs w:val="18"/>
                <w:lang w:eastAsia="en-CA"/>
              </w:rPr>
            </w:pPr>
            <w:r w:rsidRPr="00B74EDE">
              <w:rPr>
                <w:rFonts w:eastAsia="Times New Roman" w:cs="Times New Roman"/>
                <w:b w:val="0"/>
                <w:color w:val="000000"/>
                <w:sz w:val="18"/>
                <w:szCs w:val="18"/>
                <w:lang w:eastAsia="en-CA"/>
              </w:rPr>
              <w:t>Machinery operators &amp; Drivers</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289,195</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570,720</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568,899</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646,013</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548,053</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177,261</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2,800,141</w:t>
            </w:r>
          </w:p>
        </w:tc>
      </w:tr>
      <w:tr w:rsidR="004C5696" w:rsidRPr="00B74EDE" w:rsidTr="004C5696">
        <w:trPr>
          <w:trHeight w:val="241"/>
        </w:trPr>
        <w:tc>
          <w:tcPr>
            <w:cnfStyle w:val="001000000000" w:firstRow="0" w:lastRow="0" w:firstColumn="1" w:lastColumn="0" w:oddVBand="0" w:evenVBand="0" w:oddHBand="0" w:evenHBand="0" w:firstRowFirstColumn="0" w:firstRowLastColumn="0" w:lastRowFirstColumn="0" w:lastRowLastColumn="0"/>
            <w:tcW w:w="0" w:type="auto"/>
            <w:noWrap/>
            <w:hideMark/>
          </w:tcPr>
          <w:p w:rsidR="004C5696" w:rsidRPr="00B74EDE" w:rsidRDefault="004C5696" w:rsidP="004C5696">
            <w:pPr>
              <w:rPr>
                <w:rFonts w:eastAsia="Times New Roman" w:cs="Times New Roman"/>
                <w:b w:val="0"/>
                <w:color w:val="000000"/>
                <w:sz w:val="18"/>
                <w:szCs w:val="18"/>
                <w:lang w:eastAsia="en-CA"/>
              </w:rPr>
            </w:pPr>
            <w:r w:rsidRPr="00B74EDE">
              <w:rPr>
                <w:rFonts w:eastAsia="Times New Roman" w:cs="Times New Roman"/>
                <w:b w:val="0"/>
                <w:color w:val="000000"/>
                <w:sz w:val="18"/>
                <w:szCs w:val="18"/>
                <w:lang w:eastAsia="en-CA"/>
              </w:rPr>
              <w:t>Agricultural Workers and Labourers</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191,471</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159,864</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125,762</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138,883</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125,472</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40,535</w:t>
            </w:r>
          </w:p>
        </w:tc>
        <w:tc>
          <w:tcPr>
            <w:tcW w:w="0" w:type="auto"/>
            <w:noWrap/>
            <w:hideMark/>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781,987</w:t>
            </w:r>
          </w:p>
        </w:tc>
      </w:tr>
      <w:tr w:rsidR="004C5696" w:rsidRPr="00B74EDE" w:rsidTr="004C5696">
        <w:trPr>
          <w:trHeight w:val="241"/>
        </w:trPr>
        <w:tc>
          <w:tcPr>
            <w:cnfStyle w:val="001000000000" w:firstRow="0" w:lastRow="0" w:firstColumn="1" w:lastColumn="0" w:oddVBand="0" w:evenVBand="0" w:oddHBand="0" w:evenHBand="0" w:firstRowFirstColumn="0" w:firstRowLastColumn="0" w:lastRowFirstColumn="0" w:lastRowLastColumn="0"/>
            <w:tcW w:w="0" w:type="auto"/>
            <w:noWrap/>
          </w:tcPr>
          <w:p w:rsidR="004C5696" w:rsidRPr="00B74EDE" w:rsidRDefault="004C5696" w:rsidP="004C5696">
            <w:pPr>
              <w:rPr>
                <w:rFonts w:eastAsia="Times New Roman" w:cs="Times New Roman"/>
                <w:b w:val="0"/>
                <w:color w:val="000000"/>
                <w:sz w:val="18"/>
                <w:szCs w:val="18"/>
                <w:lang w:eastAsia="en-CA"/>
              </w:rPr>
            </w:pPr>
            <w:r w:rsidRPr="00B74EDE">
              <w:rPr>
                <w:rFonts w:eastAsia="Times New Roman" w:cs="Times New Roman"/>
                <w:b w:val="0"/>
                <w:color w:val="000000"/>
                <w:sz w:val="18"/>
                <w:szCs w:val="18"/>
                <w:lang w:eastAsia="en-CA"/>
              </w:rPr>
              <w:t>Unemployed</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504,645</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466,349</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318,184</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288,613</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216,275</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71,170</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1,865,237</w:t>
            </w:r>
          </w:p>
        </w:tc>
      </w:tr>
      <w:tr w:rsidR="004C5696" w:rsidRPr="00B74EDE" w:rsidTr="004C5696">
        <w:trPr>
          <w:trHeight w:val="241"/>
        </w:trPr>
        <w:tc>
          <w:tcPr>
            <w:cnfStyle w:val="001000000000" w:firstRow="0" w:lastRow="0" w:firstColumn="1" w:lastColumn="0" w:oddVBand="0" w:evenVBand="0" w:oddHBand="0" w:evenHBand="0" w:firstRowFirstColumn="0" w:firstRowLastColumn="0" w:lastRowFirstColumn="0" w:lastRowLastColumn="0"/>
            <w:tcW w:w="0" w:type="auto"/>
            <w:noWrap/>
          </w:tcPr>
          <w:p w:rsidR="004C5696" w:rsidRPr="00B74EDE" w:rsidRDefault="004C5696" w:rsidP="004C5696">
            <w:pPr>
              <w:rPr>
                <w:rFonts w:eastAsia="Times New Roman" w:cs="Times New Roman"/>
                <w:b w:val="0"/>
                <w:color w:val="000000"/>
                <w:sz w:val="18"/>
                <w:szCs w:val="18"/>
                <w:lang w:eastAsia="en-CA"/>
              </w:rPr>
            </w:pPr>
            <w:r w:rsidRPr="00B74EDE">
              <w:rPr>
                <w:rFonts w:eastAsia="Times New Roman" w:cs="Times New Roman"/>
                <w:b w:val="0"/>
                <w:color w:val="000000"/>
                <w:sz w:val="18"/>
                <w:szCs w:val="18"/>
                <w:lang w:eastAsia="en-CA"/>
              </w:rPr>
              <w:t>New Entrants</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1,475,449</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805,586</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544,701</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688,506</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1,567,910</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4,661,268</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9,743,419</w:t>
            </w:r>
          </w:p>
        </w:tc>
      </w:tr>
      <w:tr w:rsidR="004C5696" w:rsidRPr="00B74EDE" w:rsidTr="004C5696">
        <w:trPr>
          <w:trHeight w:val="241"/>
        </w:trPr>
        <w:tc>
          <w:tcPr>
            <w:cnfStyle w:val="001000000000" w:firstRow="0" w:lastRow="0" w:firstColumn="1" w:lastColumn="0" w:oddVBand="0" w:evenVBand="0" w:oddHBand="0" w:evenHBand="0" w:firstRowFirstColumn="0" w:firstRowLastColumn="0" w:lastRowFirstColumn="0" w:lastRowLastColumn="0"/>
            <w:tcW w:w="0" w:type="auto"/>
            <w:noWrap/>
          </w:tcPr>
          <w:p w:rsidR="004C5696" w:rsidRPr="00B74EDE" w:rsidRDefault="004C5696" w:rsidP="004C5696">
            <w:pPr>
              <w:rPr>
                <w:rFonts w:eastAsia="Times New Roman" w:cs="Times New Roman"/>
                <w:b w:val="0"/>
                <w:color w:val="000000"/>
                <w:sz w:val="18"/>
                <w:szCs w:val="18"/>
                <w:lang w:eastAsia="en-CA"/>
              </w:rPr>
            </w:pPr>
            <w:r w:rsidRPr="00B74EDE">
              <w:rPr>
                <w:rFonts w:eastAsia="Times New Roman" w:cs="Times New Roman"/>
                <w:b w:val="0"/>
                <w:color w:val="000000"/>
                <w:sz w:val="18"/>
                <w:szCs w:val="18"/>
                <w:lang w:eastAsia="en-CA"/>
              </w:rPr>
              <w:t>Not in Labour Force</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4,526,317</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4,978,493</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4,523,275</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4,862,994</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4,845,200</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5,740,086</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29,476,365</w:t>
            </w:r>
          </w:p>
        </w:tc>
      </w:tr>
      <w:tr w:rsidR="004C5696" w:rsidRPr="00B74EDE" w:rsidTr="004C5696">
        <w:trPr>
          <w:trHeight w:val="241"/>
        </w:trPr>
        <w:tc>
          <w:tcPr>
            <w:cnfStyle w:val="001000000000" w:firstRow="0" w:lastRow="0" w:firstColumn="1" w:lastColumn="0" w:oddVBand="0" w:evenVBand="0" w:oddHBand="0" w:evenHBand="0" w:firstRowFirstColumn="0" w:firstRowLastColumn="0" w:lastRowFirstColumn="0" w:lastRowLastColumn="0"/>
            <w:tcW w:w="0" w:type="auto"/>
            <w:noWrap/>
          </w:tcPr>
          <w:p w:rsidR="004C5696" w:rsidRPr="00B74EDE" w:rsidRDefault="004C5696" w:rsidP="004C5696">
            <w:pPr>
              <w:rPr>
                <w:rFonts w:eastAsia="Times New Roman" w:cs="Times New Roman"/>
                <w:bCs w:val="0"/>
                <w:color w:val="000000"/>
                <w:sz w:val="18"/>
                <w:szCs w:val="18"/>
                <w:lang w:eastAsia="en-CA"/>
              </w:rPr>
            </w:pPr>
            <w:r w:rsidRPr="00B74EDE">
              <w:rPr>
                <w:rFonts w:eastAsia="Times New Roman" w:cs="Times New Roman"/>
                <w:bCs w:val="0"/>
                <w:color w:val="000000"/>
                <w:sz w:val="18"/>
                <w:szCs w:val="18"/>
                <w:lang w:eastAsia="en-CA"/>
              </w:rPr>
              <w:t>Total</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91,134</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400,142</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553,135</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629,318</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444,153</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129,607</w:t>
            </w:r>
          </w:p>
        </w:tc>
        <w:tc>
          <w:tcPr>
            <w:tcW w:w="0" w:type="auto"/>
            <w:noWrap/>
          </w:tcPr>
          <w:p w:rsidR="004C5696" w:rsidRPr="00B74EDE"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themeColor="text1"/>
                <w:sz w:val="18"/>
                <w:szCs w:val="18"/>
                <w:lang w:eastAsia="en-CA"/>
              </w:rPr>
            </w:pPr>
            <w:r w:rsidRPr="00B74EDE">
              <w:rPr>
                <w:color w:val="000000" w:themeColor="text1"/>
                <w:sz w:val="18"/>
                <w:szCs w:val="18"/>
              </w:rPr>
              <w:t>2,247,489</w:t>
            </w:r>
          </w:p>
        </w:tc>
      </w:tr>
    </w:tbl>
    <w:p w:rsidR="004C5696" w:rsidRDefault="004C5696" w:rsidP="004C5696">
      <w:pPr>
        <w:rPr>
          <w:sz w:val="20"/>
          <w:szCs w:val="20"/>
        </w:rPr>
      </w:pPr>
      <w:r w:rsidRPr="006B143F">
        <w:rPr>
          <w:sz w:val="20"/>
          <w:szCs w:val="20"/>
        </w:rPr>
        <w:t>Sources: Statistics Canada, 2016 Canadian Census</w:t>
      </w:r>
    </w:p>
    <w:p w:rsidR="004C5696" w:rsidRDefault="004C5696" w:rsidP="004C5696">
      <w:pPr>
        <w:rPr>
          <w:rFonts w:cs="Times New Roman"/>
        </w:rPr>
      </w:pPr>
      <w:r>
        <w:t>The population is</w:t>
      </w:r>
      <w:r w:rsidRPr="00C31C4F">
        <w:t xml:space="preserve"> assigned at the start of </w:t>
      </w:r>
      <w:r>
        <w:t>a given y</w:t>
      </w:r>
      <w:r w:rsidRPr="00C31C4F">
        <w:t xml:space="preserve">ear </w:t>
      </w:r>
      <w:r>
        <w:t>“</w:t>
      </w:r>
      <w:r w:rsidRPr="00C31C4F">
        <w:t>t</w:t>
      </w:r>
      <w:r>
        <w:t>” into one of the occupations or into the unemployed or “not in the labour force” categories.</w:t>
      </w:r>
      <w:r w:rsidRPr="00C31C4F">
        <w:t xml:space="preserve"> </w:t>
      </w:r>
      <w:r>
        <w:t>In addition, the modelling framework takes into account new entrants, who have no labour market designation in year “t” but are introduced in year “t+1” to reflect demographic factors and immigration</w:t>
      </w:r>
      <w:r w:rsidRPr="00C0693D">
        <w:rPr>
          <w:rFonts w:cs="Times New Roman"/>
        </w:rPr>
        <w:t>. The assignment reflects the age-sex breakdowns for each of the categories.</w:t>
      </w:r>
    </w:p>
    <w:p w:rsidR="004C5696" w:rsidRPr="005D1A9F" w:rsidRDefault="005D1A9F" w:rsidP="005D1A9F">
      <w:pPr>
        <w:rPr>
          <w:rFonts w:cs="Times New Roman"/>
        </w:rPr>
      </w:pPr>
      <w:r>
        <w:rPr>
          <w:rFonts w:cs="Times New Roman"/>
        </w:rPr>
        <w:lastRenderedPageBreak/>
        <w:t>Table</w:t>
      </w:r>
      <w:r w:rsidR="00FE095F">
        <w:rPr>
          <w:rFonts w:cs="Times New Roman"/>
        </w:rPr>
        <w:t>s</w:t>
      </w:r>
      <w:r>
        <w:rPr>
          <w:rFonts w:cs="Times New Roman"/>
        </w:rPr>
        <w:t xml:space="preserve"> 4</w:t>
      </w:r>
      <w:r w:rsidR="00FE095F">
        <w:rPr>
          <w:rFonts w:cs="Times New Roman"/>
        </w:rPr>
        <w:t>-5 set</w:t>
      </w:r>
      <w:r w:rsidR="004C5696">
        <w:rPr>
          <w:rFonts w:cs="Times New Roman"/>
        </w:rPr>
        <w:t xml:space="preserve"> out the data describ</w:t>
      </w:r>
      <w:r w:rsidR="002A024D">
        <w:rPr>
          <w:rFonts w:cs="Times New Roman"/>
        </w:rPr>
        <w:t xml:space="preserve">ing mobility across occupations, gender, </w:t>
      </w:r>
      <w:r w:rsidR="004C5696">
        <w:rPr>
          <w:rFonts w:cs="Times New Roman"/>
        </w:rPr>
        <w:t>and across labour market situations.  The probability of remaining in a category is given in the diagonal; thus, the probability of a manager remaining a manager in year “t+1” is 88.6%; the probability of a manager exiting the labour force is 2.8%.  Similarly, the probability of a professional or technical worker moving into manager</w:t>
      </w:r>
      <w:r>
        <w:rPr>
          <w:rFonts w:cs="Times New Roman"/>
        </w:rPr>
        <w:t xml:space="preserve">ial work is 1.0% and so forth. </w:t>
      </w:r>
    </w:p>
    <w:p w:rsidR="004C5696" w:rsidRDefault="004C5696" w:rsidP="004C5696">
      <w:pPr>
        <w:pStyle w:val="Caption"/>
      </w:pPr>
    </w:p>
    <w:p w:rsidR="00FE095F" w:rsidRPr="00FE095F" w:rsidRDefault="00FE095F" w:rsidP="00FE095F">
      <w:pPr>
        <w:pStyle w:val="Caption"/>
      </w:pPr>
      <w:r w:rsidRPr="00C31C4F">
        <w:t xml:space="preserve">Table </w:t>
      </w:r>
      <w:r>
        <w:t>4:</w:t>
      </w:r>
      <w:r w:rsidRPr="00C31C4F">
        <w:t xml:space="preserve"> Mobility data</w:t>
      </w:r>
      <w:r>
        <w:t xml:space="preserve"> between categories (male)</w:t>
      </w:r>
      <w:r>
        <w:fldChar w:fldCharType="begin"/>
      </w:r>
      <w:r>
        <w:instrText xml:space="preserve"> LINK Excel.Sheet.12 "Book1" "Sheet1!R3C3:R14C13" \a \f 4 \h  \* MERGEFORMAT </w:instrText>
      </w:r>
      <w:r>
        <w:fldChar w:fldCharType="separate"/>
      </w:r>
    </w:p>
    <w:tbl>
      <w:tblPr>
        <w:tblStyle w:val="GridTable1LightAccent5"/>
        <w:tblW w:w="8020" w:type="dxa"/>
        <w:tblLook w:val="04A0" w:firstRow="1" w:lastRow="0" w:firstColumn="1" w:lastColumn="0" w:noHBand="0" w:noVBand="1"/>
      </w:tblPr>
      <w:tblGrid>
        <w:gridCol w:w="1127"/>
        <w:gridCol w:w="1076"/>
        <w:gridCol w:w="621"/>
        <w:gridCol w:w="621"/>
        <w:gridCol w:w="1077"/>
        <w:gridCol w:w="826"/>
        <w:gridCol w:w="621"/>
        <w:gridCol w:w="807"/>
        <w:gridCol w:w="797"/>
        <w:gridCol w:w="746"/>
        <w:gridCol w:w="621"/>
      </w:tblGrid>
      <w:tr w:rsidR="00FE095F" w:rsidRPr="00FE095F" w:rsidTr="00FE095F">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rsidR="00FE095F" w:rsidRPr="00FE095F" w:rsidRDefault="00FE095F" w:rsidP="00FE095F">
            <w:pPr>
              <w:jc w:val="left"/>
              <w:rPr>
                <w:rFonts w:ascii="Calibri" w:eastAsia="Times New Roman" w:hAnsi="Calibri" w:cs="Times New Roman"/>
                <w:color w:val="000000"/>
                <w:sz w:val="22"/>
                <w:szCs w:val="22"/>
                <w:lang w:eastAsia="zh-CN"/>
              </w:rPr>
            </w:pPr>
            <w:r w:rsidRPr="00FE095F">
              <w:rPr>
                <w:rFonts w:ascii="Calibri" w:eastAsia="Times New Roman" w:hAnsi="Calibri" w:cs="Times New Roman"/>
                <w:color w:val="000000"/>
                <w:sz w:val="22"/>
                <w:szCs w:val="22"/>
                <w:lang w:eastAsia="zh-CN"/>
              </w:rPr>
              <w:t> </w:t>
            </w:r>
          </w:p>
        </w:tc>
        <w:tc>
          <w:tcPr>
            <w:tcW w:w="740" w:type="dxa"/>
            <w:hideMark/>
          </w:tcPr>
          <w:p w:rsidR="00FE095F" w:rsidRPr="00FE095F" w:rsidRDefault="00FE095F" w:rsidP="00FE095F">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Manage</w:t>
            </w:r>
            <w:r>
              <w:rPr>
                <w:rFonts w:eastAsia="Times New Roman" w:cs="Times New Roman"/>
                <w:b w:val="0"/>
                <w:bCs w:val="0"/>
                <w:color w:val="000000"/>
                <w:sz w:val="18"/>
                <w:szCs w:val="18"/>
                <w:lang w:eastAsia="zh-CN"/>
              </w:rPr>
              <w:t>rial</w:t>
            </w:r>
          </w:p>
        </w:tc>
        <w:tc>
          <w:tcPr>
            <w:tcW w:w="660" w:type="dxa"/>
            <w:hideMark/>
          </w:tcPr>
          <w:p w:rsidR="00FE095F" w:rsidRPr="00FE095F" w:rsidRDefault="00FE095F" w:rsidP="00FE095F">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Pr>
                <w:rFonts w:eastAsia="Times New Roman" w:cs="Times New Roman"/>
                <w:b w:val="0"/>
                <w:bCs w:val="0"/>
                <w:color w:val="000000"/>
                <w:sz w:val="18"/>
                <w:szCs w:val="18"/>
                <w:lang w:eastAsia="zh-CN"/>
              </w:rPr>
              <w:t>Prof</w:t>
            </w:r>
          </w:p>
        </w:tc>
        <w:tc>
          <w:tcPr>
            <w:tcW w:w="660" w:type="dxa"/>
            <w:hideMark/>
          </w:tcPr>
          <w:p w:rsidR="00FE095F" w:rsidRPr="00FE095F" w:rsidRDefault="00FE095F" w:rsidP="00FE095F">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Pr>
                <w:rFonts w:eastAsia="Times New Roman" w:cs="Times New Roman"/>
                <w:b w:val="0"/>
                <w:bCs w:val="0"/>
                <w:color w:val="000000"/>
                <w:sz w:val="18"/>
                <w:szCs w:val="18"/>
                <w:lang w:eastAsia="zh-CN"/>
              </w:rPr>
              <w:t>Tech</w:t>
            </w:r>
          </w:p>
        </w:tc>
        <w:tc>
          <w:tcPr>
            <w:tcW w:w="860" w:type="dxa"/>
            <w:hideMark/>
          </w:tcPr>
          <w:p w:rsidR="00FE095F" w:rsidRPr="00FE095F" w:rsidRDefault="00FE095F" w:rsidP="00FE095F">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Pr>
                <w:rFonts w:eastAsia="Times New Roman" w:cs="Times New Roman"/>
                <w:b w:val="0"/>
                <w:bCs w:val="0"/>
                <w:color w:val="000000"/>
                <w:sz w:val="18"/>
                <w:szCs w:val="18"/>
                <w:lang w:eastAsia="zh-CN"/>
              </w:rPr>
              <w:t>Community</w:t>
            </w:r>
          </w:p>
        </w:tc>
        <w:tc>
          <w:tcPr>
            <w:tcW w:w="800" w:type="dxa"/>
            <w:hideMark/>
          </w:tcPr>
          <w:p w:rsidR="00FE095F" w:rsidRPr="00FE095F" w:rsidRDefault="00FE095F" w:rsidP="00FE095F">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Clerical</w:t>
            </w:r>
          </w:p>
        </w:tc>
        <w:tc>
          <w:tcPr>
            <w:tcW w:w="640" w:type="dxa"/>
            <w:hideMark/>
          </w:tcPr>
          <w:p w:rsidR="00FE095F" w:rsidRPr="00FE095F" w:rsidRDefault="00FE095F" w:rsidP="00FE095F">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Sales</w:t>
            </w:r>
          </w:p>
        </w:tc>
        <w:tc>
          <w:tcPr>
            <w:tcW w:w="720" w:type="dxa"/>
            <w:hideMark/>
          </w:tcPr>
          <w:p w:rsidR="00FE095F" w:rsidRPr="00FE095F" w:rsidRDefault="00FE095F" w:rsidP="00FE095F">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Machin</w:t>
            </w:r>
          </w:p>
        </w:tc>
        <w:tc>
          <w:tcPr>
            <w:tcW w:w="700" w:type="dxa"/>
            <w:hideMark/>
          </w:tcPr>
          <w:p w:rsidR="00FE095F" w:rsidRPr="00FE095F" w:rsidRDefault="00FE095F" w:rsidP="00FE095F">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Labour</w:t>
            </w:r>
          </w:p>
        </w:tc>
        <w:tc>
          <w:tcPr>
            <w:tcW w:w="680" w:type="dxa"/>
            <w:hideMark/>
          </w:tcPr>
          <w:p w:rsidR="00FE095F" w:rsidRPr="00FE095F" w:rsidRDefault="00FE095F" w:rsidP="00FE095F">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UEMP</w:t>
            </w:r>
          </w:p>
        </w:tc>
        <w:tc>
          <w:tcPr>
            <w:tcW w:w="600" w:type="dxa"/>
            <w:hideMark/>
          </w:tcPr>
          <w:p w:rsidR="00FE095F" w:rsidRPr="00FE095F" w:rsidRDefault="00FE095F" w:rsidP="00FE095F">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NLF</w:t>
            </w:r>
          </w:p>
        </w:tc>
      </w:tr>
      <w:tr w:rsidR="00FE095F" w:rsidRPr="00FE095F" w:rsidTr="00FE095F">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rsidR="00FE095F" w:rsidRPr="00FE095F" w:rsidRDefault="00FE095F" w:rsidP="00FE095F">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Manage</w:t>
            </w:r>
            <w:r>
              <w:rPr>
                <w:rFonts w:eastAsia="Times New Roman" w:cs="Times New Roman"/>
                <w:b w:val="0"/>
                <w:bCs w:val="0"/>
                <w:color w:val="000000"/>
                <w:sz w:val="18"/>
                <w:szCs w:val="18"/>
                <w:lang w:eastAsia="zh-CN"/>
              </w:rPr>
              <w:t>rial</w:t>
            </w:r>
          </w:p>
        </w:tc>
        <w:tc>
          <w:tcPr>
            <w:tcW w:w="7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86.99</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2.37</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0.98</w:t>
            </w:r>
          </w:p>
        </w:tc>
        <w:tc>
          <w:tcPr>
            <w:tcW w:w="8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0.32</w:t>
            </w:r>
          </w:p>
        </w:tc>
        <w:tc>
          <w:tcPr>
            <w:tcW w:w="8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0.19</w:t>
            </w:r>
          </w:p>
        </w:tc>
        <w:tc>
          <w:tcPr>
            <w:tcW w:w="6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2.08</w:t>
            </w:r>
          </w:p>
        </w:tc>
        <w:tc>
          <w:tcPr>
            <w:tcW w:w="72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1.26</w:t>
            </w:r>
          </w:p>
        </w:tc>
        <w:tc>
          <w:tcPr>
            <w:tcW w:w="7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0.03</w:t>
            </w:r>
          </w:p>
        </w:tc>
        <w:tc>
          <w:tcPr>
            <w:tcW w:w="68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1.64</w:t>
            </w:r>
          </w:p>
        </w:tc>
        <w:tc>
          <w:tcPr>
            <w:tcW w:w="6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4.14</w:t>
            </w:r>
          </w:p>
        </w:tc>
      </w:tr>
      <w:tr w:rsidR="00FE095F" w:rsidRPr="00FE095F" w:rsidTr="00FE095F">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rsidR="00FE095F" w:rsidRPr="00FE095F" w:rsidRDefault="00FE095F" w:rsidP="00FE095F">
            <w:pPr>
              <w:jc w:val="left"/>
              <w:rPr>
                <w:rFonts w:eastAsia="Times New Roman" w:cs="Times New Roman"/>
                <w:color w:val="000000"/>
                <w:sz w:val="18"/>
                <w:szCs w:val="18"/>
                <w:lang w:eastAsia="zh-CN"/>
              </w:rPr>
            </w:pPr>
            <w:r>
              <w:rPr>
                <w:rFonts w:eastAsia="Times New Roman" w:cs="Times New Roman"/>
                <w:b w:val="0"/>
                <w:bCs w:val="0"/>
                <w:color w:val="000000"/>
                <w:sz w:val="18"/>
                <w:szCs w:val="18"/>
                <w:lang w:eastAsia="zh-CN"/>
              </w:rPr>
              <w:t>Prof</w:t>
            </w:r>
          </w:p>
        </w:tc>
        <w:tc>
          <w:tcPr>
            <w:tcW w:w="7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1.98</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87.88</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1.73</w:t>
            </w:r>
          </w:p>
        </w:tc>
        <w:tc>
          <w:tcPr>
            <w:tcW w:w="8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0.11</w:t>
            </w:r>
          </w:p>
        </w:tc>
        <w:tc>
          <w:tcPr>
            <w:tcW w:w="8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0.23</w:t>
            </w:r>
          </w:p>
        </w:tc>
        <w:tc>
          <w:tcPr>
            <w:tcW w:w="6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1.14</w:t>
            </w:r>
          </w:p>
        </w:tc>
        <w:tc>
          <w:tcPr>
            <w:tcW w:w="72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0.76</w:t>
            </w:r>
          </w:p>
        </w:tc>
        <w:tc>
          <w:tcPr>
            <w:tcW w:w="7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0.09</w:t>
            </w:r>
          </w:p>
        </w:tc>
        <w:tc>
          <w:tcPr>
            <w:tcW w:w="68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1.75</w:t>
            </w:r>
          </w:p>
        </w:tc>
        <w:tc>
          <w:tcPr>
            <w:tcW w:w="6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4.33</w:t>
            </w:r>
          </w:p>
        </w:tc>
      </w:tr>
      <w:tr w:rsidR="00FE095F" w:rsidRPr="00FE095F" w:rsidTr="00FE095F">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rsidR="00FE095F" w:rsidRPr="00FE095F" w:rsidRDefault="00FE095F" w:rsidP="00FE095F">
            <w:pPr>
              <w:jc w:val="left"/>
              <w:rPr>
                <w:rFonts w:eastAsia="Times New Roman" w:cs="Times New Roman"/>
                <w:color w:val="000000"/>
                <w:sz w:val="18"/>
                <w:szCs w:val="18"/>
                <w:lang w:eastAsia="zh-CN"/>
              </w:rPr>
            </w:pPr>
            <w:r>
              <w:rPr>
                <w:rFonts w:eastAsia="Times New Roman" w:cs="Times New Roman"/>
                <w:b w:val="0"/>
                <w:bCs w:val="0"/>
                <w:color w:val="000000"/>
                <w:sz w:val="18"/>
                <w:szCs w:val="18"/>
                <w:lang w:eastAsia="zh-CN"/>
              </w:rPr>
              <w:t>Tech</w:t>
            </w:r>
          </w:p>
        </w:tc>
        <w:tc>
          <w:tcPr>
            <w:tcW w:w="7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0.25</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3.25</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86.37</w:t>
            </w:r>
          </w:p>
        </w:tc>
        <w:tc>
          <w:tcPr>
            <w:tcW w:w="8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0.24</w:t>
            </w:r>
          </w:p>
        </w:tc>
        <w:tc>
          <w:tcPr>
            <w:tcW w:w="8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0.36</w:t>
            </w:r>
          </w:p>
        </w:tc>
        <w:tc>
          <w:tcPr>
            <w:tcW w:w="6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2.31</w:t>
            </w:r>
          </w:p>
        </w:tc>
        <w:tc>
          <w:tcPr>
            <w:tcW w:w="72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2.07</w:t>
            </w:r>
          </w:p>
        </w:tc>
        <w:tc>
          <w:tcPr>
            <w:tcW w:w="7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0.57</w:t>
            </w:r>
          </w:p>
        </w:tc>
        <w:tc>
          <w:tcPr>
            <w:tcW w:w="68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1.59</w:t>
            </w:r>
          </w:p>
        </w:tc>
        <w:tc>
          <w:tcPr>
            <w:tcW w:w="6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2.98</w:t>
            </w:r>
          </w:p>
        </w:tc>
      </w:tr>
      <w:tr w:rsidR="00FE095F" w:rsidRPr="00FE095F" w:rsidTr="00FE095F">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rsidR="00FE095F" w:rsidRPr="00FE095F" w:rsidRDefault="00FE095F" w:rsidP="00FE095F">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Commun</w:t>
            </w:r>
            <w:r>
              <w:rPr>
                <w:rFonts w:eastAsia="Times New Roman" w:cs="Times New Roman"/>
                <w:b w:val="0"/>
                <w:bCs w:val="0"/>
                <w:color w:val="000000"/>
                <w:sz w:val="18"/>
                <w:szCs w:val="18"/>
                <w:lang w:eastAsia="zh-CN"/>
              </w:rPr>
              <w:t>ity</w:t>
            </w:r>
          </w:p>
        </w:tc>
        <w:tc>
          <w:tcPr>
            <w:tcW w:w="7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0.4</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1.42</w:t>
            </w:r>
          </w:p>
        </w:tc>
        <w:tc>
          <w:tcPr>
            <w:tcW w:w="8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89.54</w:t>
            </w:r>
          </w:p>
        </w:tc>
        <w:tc>
          <w:tcPr>
            <w:tcW w:w="8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0.7</w:t>
            </w:r>
          </w:p>
        </w:tc>
        <w:tc>
          <w:tcPr>
            <w:tcW w:w="6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3.91</w:t>
            </w:r>
          </w:p>
        </w:tc>
        <w:tc>
          <w:tcPr>
            <w:tcW w:w="72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w:t>
            </w:r>
          </w:p>
        </w:tc>
        <w:tc>
          <w:tcPr>
            <w:tcW w:w="7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w:t>
            </w:r>
          </w:p>
        </w:tc>
        <w:tc>
          <w:tcPr>
            <w:tcW w:w="68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1.18</w:t>
            </w:r>
          </w:p>
        </w:tc>
        <w:tc>
          <w:tcPr>
            <w:tcW w:w="6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2.27</w:t>
            </w:r>
          </w:p>
        </w:tc>
      </w:tr>
      <w:tr w:rsidR="00FE095F" w:rsidRPr="00FE095F" w:rsidTr="00FE095F">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rsidR="00FE095F" w:rsidRPr="00FE095F" w:rsidRDefault="00FE095F" w:rsidP="00FE095F">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Clerical</w:t>
            </w:r>
          </w:p>
        </w:tc>
        <w:tc>
          <w:tcPr>
            <w:tcW w:w="7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2.24</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8.05</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1.51</w:t>
            </w:r>
          </w:p>
        </w:tc>
        <w:tc>
          <w:tcPr>
            <w:tcW w:w="8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0.62</w:t>
            </w:r>
          </w:p>
        </w:tc>
        <w:tc>
          <w:tcPr>
            <w:tcW w:w="8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18"/>
                <w:szCs w:val="18"/>
                <w:lang w:eastAsia="zh-CN"/>
              </w:rPr>
            </w:pPr>
            <w:r w:rsidRPr="00FE095F">
              <w:rPr>
                <w:rFonts w:eastAsia="Times New Roman" w:cs="Times New Roman"/>
                <w:color w:val="FF0000"/>
                <w:sz w:val="18"/>
                <w:szCs w:val="18"/>
                <w:lang w:eastAsia="zh-CN"/>
              </w:rPr>
              <w:t>74.96</w:t>
            </w:r>
          </w:p>
        </w:tc>
        <w:tc>
          <w:tcPr>
            <w:tcW w:w="6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5.09</w:t>
            </w:r>
          </w:p>
        </w:tc>
        <w:tc>
          <w:tcPr>
            <w:tcW w:w="72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1.98</w:t>
            </w:r>
          </w:p>
        </w:tc>
        <w:tc>
          <w:tcPr>
            <w:tcW w:w="7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0.03</w:t>
            </w:r>
          </w:p>
        </w:tc>
        <w:tc>
          <w:tcPr>
            <w:tcW w:w="68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2.66</w:t>
            </w:r>
          </w:p>
        </w:tc>
        <w:tc>
          <w:tcPr>
            <w:tcW w:w="6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2.85</w:t>
            </w:r>
          </w:p>
        </w:tc>
      </w:tr>
      <w:tr w:rsidR="00FE095F" w:rsidRPr="00FE095F" w:rsidTr="00FE095F">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rsidR="00FE095F" w:rsidRPr="00FE095F" w:rsidRDefault="00FE095F" w:rsidP="00FE095F">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Sales</w:t>
            </w:r>
          </w:p>
        </w:tc>
        <w:tc>
          <w:tcPr>
            <w:tcW w:w="7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2.06</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1.49</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0.53</w:t>
            </w:r>
          </w:p>
        </w:tc>
        <w:tc>
          <w:tcPr>
            <w:tcW w:w="8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0.3</w:t>
            </w:r>
          </w:p>
        </w:tc>
        <w:tc>
          <w:tcPr>
            <w:tcW w:w="8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1.42</w:t>
            </w:r>
          </w:p>
        </w:tc>
        <w:tc>
          <w:tcPr>
            <w:tcW w:w="6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77.66</w:t>
            </w:r>
          </w:p>
        </w:tc>
        <w:tc>
          <w:tcPr>
            <w:tcW w:w="72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3.61</w:t>
            </w:r>
          </w:p>
        </w:tc>
        <w:tc>
          <w:tcPr>
            <w:tcW w:w="7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1.25</w:t>
            </w:r>
          </w:p>
        </w:tc>
        <w:tc>
          <w:tcPr>
            <w:tcW w:w="68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4.37</w:t>
            </w:r>
          </w:p>
        </w:tc>
        <w:tc>
          <w:tcPr>
            <w:tcW w:w="6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7.31</w:t>
            </w:r>
          </w:p>
        </w:tc>
      </w:tr>
      <w:tr w:rsidR="00FE095F" w:rsidRPr="00FE095F" w:rsidTr="00FE095F">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rsidR="00FE095F" w:rsidRPr="00FE095F" w:rsidRDefault="00FE095F" w:rsidP="00FE095F">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Machin</w:t>
            </w:r>
          </w:p>
        </w:tc>
        <w:tc>
          <w:tcPr>
            <w:tcW w:w="7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0.88</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0.53</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0.95</w:t>
            </w:r>
          </w:p>
        </w:tc>
        <w:tc>
          <w:tcPr>
            <w:tcW w:w="8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0.13</w:t>
            </w:r>
          </w:p>
        </w:tc>
        <w:tc>
          <w:tcPr>
            <w:tcW w:w="8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0.26</w:t>
            </w:r>
          </w:p>
        </w:tc>
        <w:tc>
          <w:tcPr>
            <w:tcW w:w="6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1.55</w:t>
            </w:r>
          </w:p>
        </w:tc>
        <w:tc>
          <w:tcPr>
            <w:tcW w:w="72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18"/>
                <w:szCs w:val="18"/>
                <w:lang w:eastAsia="zh-CN"/>
              </w:rPr>
            </w:pPr>
            <w:r w:rsidRPr="00FE095F">
              <w:rPr>
                <w:rFonts w:eastAsia="Times New Roman" w:cs="Times New Roman"/>
                <w:color w:val="FF0000"/>
                <w:sz w:val="18"/>
                <w:szCs w:val="18"/>
                <w:lang w:eastAsia="zh-CN"/>
              </w:rPr>
              <w:t>85.79</w:t>
            </w:r>
          </w:p>
        </w:tc>
        <w:tc>
          <w:tcPr>
            <w:tcW w:w="7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0.9</w:t>
            </w:r>
          </w:p>
        </w:tc>
        <w:tc>
          <w:tcPr>
            <w:tcW w:w="68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3.87</w:t>
            </w:r>
          </w:p>
        </w:tc>
        <w:tc>
          <w:tcPr>
            <w:tcW w:w="6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5.14</w:t>
            </w:r>
          </w:p>
        </w:tc>
      </w:tr>
      <w:tr w:rsidR="00FE095F" w:rsidRPr="00FE095F" w:rsidTr="00FE095F">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rsidR="00FE095F" w:rsidRPr="00FE095F" w:rsidRDefault="00FE095F" w:rsidP="00FE095F">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Labour</w:t>
            </w:r>
          </w:p>
        </w:tc>
        <w:tc>
          <w:tcPr>
            <w:tcW w:w="7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0.24</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0.46</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3.24</w:t>
            </w:r>
          </w:p>
        </w:tc>
        <w:tc>
          <w:tcPr>
            <w:tcW w:w="8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0.24</w:t>
            </w:r>
          </w:p>
        </w:tc>
        <w:tc>
          <w:tcPr>
            <w:tcW w:w="8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0.92</w:t>
            </w:r>
          </w:p>
        </w:tc>
        <w:tc>
          <w:tcPr>
            <w:tcW w:w="6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4.97</w:t>
            </w:r>
          </w:p>
        </w:tc>
        <w:tc>
          <w:tcPr>
            <w:tcW w:w="72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8.28</w:t>
            </w:r>
          </w:p>
        </w:tc>
        <w:tc>
          <w:tcPr>
            <w:tcW w:w="7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70</w:t>
            </w:r>
          </w:p>
        </w:tc>
        <w:tc>
          <w:tcPr>
            <w:tcW w:w="68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3.77</w:t>
            </w:r>
          </w:p>
        </w:tc>
        <w:tc>
          <w:tcPr>
            <w:tcW w:w="6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7.88</w:t>
            </w:r>
          </w:p>
        </w:tc>
      </w:tr>
      <w:tr w:rsidR="00FE095F" w:rsidRPr="00FE095F" w:rsidTr="00FE095F">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rsidR="00FE095F" w:rsidRPr="00FE095F" w:rsidRDefault="00FE095F" w:rsidP="00FE095F">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 xml:space="preserve"> UEMP</w:t>
            </w:r>
          </w:p>
        </w:tc>
        <w:tc>
          <w:tcPr>
            <w:tcW w:w="7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2.23</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7.42</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3.42</w:t>
            </w:r>
          </w:p>
        </w:tc>
        <w:tc>
          <w:tcPr>
            <w:tcW w:w="8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1.02</w:t>
            </w:r>
          </w:p>
        </w:tc>
        <w:tc>
          <w:tcPr>
            <w:tcW w:w="8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1.04</w:t>
            </w:r>
          </w:p>
        </w:tc>
        <w:tc>
          <w:tcPr>
            <w:tcW w:w="6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12.81</w:t>
            </w:r>
          </w:p>
        </w:tc>
        <w:tc>
          <w:tcPr>
            <w:tcW w:w="72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15.3</w:t>
            </w:r>
          </w:p>
        </w:tc>
        <w:tc>
          <w:tcPr>
            <w:tcW w:w="7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2.28</w:t>
            </w:r>
          </w:p>
        </w:tc>
        <w:tc>
          <w:tcPr>
            <w:tcW w:w="68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36.49</w:t>
            </w:r>
          </w:p>
        </w:tc>
        <w:tc>
          <w:tcPr>
            <w:tcW w:w="6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18</w:t>
            </w:r>
          </w:p>
        </w:tc>
      </w:tr>
      <w:tr w:rsidR="00FE095F" w:rsidRPr="00FE095F" w:rsidTr="00FE095F">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rsidR="00FE095F" w:rsidRPr="00FE095F" w:rsidRDefault="00FE095F" w:rsidP="00FE095F">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New</w:t>
            </w:r>
          </w:p>
        </w:tc>
        <w:tc>
          <w:tcPr>
            <w:tcW w:w="7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2.28</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7.12</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3.47</w:t>
            </w:r>
          </w:p>
        </w:tc>
        <w:tc>
          <w:tcPr>
            <w:tcW w:w="8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1.34</w:t>
            </w:r>
          </w:p>
        </w:tc>
        <w:tc>
          <w:tcPr>
            <w:tcW w:w="8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1.37</w:t>
            </w:r>
          </w:p>
        </w:tc>
        <w:tc>
          <w:tcPr>
            <w:tcW w:w="6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15</w:t>
            </w:r>
          </w:p>
        </w:tc>
        <w:tc>
          <w:tcPr>
            <w:tcW w:w="72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11.77</w:t>
            </w:r>
          </w:p>
        </w:tc>
        <w:tc>
          <w:tcPr>
            <w:tcW w:w="7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2.71</w:t>
            </w:r>
          </w:p>
        </w:tc>
        <w:tc>
          <w:tcPr>
            <w:tcW w:w="68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38.38</w:t>
            </w:r>
          </w:p>
        </w:tc>
        <w:tc>
          <w:tcPr>
            <w:tcW w:w="6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16.57</w:t>
            </w:r>
          </w:p>
        </w:tc>
      </w:tr>
      <w:tr w:rsidR="00FE095F" w:rsidRPr="00FE095F" w:rsidTr="00FE095F">
        <w:trPr>
          <w:trHeight w:val="300"/>
        </w:trPr>
        <w:tc>
          <w:tcPr>
            <w:cnfStyle w:val="001000000000" w:firstRow="0" w:lastRow="0" w:firstColumn="1" w:lastColumn="0" w:oddVBand="0" w:evenVBand="0" w:oddHBand="0" w:evenHBand="0" w:firstRowFirstColumn="0" w:firstRowLastColumn="0" w:lastRowFirstColumn="0" w:lastRowLastColumn="0"/>
            <w:tcW w:w="960" w:type="dxa"/>
            <w:hideMark/>
          </w:tcPr>
          <w:p w:rsidR="00FE095F" w:rsidRPr="00FE095F" w:rsidRDefault="00FE095F" w:rsidP="00FE095F">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NLF</w:t>
            </w:r>
          </w:p>
        </w:tc>
        <w:tc>
          <w:tcPr>
            <w:tcW w:w="7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0.5</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1.68</w:t>
            </w:r>
          </w:p>
        </w:tc>
        <w:tc>
          <w:tcPr>
            <w:tcW w:w="6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1.17</w:t>
            </w:r>
          </w:p>
        </w:tc>
        <w:tc>
          <w:tcPr>
            <w:tcW w:w="86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0.09</w:t>
            </w:r>
          </w:p>
        </w:tc>
        <w:tc>
          <w:tcPr>
            <w:tcW w:w="8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0.17</w:t>
            </w:r>
          </w:p>
        </w:tc>
        <w:tc>
          <w:tcPr>
            <w:tcW w:w="64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4.33</w:t>
            </w:r>
          </w:p>
        </w:tc>
        <w:tc>
          <w:tcPr>
            <w:tcW w:w="72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3.1</w:t>
            </w:r>
          </w:p>
        </w:tc>
        <w:tc>
          <w:tcPr>
            <w:tcW w:w="7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1.11</w:t>
            </w:r>
          </w:p>
        </w:tc>
        <w:tc>
          <w:tcPr>
            <w:tcW w:w="68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5.51</w:t>
            </w:r>
          </w:p>
        </w:tc>
        <w:tc>
          <w:tcPr>
            <w:tcW w:w="600" w:type="dxa"/>
            <w:hideMark/>
          </w:tcPr>
          <w:p w:rsidR="00FE095F" w:rsidRPr="00FE095F" w:rsidRDefault="00FE095F" w:rsidP="00FE095F">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82.35</w:t>
            </w:r>
          </w:p>
        </w:tc>
      </w:tr>
    </w:tbl>
    <w:p w:rsidR="00FE095F" w:rsidRPr="002A024D" w:rsidRDefault="00FE095F" w:rsidP="00FE095F">
      <w:pPr>
        <w:rPr>
          <w:sz w:val="20"/>
          <w:szCs w:val="20"/>
          <w:lang w:eastAsia="en-US"/>
        </w:rPr>
      </w:pPr>
      <w:r>
        <w:rPr>
          <w:lang w:eastAsia="en-US"/>
        </w:rPr>
        <w:fldChar w:fldCharType="end"/>
      </w:r>
      <w:r w:rsidR="002A024D" w:rsidRPr="002A024D">
        <w:rPr>
          <w:sz w:val="20"/>
          <w:szCs w:val="20"/>
        </w:rPr>
        <w:t xml:space="preserve"> </w:t>
      </w:r>
      <w:r w:rsidR="002A024D" w:rsidRPr="002A024D">
        <w:rPr>
          <w:sz w:val="20"/>
          <w:szCs w:val="20"/>
          <w:lang w:eastAsia="en-US"/>
        </w:rPr>
        <w:t xml:space="preserve">Sources: Statistics Canada, Survey of Labour and Income Dynamics (SLID)  </w:t>
      </w:r>
    </w:p>
    <w:p w:rsidR="00852969" w:rsidRPr="00CF6D8E" w:rsidRDefault="00852969" w:rsidP="00FE095F">
      <w:pPr>
        <w:rPr>
          <w:b/>
          <w:lang w:eastAsia="en-US"/>
        </w:rPr>
      </w:pPr>
      <w:r w:rsidRPr="00CF6D8E">
        <w:rPr>
          <w:b/>
          <w:lang w:eastAsia="en-US"/>
        </w:rPr>
        <w:t>Table 5: Mobility data between categories (female)</w:t>
      </w:r>
    </w:p>
    <w:tbl>
      <w:tblPr>
        <w:tblStyle w:val="GridTable1LightAccent5"/>
        <w:tblW w:w="8940" w:type="dxa"/>
        <w:tblLook w:val="04A0" w:firstRow="1" w:lastRow="0" w:firstColumn="1" w:lastColumn="0" w:noHBand="0" w:noVBand="1"/>
      </w:tblPr>
      <w:tblGrid>
        <w:gridCol w:w="1127"/>
        <w:gridCol w:w="1076"/>
        <w:gridCol w:w="621"/>
        <w:gridCol w:w="621"/>
        <w:gridCol w:w="1077"/>
        <w:gridCol w:w="826"/>
        <w:gridCol w:w="621"/>
        <w:gridCol w:w="807"/>
        <w:gridCol w:w="797"/>
        <w:gridCol w:w="746"/>
        <w:gridCol w:w="621"/>
      </w:tblGrid>
      <w:tr w:rsidR="00852969" w:rsidRPr="00FE095F" w:rsidTr="00852969">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7" w:type="dxa"/>
            <w:hideMark/>
          </w:tcPr>
          <w:p w:rsidR="00852969" w:rsidRPr="00FE095F" w:rsidRDefault="00852969" w:rsidP="00DD290C">
            <w:pPr>
              <w:jc w:val="left"/>
              <w:rPr>
                <w:rFonts w:ascii="Calibri" w:eastAsia="Times New Roman" w:hAnsi="Calibri" w:cs="Times New Roman"/>
                <w:color w:val="000000"/>
                <w:sz w:val="22"/>
                <w:szCs w:val="22"/>
                <w:lang w:eastAsia="zh-CN"/>
              </w:rPr>
            </w:pPr>
            <w:r w:rsidRPr="00FE095F">
              <w:rPr>
                <w:rFonts w:ascii="Calibri" w:eastAsia="Times New Roman" w:hAnsi="Calibri" w:cs="Times New Roman"/>
                <w:color w:val="000000"/>
                <w:sz w:val="22"/>
                <w:szCs w:val="22"/>
                <w:lang w:eastAsia="zh-CN"/>
              </w:rPr>
              <w:t> </w:t>
            </w:r>
          </w:p>
        </w:tc>
        <w:tc>
          <w:tcPr>
            <w:tcW w:w="1076" w:type="dxa"/>
            <w:hideMark/>
          </w:tcPr>
          <w:p w:rsidR="00852969" w:rsidRPr="00FE095F" w:rsidRDefault="00852969" w:rsidP="00DD290C">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Manage</w:t>
            </w:r>
            <w:r>
              <w:rPr>
                <w:rFonts w:eastAsia="Times New Roman" w:cs="Times New Roman"/>
                <w:b w:val="0"/>
                <w:bCs w:val="0"/>
                <w:color w:val="000000"/>
                <w:sz w:val="18"/>
                <w:szCs w:val="18"/>
                <w:lang w:eastAsia="zh-CN"/>
              </w:rPr>
              <w:t>rial</w:t>
            </w:r>
          </w:p>
        </w:tc>
        <w:tc>
          <w:tcPr>
            <w:tcW w:w="621" w:type="dxa"/>
            <w:hideMark/>
          </w:tcPr>
          <w:p w:rsidR="00852969" w:rsidRPr="00FE095F" w:rsidRDefault="00852969" w:rsidP="00DD290C">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Pr>
                <w:rFonts w:eastAsia="Times New Roman" w:cs="Times New Roman"/>
                <w:b w:val="0"/>
                <w:bCs w:val="0"/>
                <w:color w:val="000000"/>
                <w:sz w:val="18"/>
                <w:szCs w:val="18"/>
                <w:lang w:eastAsia="zh-CN"/>
              </w:rPr>
              <w:t>Prof</w:t>
            </w:r>
          </w:p>
        </w:tc>
        <w:tc>
          <w:tcPr>
            <w:tcW w:w="621" w:type="dxa"/>
            <w:hideMark/>
          </w:tcPr>
          <w:p w:rsidR="00852969" w:rsidRPr="00FE095F" w:rsidRDefault="00852969" w:rsidP="00DD290C">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Pr>
                <w:rFonts w:eastAsia="Times New Roman" w:cs="Times New Roman"/>
                <w:b w:val="0"/>
                <w:bCs w:val="0"/>
                <w:color w:val="000000"/>
                <w:sz w:val="18"/>
                <w:szCs w:val="18"/>
                <w:lang w:eastAsia="zh-CN"/>
              </w:rPr>
              <w:t>Tech</w:t>
            </w:r>
          </w:p>
        </w:tc>
        <w:tc>
          <w:tcPr>
            <w:tcW w:w="1077" w:type="dxa"/>
            <w:hideMark/>
          </w:tcPr>
          <w:p w:rsidR="00852969" w:rsidRPr="00FE095F" w:rsidRDefault="00852969" w:rsidP="00DD290C">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Pr>
                <w:rFonts w:eastAsia="Times New Roman" w:cs="Times New Roman"/>
                <w:b w:val="0"/>
                <w:bCs w:val="0"/>
                <w:color w:val="000000"/>
                <w:sz w:val="18"/>
                <w:szCs w:val="18"/>
                <w:lang w:eastAsia="zh-CN"/>
              </w:rPr>
              <w:t>Community</w:t>
            </w:r>
          </w:p>
        </w:tc>
        <w:tc>
          <w:tcPr>
            <w:tcW w:w="826" w:type="dxa"/>
            <w:hideMark/>
          </w:tcPr>
          <w:p w:rsidR="00852969" w:rsidRPr="00FE095F" w:rsidRDefault="00852969" w:rsidP="00DD290C">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Clerical</w:t>
            </w:r>
          </w:p>
        </w:tc>
        <w:tc>
          <w:tcPr>
            <w:tcW w:w="621" w:type="dxa"/>
            <w:hideMark/>
          </w:tcPr>
          <w:p w:rsidR="00852969" w:rsidRPr="00FE095F" w:rsidRDefault="00852969" w:rsidP="00DD290C">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Sales</w:t>
            </w:r>
          </w:p>
        </w:tc>
        <w:tc>
          <w:tcPr>
            <w:tcW w:w="807" w:type="dxa"/>
            <w:hideMark/>
          </w:tcPr>
          <w:p w:rsidR="00852969" w:rsidRPr="00FE095F" w:rsidRDefault="00852969" w:rsidP="00DD290C">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Machin</w:t>
            </w:r>
          </w:p>
        </w:tc>
        <w:tc>
          <w:tcPr>
            <w:tcW w:w="797" w:type="dxa"/>
            <w:hideMark/>
          </w:tcPr>
          <w:p w:rsidR="00852969" w:rsidRPr="00FE095F" w:rsidRDefault="00852969" w:rsidP="00DD290C">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Labour</w:t>
            </w:r>
          </w:p>
        </w:tc>
        <w:tc>
          <w:tcPr>
            <w:tcW w:w="746" w:type="dxa"/>
            <w:hideMark/>
          </w:tcPr>
          <w:p w:rsidR="00852969" w:rsidRPr="00FE095F" w:rsidRDefault="00852969" w:rsidP="00DD290C">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UEMP</w:t>
            </w:r>
          </w:p>
        </w:tc>
        <w:tc>
          <w:tcPr>
            <w:tcW w:w="621" w:type="dxa"/>
            <w:hideMark/>
          </w:tcPr>
          <w:p w:rsidR="00852969" w:rsidRPr="00FE095F" w:rsidRDefault="00852969" w:rsidP="00DD290C">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NLF</w:t>
            </w:r>
          </w:p>
        </w:tc>
      </w:tr>
      <w:tr w:rsidR="00852969" w:rsidRPr="00FE095F" w:rsidTr="00852969">
        <w:trPr>
          <w:trHeight w:val="300"/>
        </w:trPr>
        <w:tc>
          <w:tcPr>
            <w:cnfStyle w:val="001000000000" w:firstRow="0" w:lastRow="0" w:firstColumn="1" w:lastColumn="0" w:oddVBand="0" w:evenVBand="0" w:oddHBand="0" w:evenHBand="0" w:firstRowFirstColumn="0" w:firstRowLastColumn="0" w:lastRowFirstColumn="0" w:lastRowLastColumn="0"/>
            <w:tcW w:w="1127" w:type="dxa"/>
            <w:hideMark/>
          </w:tcPr>
          <w:p w:rsidR="00852969" w:rsidRPr="00FE095F" w:rsidRDefault="00852969" w:rsidP="00DD290C">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Manage</w:t>
            </w:r>
            <w:r>
              <w:rPr>
                <w:rFonts w:eastAsia="Times New Roman" w:cs="Times New Roman"/>
                <w:b w:val="0"/>
                <w:bCs w:val="0"/>
                <w:color w:val="000000"/>
                <w:sz w:val="18"/>
                <w:szCs w:val="18"/>
                <w:lang w:eastAsia="zh-CN"/>
              </w:rPr>
              <w:t>rial</w:t>
            </w:r>
          </w:p>
        </w:tc>
        <w:tc>
          <w:tcPr>
            <w:tcW w:w="107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85.03</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2.46</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0.93</w:t>
            </w:r>
          </w:p>
        </w:tc>
        <w:tc>
          <w:tcPr>
            <w:tcW w:w="107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0.36</w:t>
            </w:r>
          </w:p>
        </w:tc>
        <w:tc>
          <w:tcPr>
            <w:tcW w:w="82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0.66</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2.39</w:t>
            </w:r>
          </w:p>
        </w:tc>
        <w:tc>
          <w:tcPr>
            <w:tcW w:w="80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1.4</w:t>
            </w:r>
          </w:p>
        </w:tc>
        <w:tc>
          <w:tcPr>
            <w:tcW w:w="79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0.03</w:t>
            </w:r>
          </w:p>
        </w:tc>
        <w:tc>
          <w:tcPr>
            <w:tcW w:w="74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1.34</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5.41</w:t>
            </w:r>
          </w:p>
        </w:tc>
      </w:tr>
      <w:tr w:rsidR="00852969" w:rsidRPr="00FE095F" w:rsidTr="00852969">
        <w:trPr>
          <w:trHeight w:val="300"/>
        </w:trPr>
        <w:tc>
          <w:tcPr>
            <w:cnfStyle w:val="001000000000" w:firstRow="0" w:lastRow="0" w:firstColumn="1" w:lastColumn="0" w:oddVBand="0" w:evenVBand="0" w:oddHBand="0" w:evenHBand="0" w:firstRowFirstColumn="0" w:firstRowLastColumn="0" w:lastRowFirstColumn="0" w:lastRowLastColumn="0"/>
            <w:tcW w:w="1127" w:type="dxa"/>
            <w:hideMark/>
          </w:tcPr>
          <w:p w:rsidR="00852969" w:rsidRPr="00FE095F" w:rsidRDefault="00852969" w:rsidP="00DD290C">
            <w:pPr>
              <w:jc w:val="left"/>
              <w:rPr>
                <w:rFonts w:eastAsia="Times New Roman" w:cs="Times New Roman"/>
                <w:color w:val="000000"/>
                <w:sz w:val="18"/>
                <w:szCs w:val="18"/>
                <w:lang w:eastAsia="zh-CN"/>
              </w:rPr>
            </w:pPr>
            <w:r>
              <w:rPr>
                <w:rFonts w:eastAsia="Times New Roman" w:cs="Times New Roman"/>
                <w:b w:val="0"/>
                <w:bCs w:val="0"/>
                <w:color w:val="000000"/>
                <w:sz w:val="18"/>
                <w:szCs w:val="18"/>
                <w:lang w:eastAsia="zh-CN"/>
              </w:rPr>
              <w:t>Prof</w:t>
            </w:r>
          </w:p>
        </w:tc>
        <w:tc>
          <w:tcPr>
            <w:tcW w:w="107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1.47</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88.43</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0.99</w:t>
            </w:r>
          </w:p>
        </w:tc>
        <w:tc>
          <w:tcPr>
            <w:tcW w:w="107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0.08</w:t>
            </w:r>
          </w:p>
        </w:tc>
        <w:tc>
          <w:tcPr>
            <w:tcW w:w="82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1.45</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1.2</w:t>
            </w:r>
          </w:p>
        </w:tc>
        <w:tc>
          <w:tcPr>
            <w:tcW w:w="80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0.46</w:t>
            </w:r>
          </w:p>
        </w:tc>
        <w:tc>
          <w:tcPr>
            <w:tcW w:w="79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0.06</w:t>
            </w:r>
          </w:p>
        </w:tc>
        <w:tc>
          <w:tcPr>
            <w:tcW w:w="74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1.08</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4.79</w:t>
            </w:r>
          </w:p>
        </w:tc>
      </w:tr>
      <w:tr w:rsidR="00852969" w:rsidRPr="00FE095F" w:rsidTr="00852969">
        <w:trPr>
          <w:trHeight w:val="300"/>
        </w:trPr>
        <w:tc>
          <w:tcPr>
            <w:cnfStyle w:val="001000000000" w:firstRow="0" w:lastRow="0" w:firstColumn="1" w:lastColumn="0" w:oddVBand="0" w:evenVBand="0" w:oddHBand="0" w:evenHBand="0" w:firstRowFirstColumn="0" w:firstRowLastColumn="0" w:lastRowFirstColumn="0" w:lastRowLastColumn="0"/>
            <w:tcW w:w="1127" w:type="dxa"/>
            <w:hideMark/>
          </w:tcPr>
          <w:p w:rsidR="00852969" w:rsidRPr="00FE095F" w:rsidRDefault="00852969" w:rsidP="00DD290C">
            <w:pPr>
              <w:jc w:val="left"/>
              <w:rPr>
                <w:rFonts w:eastAsia="Times New Roman" w:cs="Times New Roman"/>
                <w:color w:val="000000"/>
                <w:sz w:val="18"/>
                <w:szCs w:val="18"/>
                <w:lang w:eastAsia="zh-CN"/>
              </w:rPr>
            </w:pPr>
            <w:r>
              <w:rPr>
                <w:rFonts w:eastAsia="Times New Roman" w:cs="Times New Roman"/>
                <w:b w:val="0"/>
                <w:bCs w:val="0"/>
                <w:color w:val="000000"/>
                <w:sz w:val="18"/>
                <w:szCs w:val="18"/>
                <w:lang w:eastAsia="zh-CN"/>
              </w:rPr>
              <w:t>Tech</w:t>
            </w:r>
          </w:p>
        </w:tc>
        <w:tc>
          <w:tcPr>
            <w:tcW w:w="107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0.66</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4.32</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82.6</w:t>
            </w:r>
          </w:p>
        </w:tc>
        <w:tc>
          <w:tcPr>
            <w:tcW w:w="107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0.7</w:t>
            </w:r>
          </w:p>
        </w:tc>
        <w:tc>
          <w:tcPr>
            <w:tcW w:w="82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1.64</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3.33</w:t>
            </w:r>
          </w:p>
        </w:tc>
        <w:tc>
          <w:tcPr>
            <w:tcW w:w="80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1.62</w:t>
            </w:r>
          </w:p>
        </w:tc>
        <w:tc>
          <w:tcPr>
            <w:tcW w:w="79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0.63</w:t>
            </w:r>
          </w:p>
        </w:tc>
        <w:tc>
          <w:tcPr>
            <w:tcW w:w="74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1.22</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3.28</w:t>
            </w:r>
          </w:p>
        </w:tc>
      </w:tr>
      <w:tr w:rsidR="00852969" w:rsidRPr="00FE095F" w:rsidTr="00852969">
        <w:trPr>
          <w:trHeight w:val="300"/>
        </w:trPr>
        <w:tc>
          <w:tcPr>
            <w:cnfStyle w:val="001000000000" w:firstRow="0" w:lastRow="0" w:firstColumn="1" w:lastColumn="0" w:oddVBand="0" w:evenVBand="0" w:oddHBand="0" w:evenHBand="0" w:firstRowFirstColumn="0" w:firstRowLastColumn="0" w:lastRowFirstColumn="0" w:lastRowLastColumn="0"/>
            <w:tcW w:w="1127" w:type="dxa"/>
            <w:hideMark/>
          </w:tcPr>
          <w:p w:rsidR="00852969" w:rsidRPr="00FE095F" w:rsidRDefault="00852969" w:rsidP="00DD290C">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Commun</w:t>
            </w:r>
            <w:r>
              <w:rPr>
                <w:rFonts w:eastAsia="Times New Roman" w:cs="Times New Roman"/>
                <w:b w:val="0"/>
                <w:bCs w:val="0"/>
                <w:color w:val="000000"/>
                <w:sz w:val="18"/>
                <w:szCs w:val="18"/>
                <w:lang w:eastAsia="zh-CN"/>
              </w:rPr>
              <w:t>ity</w:t>
            </w:r>
          </w:p>
        </w:tc>
        <w:tc>
          <w:tcPr>
            <w:tcW w:w="107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0.47</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0.23</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1.68</w:t>
            </w:r>
          </w:p>
        </w:tc>
        <w:tc>
          <w:tcPr>
            <w:tcW w:w="107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84.28</w:t>
            </w:r>
          </w:p>
        </w:tc>
        <w:tc>
          <w:tcPr>
            <w:tcW w:w="82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0.83</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4.82</w:t>
            </w:r>
          </w:p>
        </w:tc>
        <w:tc>
          <w:tcPr>
            <w:tcW w:w="80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0.23</w:t>
            </w:r>
          </w:p>
        </w:tc>
        <w:tc>
          <w:tcPr>
            <w:tcW w:w="79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0.23</w:t>
            </w:r>
          </w:p>
        </w:tc>
        <w:tc>
          <w:tcPr>
            <w:tcW w:w="74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1.39</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5.83</w:t>
            </w:r>
          </w:p>
        </w:tc>
      </w:tr>
      <w:tr w:rsidR="00852969" w:rsidRPr="00FE095F" w:rsidTr="00852969">
        <w:trPr>
          <w:trHeight w:val="300"/>
        </w:trPr>
        <w:tc>
          <w:tcPr>
            <w:cnfStyle w:val="001000000000" w:firstRow="0" w:lastRow="0" w:firstColumn="1" w:lastColumn="0" w:oddVBand="0" w:evenVBand="0" w:oddHBand="0" w:evenHBand="0" w:firstRowFirstColumn="0" w:firstRowLastColumn="0" w:lastRowFirstColumn="0" w:lastRowLastColumn="0"/>
            <w:tcW w:w="1127" w:type="dxa"/>
            <w:hideMark/>
          </w:tcPr>
          <w:p w:rsidR="00852969" w:rsidRPr="00FE095F" w:rsidRDefault="00852969" w:rsidP="00DD290C">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Clerical</w:t>
            </w:r>
          </w:p>
        </w:tc>
        <w:tc>
          <w:tcPr>
            <w:tcW w:w="107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1.22</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1.82</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1.33</w:t>
            </w:r>
          </w:p>
        </w:tc>
        <w:tc>
          <w:tcPr>
            <w:tcW w:w="107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0.37</w:t>
            </w:r>
          </w:p>
        </w:tc>
        <w:tc>
          <w:tcPr>
            <w:tcW w:w="82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18"/>
                <w:szCs w:val="18"/>
                <w:lang w:eastAsia="zh-CN"/>
              </w:rPr>
            </w:pPr>
            <w:r w:rsidRPr="00FE095F">
              <w:rPr>
                <w:rFonts w:eastAsia="Times New Roman" w:cs="Times New Roman"/>
                <w:color w:val="FF0000"/>
                <w:sz w:val="18"/>
                <w:szCs w:val="18"/>
                <w:lang w:eastAsia="zh-CN"/>
              </w:rPr>
              <w:t>81.41</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2.87</w:t>
            </w:r>
          </w:p>
        </w:tc>
        <w:tc>
          <w:tcPr>
            <w:tcW w:w="80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0.67</w:t>
            </w:r>
          </w:p>
        </w:tc>
        <w:tc>
          <w:tcPr>
            <w:tcW w:w="79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0.01</w:t>
            </w:r>
          </w:p>
        </w:tc>
        <w:tc>
          <w:tcPr>
            <w:tcW w:w="74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2.52</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7.78</w:t>
            </w:r>
          </w:p>
        </w:tc>
      </w:tr>
      <w:tr w:rsidR="00852969" w:rsidRPr="00FE095F" w:rsidTr="00852969">
        <w:trPr>
          <w:trHeight w:val="300"/>
        </w:trPr>
        <w:tc>
          <w:tcPr>
            <w:cnfStyle w:val="001000000000" w:firstRow="0" w:lastRow="0" w:firstColumn="1" w:lastColumn="0" w:oddVBand="0" w:evenVBand="0" w:oddHBand="0" w:evenHBand="0" w:firstRowFirstColumn="0" w:firstRowLastColumn="0" w:lastRowFirstColumn="0" w:lastRowLastColumn="0"/>
            <w:tcW w:w="1127" w:type="dxa"/>
            <w:hideMark/>
          </w:tcPr>
          <w:p w:rsidR="00852969" w:rsidRPr="00FE095F" w:rsidRDefault="00852969" w:rsidP="00DD290C">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Sales</w:t>
            </w:r>
          </w:p>
        </w:tc>
        <w:tc>
          <w:tcPr>
            <w:tcW w:w="107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0.92</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1.25</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2.58</w:t>
            </w:r>
          </w:p>
        </w:tc>
        <w:tc>
          <w:tcPr>
            <w:tcW w:w="107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0.56</w:t>
            </w:r>
          </w:p>
        </w:tc>
        <w:tc>
          <w:tcPr>
            <w:tcW w:w="82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3.62</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77.5</w:t>
            </w:r>
          </w:p>
        </w:tc>
        <w:tc>
          <w:tcPr>
            <w:tcW w:w="80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0.8</w:t>
            </w:r>
          </w:p>
        </w:tc>
        <w:tc>
          <w:tcPr>
            <w:tcW w:w="79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0.37</w:t>
            </w:r>
          </w:p>
        </w:tc>
        <w:tc>
          <w:tcPr>
            <w:tcW w:w="74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3.6</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8.81</w:t>
            </w:r>
          </w:p>
        </w:tc>
      </w:tr>
      <w:tr w:rsidR="00852969" w:rsidRPr="00FE095F" w:rsidTr="00852969">
        <w:trPr>
          <w:trHeight w:val="300"/>
        </w:trPr>
        <w:tc>
          <w:tcPr>
            <w:cnfStyle w:val="001000000000" w:firstRow="0" w:lastRow="0" w:firstColumn="1" w:lastColumn="0" w:oddVBand="0" w:evenVBand="0" w:oddHBand="0" w:evenHBand="0" w:firstRowFirstColumn="0" w:firstRowLastColumn="0" w:lastRowFirstColumn="0" w:lastRowLastColumn="0"/>
            <w:tcW w:w="1127" w:type="dxa"/>
            <w:hideMark/>
          </w:tcPr>
          <w:p w:rsidR="00852969" w:rsidRPr="00FE095F" w:rsidRDefault="00852969" w:rsidP="00DD290C">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Machin</w:t>
            </w:r>
          </w:p>
        </w:tc>
        <w:tc>
          <w:tcPr>
            <w:tcW w:w="107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1.45</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0.95</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1.68</w:t>
            </w:r>
          </w:p>
        </w:tc>
        <w:tc>
          <w:tcPr>
            <w:tcW w:w="107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0.29</w:t>
            </w:r>
          </w:p>
        </w:tc>
        <w:tc>
          <w:tcPr>
            <w:tcW w:w="82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0.59</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5.02</w:t>
            </w:r>
          </w:p>
        </w:tc>
        <w:tc>
          <w:tcPr>
            <w:tcW w:w="80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FF0000"/>
                <w:sz w:val="18"/>
                <w:szCs w:val="18"/>
                <w:lang w:eastAsia="zh-CN"/>
              </w:rPr>
            </w:pPr>
            <w:r w:rsidRPr="00FE095F">
              <w:rPr>
                <w:rFonts w:eastAsia="Times New Roman" w:cs="Times New Roman"/>
                <w:color w:val="FF0000"/>
                <w:sz w:val="18"/>
                <w:szCs w:val="18"/>
                <w:lang w:eastAsia="zh-CN"/>
              </w:rPr>
              <w:t>75.62</w:t>
            </w:r>
          </w:p>
        </w:tc>
        <w:tc>
          <w:tcPr>
            <w:tcW w:w="79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1.52</w:t>
            </w:r>
          </w:p>
        </w:tc>
        <w:tc>
          <w:tcPr>
            <w:tcW w:w="74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7.48</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5.38</w:t>
            </w:r>
          </w:p>
        </w:tc>
      </w:tr>
      <w:tr w:rsidR="00852969" w:rsidRPr="00FE095F" w:rsidTr="00852969">
        <w:trPr>
          <w:trHeight w:val="300"/>
        </w:trPr>
        <w:tc>
          <w:tcPr>
            <w:cnfStyle w:val="001000000000" w:firstRow="0" w:lastRow="0" w:firstColumn="1" w:lastColumn="0" w:oddVBand="0" w:evenVBand="0" w:oddHBand="0" w:evenHBand="0" w:firstRowFirstColumn="0" w:firstRowLastColumn="0" w:lastRowFirstColumn="0" w:lastRowLastColumn="0"/>
            <w:tcW w:w="1127" w:type="dxa"/>
            <w:hideMark/>
          </w:tcPr>
          <w:p w:rsidR="00852969" w:rsidRPr="00FE095F" w:rsidRDefault="00852969" w:rsidP="00DD290C">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Labour</w:t>
            </w:r>
          </w:p>
        </w:tc>
        <w:tc>
          <w:tcPr>
            <w:tcW w:w="107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0.22</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0.42</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2.36</w:t>
            </w:r>
          </w:p>
        </w:tc>
        <w:tc>
          <w:tcPr>
            <w:tcW w:w="107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0.22</w:t>
            </w:r>
          </w:p>
        </w:tc>
        <w:tc>
          <w:tcPr>
            <w:tcW w:w="82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0.85</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4.4</w:t>
            </w:r>
          </w:p>
        </w:tc>
        <w:tc>
          <w:tcPr>
            <w:tcW w:w="80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5.64</w:t>
            </w:r>
          </w:p>
        </w:tc>
        <w:tc>
          <w:tcPr>
            <w:tcW w:w="79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76.02</w:t>
            </w:r>
          </w:p>
        </w:tc>
        <w:tc>
          <w:tcPr>
            <w:tcW w:w="74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3.18</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6.69</w:t>
            </w:r>
          </w:p>
        </w:tc>
      </w:tr>
      <w:tr w:rsidR="00852969" w:rsidRPr="00FE095F" w:rsidTr="00852969">
        <w:trPr>
          <w:trHeight w:val="300"/>
        </w:trPr>
        <w:tc>
          <w:tcPr>
            <w:cnfStyle w:val="001000000000" w:firstRow="0" w:lastRow="0" w:firstColumn="1" w:lastColumn="0" w:oddVBand="0" w:evenVBand="0" w:oddHBand="0" w:evenHBand="0" w:firstRowFirstColumn="0" w:firstRowLastColumn="0" w:lastRowFirstColumn="0" w:lastRowLastColumn="0"/>
            <w:tcW w:w="1127" w:type="dxa"/>
            <w:hideMark/>
          </w:tcPr>
          <w:p w:rsidR="00852969" w:rsidRPr="00FE095F" w:rsidRDefault="00852969" w:rsidP="00DD290C">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 xml:space="preserve"> UEMP</w:t>
            </w:r>
          </w:p>
        </w:tc>
        <w:tc>
          <w:tcPr>
            <w:tcW w:w="107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0.69</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6.12</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3.2</w:t>
            </w:r>
          </w:p>
        </w:tc>
        <w:tc>
          <w:tcPr>
            <w:tcW w:w="107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1.64</w:t>
            </w:r>
          </w:p>
        </w:tc>
        <w:tc>
          <w:tcPr>
            <w:tcW w:w="82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8.73</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19.91</w:t>
            </w:r>
          </w:p>
        </w:tc>
        <w:tc>
          <w:tcPr>
            <w:tcW w:w="80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4.45</w:t>
            </w:r>
          </w:p>
        </w:tc>
        <w:tc>
          <w:tcPr>
            <w:tcW w:w="79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0.66</w:t>
            </w:r>
          </w:p>
        </w:tc>
        <w:tc>
          <w:tcPr>
            <w:tcW w:w="74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36.45</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18.13</w:t>
            </w:r>
          </w:p>
        </w:tc>
      </w:tr>
      <w:tr w:rsidR="00852969" w:rsidRPr="00FE095F" w:rsidTr="00852969">
        <w:trPr>
          <w:trHeight w:val="300"/>
        </w:trPr>
        <w:tc>
          <w:tcPr>
            <w:cnfStyle w:val="001000000000" w:firstRow="0" w:lastRow="0" w:firstColumn="1" w:lastColumn="0" w:oddVBand="0" w:evenVBand="0" w:oddHBand="0" w:evenHBand="0" w:firstRowFirstColumn="0" w:firstRowLastColumn="0" w:lastRowFirstColumn="0" w:lastRowLastColumn="0"/>
            <w:tcW w:w="1127" w:type="dxa"/>
            <w:hideMark/>
          </w:tcPr>
          <w:p w:rsidR="00852969" w:rsidRPr="00FE095F" w:rsidRDefault="00852969" w:rsidP="00DD290C">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New</w:t>
            </w:r>
          </w:p>
        </w:tc>
        <w:tc>
          <w:tcPr>
            <w:tcW w:w="107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0.66</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5.26</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2.8</w:t>
            </w:r>
          </w:p>
        </w:tc>
        <w:tc>
          <w:tcPr>
            <w:tcW w:w="107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1.28</w:t>
            </w:r>
          </w:p>
        </w:tc>
        <w:tc>
          <w:tcPr>
            <w:tcW w:w="82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7.44</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16.33</w:t>
            </w:r>
          </w:p>
        </w:tc>
        <w:tc>
          <w:tcPr>
            <w:tcW w:w="80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4.28</w:t>
            </w:r>
          </w:p>
        </w:tc>
        <w:tc>
          <w:tcPr>
            <w:tcW w:w="79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0.64</w:t>
            </w:r>
          </w:p>
        </w:tc>
        <w:tc>
          <w:tcPr>
            <w:tcW w:w="74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45.57</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15.73</w:t>
            </w:r>
          </w:p>
        </w:tc>
      </w:tr>
      <w:tr w:rsidR="00852969" w:rsidRPr="00FE095F" w:rsidTr="00852969">
        <w:trPr>
          <w:trHeight w:val="300"/>
        </w:trPr>
        <w:tc>
          <w:tcPr>
            <w:cnfStyle w:val="001000000000" w:firstRow="0" w:lastRow="0" w:firstColumn="1" w:lastColumn="0" w:oddVBand="0" w:evenVBand="0" w:oddHBand="0" w:evenHBand="0" w:firstRowFirstColumn="0" w:firstRowLastColumn="0" w:lastRowFirstColumn="0" w:lastRowLastColumn="0"/>
            <w:tcW w:w="1127" w:type="dxa"/>
            <w:hideMark/>
          </w:tcPr>
          <w:p w:rsidR="00852969" w:rsidRPr="00FE095F" w:rsidRDefault="00852969" w:rsidP="00DD290C">
            <w:pPr>
              <w:jc w:val="left"/>
              <w:rPr>
                <w:rFonts w:eastAsia="Times New Roman" w:cs="Times New Roman"/>
                <w:color w:val="000000"/>
                <w:sz w:val="18"/>
                <w:szCs w:val="18"/>
                <w:lang w:eastAsia="zh-CN"/>
              </w:rPr>
            </w:pPr>
            <w:r w:rsidRPr="00FE095F">
              <w:rPr>
                <w:rFonts w:eastAsia="Times New Roman" w:cs="Times New Roman"/>
                <w:color w:val="000000"/>
                <w:sz w:val="18"/>
                <w:szCs w:val="18"/>
                <w:lang w:eastAsia="zh-CN"/>
              </w:rPr>
              <w:t>NLF</w:t>
            </w:r>
          </w:p>
        </w:tc>
        <w:tc>
          <w:tcPr>
            <w:tcW w:w="107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0.26</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1.58</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1.52</w:t>
            </w:r>
          </w:p>
        </w:tc>
        <w:tc>
          <w:tcPr>
            <w:tcW w:w="107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0.45</w:t>
            </w:r>
          </w:p>
        </w:tc>
        <w:tc>
          <w:tcPr>
            <w:tcW w:w="82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1.19</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5.24</w:t>
            </w:r>
          </w:p>
        </w:tc>
        <w:tc>
          <w:tcPr>
            <w:tcW w:w="80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0.55</w:t>
            </w:r>
          </w:p>
        </w:tc>
        <w:tc>
          <w:tcPr>
            <w:tcW w:w="797"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0.25</w:t>
            </w:r>
          </w:p>
        </w:tc>
        <w:tc>
          <w:tcPr>
            <w:tcW w:w="746"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3.43</w:t>
            </w:r>
          </w:p>
        </w:tc>
        <w:tc>
          <w:tcPr>
            <w:tcW w:w="621" w:type="dxa"/>
            <w:vAlign w:val="center"/>
            <w:hideMark/>
          </w:tcPr>
          <w:p w:rsidR="00852969" w:rsidRPr="00FE095F" w:rsidRDefault="00852969" w:rsidP="00DD290C">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18"/>
                <w:szCs w:val="18"/>
                <w:lang w:eastAsia="zh-CN"/>
              </w:rPr>
            </w:pPr>
            <w:r w:rsidRPr="00FE095F">
              <w:rPr>
                <w:rFonts w:eastAsia="Times New Roman" w:cs="Times New Roman"/>
                <w:color w:val="000000"/>
                <w:sz w:val="18"/>
                <w:szCs w:val="18"/>
                <w:lang w:eastAsia="zh-CN"/>
              </w:rPr>
              <w:t>85.53</w:t>
            </w:r>
          </w:p>
        </w:tc>
      </w:tr>
    </w:tbl>
    <w:p w:rsidR="00FE095F" w:rsidRPr="002A024D" w:rsidRDefault="002A024D" w:rsidP="00FE095F">
      <w:pPr>
        <w:rPr>
          <w:sz w:val="20"/>
          <w:szCs w:val="20"/>
          <w:lang w:eastAsia="en-US"/>
        </w:rPr>
      </w:pPr>
      <w:r w:rsidRPr="002A024D">
        <w:rPr>
          <w:sz w:val="20"/>
          <w:szCs w:val="20"/>
          <w:lang w:eastAsia="en-US"/>
        </w:rPr>
        <w:t xml:space="preserve">Sources: Statistics Canada, Survey of Labour and Income Dynamics (SLID)  </w:t>
      </w:r>
      <w:r w:rsidR="00FE095F">
        <w:rPr>
          <w:lang w:eastAsia="en-US"/>
        </w:rPr>
        <w:fldChar w:fldCharType="begin"/>
      </w:r>
      <w:r w:rsidR="00FE095F">
        <w:rPr>
          <w:lang w:eastAsia="en-US"/>
        </w:rPr>
        <w:instrText xml:space="preserve"> LINK Excel.Sheet.12 "Book1" "Sheet1!R17C3:R28C13" \a \f 4 \h </w:instrText>
      </w:r>
      <w:r w:rsidR="00FE095F">
        <w:rPr>
          <w:lang w:eastAsia="en-US"/>
        </w:rPr>
        <w:fldChar w:fldCharType="separate"/>
      </w:r>
    </w:p>
    <w:p w:rsidR="004C5696" w:rsidRPr="00FB55AF" w:rsidRDefault="00FE095F" w:rsidP="004C5696">
      <w:pPr>
        <w:rPr>
          <w:lang w:eastAsia="en-US"/>
        </w:rPr>
      </w:pPr>
      <w:r>
        <w:rPr>
          <w:lang w:eastAsia="en-US"/>
        </w:rPr>
        <w:fldChar w:fldCharType="end"/>
      </w:r>
      <w:r w:rsidR="004C5696">
        <w:rPr>
          <w:rFonts w:cs="Times New Roman"/>
        </w:rPr>
        <w:t>Of particular interest in this dataset, the probability of an unemployed person remaining unemployed or exiting the labour force entirely is about 32% (sum of 20.8% and 11.6%). As well, the probability of a new entrant being unemployed is 28.9%. The dataset suggests that less than 8% of those not in the labour force in one year enter in the following year as 92.4% remain outside the labour force.</w:t>
      </w:r>
    </w:p>
    <w:p w:rsidR="005D1A9F" w:rsidRDefault="005D1A9F" w:rsidP="005D1A9F">
      <w:pPr>
        <w:pStyle w:val="Heading3"/>
      </w:pPr>
      <w:r>
        <w:lastRenderedPageBreak/>
        <w:t>The modelling framework</w:t>
      </w:r>
    </w:p>
    <w:p w:rsidR="005D1A9F" w:rsidRPr="005D1A9F" w:rsidRDefault="005D1A9F" w:rsidP="005D1A9F">
      <w:pPr>
        <w:rPr>
          <w:lang w:val="en-GB" w:eastAsia="en-CA"/>
        </w:rPr>
      </w:pPr>
    </w:p>
    <w:p w:rsidR="002A024D" w:rsidRDefault="002A024D" w:rsidP="004C5696">
      <w:r>
        <w:t xml:space="preserve">The modelling framework follows </w:t>
      </w:r>
      <w:r w:rsidR="00DD290C">
        <w:t xml:space="preserve">Peter Dixon and </w:t>
      </w:r>
      <w:r w:rsidR="00DD290C">
        <w:rPr>
          <w:rFonts w:cs="Times New Roman"/>
        </w:rPr>
        <w:t>Maureen</w:t>
      </w:r>
      <w:r w:rsidR="00DD290C" w:rsidRPr="00DD290C">
        <w:rPr>
          <w:rFonts w:cs="Times New Roman"/>
        </w:rPr>
        <w:t xml:space="preserve"> Rimmer</w:t>
      </w:r>
      <w:r w:rsidR="00DD290C">
        <w:rPr>
          <w:rFonts w:cs="Times New Roman"/>
        </w:rPr>
        <w:t xml:space="preserve">’s </w:t>
      </w:r>
      <w:r w:rsidR="00DD290C" w:rsidRPr="00DD290C">
        <w:t>labour-market extension for the study of illegal immigration</w:t>
      </w:r>
      <w:r w:rsidR="00E35113">
        <w:t xml:space="preserve"> (2008)</w:t>
      </w:r>
      <w:r w:rsidR="00DD290C" w:rsidRPr="00DD290C">
        <w:t>.</w:t>
      </w:r>
      <w:r w:rsidR="0054506D">
        <w:t xml:space="preserve"> Our model</w:t>
      </w:r>
      <w:r w:rsidR="00DD290C">
        <w:t xml:space="preserve"> extends </w:t>
      </w:r>
      <w:r w:rsidR="0054506D">
        <w:t xml:space="preserve">Peter Dixon and </w:t>
      </w:r>
      <w:r w:rsidR="0054506D">
        <w:rPr>
          <w:rFonts w:cs="Times New Roman"/>
        </w:rPr>
        <w:t>Maureen</w:t>
      </w:r>
      <w:r w:rsidR="0054506D" w:rsidRPr="00DD290C">
        <w:rPr>
          <w:rFonts w:cs="Times New Roman"/>
        </w:rPr>
        <w:t xml:space="preserve"> Rimmer</w:t>
      </w:r>
      <w:r w:rsidR="0054506D">
        <w:rPr>
          <w:rFonts w:cs="Times New Roman"/>
        </w:rPr>
        <w:t xml:space="preserve">’s model </w:t>
      </w:r>
      <w:r w:rsidR="0054506D">
        <w:t xml:space="preserve">to include gender and age </w:t>
      </w:r>
      <w:r w:rsidR="00FD0E2C">
        <w:t xml:space="preserve">elements </w:t>
      </w:r>
      <w:r w:rsidR="0054506D">
        <w:t xml:space="preserve">into the </w:t>
      </w:r>
      <w:r w:rsidR="00DD290C">
        <w:t>occupation mobility matr</w:t>
      </w:r>
      <w:r w:rsidR="0054506D">
        <w:t>ix</w:t>
      </w:r>
      <w:r w:rsidR="00DD290C">
        <w:t>.</w:t>
      </w:r>
    </w:p>
    <w:p w:rsidR="002A024D" w:rsidRPr="00DD290C" w:rsidRDefault="00080A42" w:rsidP="002A024D">
      <w:pPr>
        <w:widowControl w:val="0"/>
        <w:autoSpaceDE w:val="0"/>
        <w:autoSpaceDN w:val="0"/>
        <w:adjustRightInd w:val="0"/>
        <w:spacing w:after="0" w:line="240" w:lineRule="auto"/>
        <w:rPr>
          <w:rFonts w:cs="Times New Roman"/>
        </w:rPr>
      </w:pPr>
      <w:r>
        <w:rPr>
          <w:rFonts w:cs="Times New Roman"/>
        </w:rPr>
        <w:t xml:space="preserve">There are </w:t>
      </w:r>
      <w:r w:rsidR="008D0986">
        <w:rPr>
          <w:rFonts w:cs="Times New Roman"/>
        </w:rPr>
        <w:t xml:space="preserve">several key ingredients </w:t>
      </w:r>
      <w:r w:rsidR="002A024D" w:rsidRPr="00DD290C">
        <w:rPr>
          <w:rFonts w:cs="Times New Roman"/>
        </w:rPr>
        <w:t>specified in the labour-supply model:</w:t>
      </w:r>
    </w:p>
    <w:p w:rsidR="00FD0E2C" w:rsidRDefault="00FD0E2C" w:rsidP="002A024D">
      <w:pPr>
        <w:pStyle w:val="ListParagraph"/>
        <w:widowControl w:val="0"/>
        <w:numPr>
          <w:ilvl w:val="0"/>
          <w:numId w:val="26"/>
        </w:numPr>
        <w:autoSpaceDE w:val="0"/>
        <w:autoSpaceDN w:val="0"/>
        <w:adjustRightInd w:val="0"/>
        <w:spacing w:after="0" w:line="240" w:lineRule="auto"/>
        <w:rPr>
          <w:rFonts w:cs="Times New Roman"/>
        </w:rPr>
      </w:pPr>
      <w:r>
        <w:rPr>
          <w:rFonts w:cs="Times New Roman"/>
        </w:rPr>
        <w:t>At the start of year t</w:t>
      </w:r>
      <w:r w:rsidRPr="00DD290C">
        <w:rPr>
          <w:rFonts w:cs="Times New Roman"/>
        </w:rPr>
        <w:t xml:space="preserve">, people are divided into categories based on common characteristics. These characteristics are gender, age and labour-market activity performed during year t-1. </w:t>
      </w:r>
    </w:p>
    <w:p w:rsidR="002A024D" w:rsidRPr="00DD290C" w:rsidRDefault="00FD0E2C" w:rsidP="002A024D">
      <w:pPr>
        <w:pStyle w:val="ListParagraph"/>
        <w:widowControl w:val="0"/>
        <w:numPr>
          <w:ilvl w:val="0"/>
          <w:numId w:val="26"/>
        </w:numPr>
        <w:autoSpaceDE w:val="0"/>
        <w:autoSpaceDN w:val="0"/>
        <w:adjustRightInd w:val="0"/>
        <w:spacing w:after="0" w:line="240" w:lineRule="auto"/>
        <w:rPr>
          <w:rFonts w:cs="Times New Roman"/>
        </w:rPr>
      </w:pPr>
      <w:r>
        <w:rPr>
          <w:rFonts w:cs="Times New Roman"/>
        </w:rPr>
        <w:t>T</w:t>
      </w:r>
      <w:r w:rsidR="008D0986">
        <w:rPr>
          <w:rFonts w:cs="Times New Roman"/>
        </w:rPr>
        <w:t>he working age population</w:t>
      </w:r>
      <w:r w:rsidR="002A024D" w:rsidRPr="00DD290C">
        <w:rPr>
          <w:rFonts w:cs="Times New Roman"/>
        </w:rPr>
        <w:t xml:space="preserve"> </w:t>
      </w:r>
      <w:r>
        <w:rPr>
          <w:rFonts w:cs="Times New Roman"/>
        </w:rPr>
        <w:t xml:space="preserve">are assigned </w:t>
      </w:r>
      <w:r w:rsidR="002A024D" w:rsidRPr="00DD290C">
        <w:rPr>
          <w:rFonts w:cs="Times New Roman"/>
        </w:rPr>
        <w:t>to categories at the start of</w:t>
      </w:r>
      <w:r w:rsidR="008D0986">
        <w:rPr>
          <w:rFonts w:cs="Times New Roman"/>
        </w:rPr>
        <w:t xml:space="preserve"> each year. We assign </w:t>
      </w:r>
      <w:r w:rsidR="002A024D" w:rsidRPr="00DD290C">
        <w:rPr>
          <w:rFonts w:cs="Times New Roman"/>
        </w:rPr>
        <w:t xml:space="preserve">the number of people in </w:t>
      </w:r>
      <w:r w:rsidR="002A024D" w:rsidRPr="00DD290C">
        <w:rPr>
          <w:rFonts w:cs="Times New Roman"/>
          <w:b/>
        </w:rPr>
        <w:t>activity</w:t>
      </w:r>
      <w:r w:rsidR="002A024D" w:rsidRPr="00DD290C">
        <w:rPr>
          <w:rFonts w:cs="Times New Roman"/>
        </w:rPr>
        <w:t xml:space="preserve"> </w:t>
      </w:r>
      <w:r w:rsidR="002A024D" w:rsidRPr="00FD0E2C">
        <w:rPr>
          <w:rFonts w:cs="Times New Roman"/>
          <w:i/>
        </w:rPr>
        <w:t>a</w:t>
      </w:r>
      <w:r w:rsidR="002A024D" w:rsidRPr="00DD290C">
        <w:rPr>
          <w:rFonts w:cs="Times New Roman"/>
        </w:rPr>
        <w:t xml:space="preserve"> in year t-1 to the number of people in </w:t>
      </w:r>
      <w:r w:rsidR="002A024D" w:rsidRPr="00DD290C">
        <w:rPr>
          <w:rFonts w:cs="Times New Roman"/>
          <w:b/>
        </w:rPr>
        <w:t>category</w:t>
      </w:r>
      <w:r w:rsidR="002A024D" w:rsidRPr="00DD290C">
        <w:rPr>
          <w:rFonts w:cs="Times New Roman"/>
        </w:rPr>
        <w:t xml:space="preserve"> c at </w:t>
      </w:r>
      <w:r w:rsidR="008D0986">
        <w:rPr>
          <w:rFonts w:cs="Times New Roman"/>
        </w:rPr>
        <w:t>the start of year t</w:t>
      </w:r>
      <w:r w:rsidR="002A024D" w:rsidRPr="00DD290C">
        <w:rPr>
          <w:rFonts w:cs="Times New Roman"/>
        </w:rPr>
        <w:t>.</w:t>
      </w:r>
      <w:r w:rsidR="008D0986">
        <w:rPr>
          <w:rFonts w:cs="Times New Roman"/>
        </w:rPr>
        <w:t xml:space="preserve"> The category is a temporary storage </w:t>
      </w:r>
      <w:r w:rsidR="00846215">
        <w:rPr>
          <w:rFonts w:cs="Times New Roman"/>
        </w:rPr>
        <w:t xml:space="preserve">for the population before </w:t>
      </w:r>
      <w:r>
        <w:rPr>
          <w:rFonts w:cs="Times New Roman"/>
        </w:rPr>
        <w:t xml:space="preserve">they move to </w:t>
      </w:r>
      <w:r w:rsidRPr="00DD290C">
        <w:rPr>
          <w:rFonts w:cs="Times New Roman"/>
          <w:b/>
        </w:rPr>
        <w:t>activity</w:t>
      </w:r>
      <w:r>
        <w:rPr>
          <w:rFonts w:cs="Times New Roman"/>
          <w:b/>
        </w:rPr>
        <w:t xml:space="preserve"> </w:t>
      </w:r>
      <w:r w:rsidRPr="00FD0E2C">
        <w:rPr>
          <w:rFonts w:cs="Times New Roman"/>
        </w:rPr>
        <w:t>in year t</w:t>
      </w:r>
      <w:r>
        <w:rPr>
          <w:rFonts w:cs="Times New Roman"/>
          <w:b/>
        </w:rPr>
        <w:t xml:space="preserve">. </w:t>
      </w:r>
      <w:r w:rsidR="00E35113" w:rsidRPr="00DD290C">
        <w:rPr>
          <w:rFonts w:cs="Times New Roman"/>
        </w:rPr>
        <w:t xml:space="preserve">In Figure 2.1, </w:t>
      </w:r>
      <w:r w:rsidR="00E35113">
        <w:rPr>
          <w:rFonts w:cs="Times New Roman"/>
        </w:rPr>
        <w:t>t</w:t>
      </w:r>
      <w:r w:rsidR="00E35113" w:rsidRPr="00DD290C">
        <w:rPr>
          <w:rFonts w:cs="Times New Roman"/>
        </w:rPr>
        <w:t>his transition is illustrated by the upward sloping arrow in Figure 2.1</w:t>
      </w:r>
      <w:r w:rsidR="00E35113">
        <w:rPr>
          <w:rFonts w:cs="Times New Roman"/>
        </w:rPr>
        <w:t>. Some people leave the working age population</w:t>
      </w:r>
      <w:r w:rsidR="00E35113" w:rsidRPr="00DD290C">
        <w:rPr>
          <w:rFonts w:cs="Times New Roman"/>
        </w:rPr>
        <w:t xml:space="preserve"> due to death. </w:t>
      </w:r>
    </w:p>
    <w:p w:rsidR="002A024D" w:rsidRPr="00DD290C" w:rsidRDefault="002A024D" w:rsidP="002A024D">
      <w:pPr>
        <w:pStyle w:val="ListParagraph"/>
        <w:widowControl w:val="0"/>
        <w:numPr>
          <w:ilvl w:val="0"/>
          <w:numId w:val="26"/>
        </w:numPr>
        <w:autoSpaceDE w:val="0"/>
        <w:autoSpaceDN w:val="0"/>
        <w:adjustRightInd w:val="0"/>
        <w:spacing w:after="0" w:line="240" w:lineRule="auto"/>
        <w:rPr>
          <w:rFonts w:cs="Times New Roman"/>
        </w:rPr>
      </w:pPr>
      <w:r w:rsidRPr="00DD290C">
        <w:rPr>
          <w:rFonts w:cs="Times New Roman"/>
        </w:rPr>
        <w:t>Identification of workforce activities during the year.</w:t>
      </w:r>
    </w:p>
    <w:p w:rsidR="002A024D" w:rsidRPr="00DD290C" w:rsidRDefault="002A024D" w:rsidP="002A024D">
      <w:pPr>
        <w:pStyle w:val="ListParagraph"/>
        <w:widowControl w:val="0"/>
        <w:numPr>
          <w:ilvl w:val="0"/>
          <w:numId w:val="26"/>
        </w:numPr>
        <w:autoSpaceDE w:val="0"/>
        <w:autoSpaceDN w:val="0"/>
        <w:adjustRightInd w:val="0"/>
        <w:spacing w:after="0" w:line="240" w:lineRule="auto"/>
        <w:rPr>
          <w:rFonts w:cs="Times New Roman"/>
        </w:rPr>
      </w:pPr>
      <w:r w:rsidRPr="00DD290C">
        <w:rPr>
          <w:rFonts w:cs="Times New Roman"/>
        </w:rPr>
        <w:t>Determination of the supply of labour by each category c to each activity a.</w:t>
      </w:r>
      <w:r w:rsidR="00E35113" w:rsidRPr="00E35113">
        <w:rPr>
          <w:rFonts w:cs="Times New Roman"/>
        </w:rPr>
        <w:t xml:space="preserve"> </w:t>
      </w:r>
      <w:r w:rsidR="00E35113" w:rsidRPr="00DD290C">
        <w:rPr>
          <w:rFonts w:cs="Times New Roman"/>
        </w:rPr>
        <w:t>In Figure 2.1, this flow is illustrated by the downward sloping arrow between categories and activities.</w:t>
      </w:r>
    </w:p>
    <w:p w:rsidR="002A024D" w:rsidRPr="00DD290C" w:rsidRDefault="002A024D" w:rsidP="002A024D">
      <w:pPr>
        <w:pStyle w:val="ListParagraph"/>
        <w:widowControl w:val="0"/>
        <w:numPr>
          <w:ilvl w:val="0"/>
          <w:numId w:val="26"/>
        </w:numPr>
        <w:autoSpaceDE w:val="0"/>
        <w:autoSpaceDN w:val="0"/>
        <w:adjustRightInd w:val="0"/>
        <w:spacing w:after="0" w:line="240" w:lineRule="auto"/>
        <w:rPr>
          <w:rFonts w:cs="Times New Roman"/>
        </w:rPr>
      </w:pPr>
      <w:r w:rsidRPr="00DD290C">
        <w:rPr>
          <w:rFonts w:cs="Times New Roman"/>
        </w:rPr>
        <w:t>Determination of the demand for labour for each employment activity a.</w:t>
      </w:r>
    </w:p>
    <w:p w:rsidR="002A024D" w:rsidRPr="00DD290C" w:rsidRDefault="002A024D" w:rsidP="002A024D">
      <w:pPr>
        <w:widowControl w:val="0"/>
        <w:autoSpaceDE w:val="0"/>
        <w:autoSpaceDN w:val="0"/>
        <w:adjustRightInd w:val="0"/>
        <w:spacing w:after="0" w:line="240" w:lineRule="auto"/>
        <w:rPr>
          <w:rFonts w:cs="Times New Roman"/>
        </w:rPr>
      </w:pPr>
    </w:p>
    <w:p w:rsidR="002A024D" w:rsidRDefault="002A024D" w:rsidP="002A024D">
      <w:pPr>
        <w:widowControl w:val="0"/>
        <w:autoSpaceDE w:val="0"/>
        <w:autoSpaceDN w:val="0"/>
        <w:adjustRightInd w:val="0"/>
        <w:spacing w:after="0" w:line="240" w:lineRule="auto"/>
        <w:rPr>
          <w:rFonts w:cs="Times New Roman"/>
        </w:rPr>
      </w:pPr>
      <w:r w:rsidRPr="00DD290C">
        <w:rPr>
          <w:rFonts w:cs="Times New Roman"/>
        </w:rPr>
        <w:t xml:space="preserve">After this transition, people are again grouped into categories, based on common characteristics. The process of labour supply from a category to an activity is then repeated. </w:t>
      </w:r>
    </w:p>
    <w:p w:rsidR="00E35113" w:rsidRPr="00C31C4F" w:rsidRDefault="00E35113" w:rsidP="002A024D">
      <w:pPr>
        <w:widowControl w:val="0"/>
        <w:autoSpaceDE w:val="0"/>
        <w:autoSpaceDN w:val="0"/>
        <w:adjustRightInd w:val="0"/>
        <w:spacing w:after="0" w:line="240" w:lineRule="auto"/>
        <w:rPr>
          <w:rFonts w:ascii="Garamond" w:hAnsi="Garamond"/>
        </w:rPr>
      </w:pPr>
    </w:p>
    <w:p w:rsidR="002A024D" w:rsidRPr="00C31C4F" w:rsidRDefault="002A024D" w:rsidP="002A024D">
      <w:pPr>
        <w:widowControl w:val="0"/>
        <w:autoSpaceDE w:val="0"/>
        <w:autoSpaceDN w:val="0"/>
        <w:adjustRightInd w:val="0"/>
        <w:spacing w:after="0" w:line="240" w:lineRule="auto"/>
        <w:rPr>
          <w:rFonts w:ascii="Garamond" w:hAnsi="Garamond"/>
          <w:b/>
        </w:rPr>
      </w:pPr>
      <w:r w:rsidRPr="00C31C4F">
        <w:rPr>
          <w:rFonts w:ascii="Garamond" w:hAnsi="Garamond"/>
          <w:b/>
        </w:rPr>
        <w:t>Figure 2.1. Movement</w:t>
      </w:r>
      <w:r>
        <w:rPr>
          <w:rFonts w:ascii="Garamond" w:hAnsi="Garamond"/>
          <w:b/>
        </w:rPr>
        <w:t xml:space="preserve"> </w:t>
      </w:r>
      <w:r w:rsidRPr="00C31C4F">
        <w:rPr>
          <w:rFonts w:ascii="Garamond" w:hAnsi="Garamond"/>
          <w:b/>
        </w:rPr>
        <w:t>of labour-supply from year t-1 to year t</w:t>
      </w:r>
    </w:p>
    <w:p w:rsidR="002A024D" w:rsidRPr="00C31C4F" w:rsidRDefault="002A024D" w:rsidP="002A024D">
      <w:pPr>
        <w:widowControl w:val="0"/>
        <w:autoSpaceDE w:val="0"/>
        <w:autoSpaceDN w:val="0"/>
        <w:adjustRightInd w:val="0"/>
        <w:spacing w:after="0" w:line="240" w:lineRule="auto"/>
        <w:rPr>
          <w:rFonts w:ascii="Garamond" w:hAnsi="Garamond"/>
        </w:rPr>
      </w:pPr>
      <w:r w:rsidRPr="00C31C4F">
        <w:rPr>
          <w:rFonts w:ascii="Garamond" w:hAnsi="Garamond"/>
          <w:noProof/>
          <w:lang w:eastAsia="en-CA"/>
        </w:rPr>
        <w:drawing>
          <wp:inline distT="0" distB="0" distL="0" distR="0" wp14:anchorId="1BE6E3D8" wp14:editId="03BF8C78">
            <wp:extent cx="5943600" cy="179394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943600" cy="1793945"/>
                    </a:xfrm>
                    <a:prstGeom prst="rect">
                      <a:avLst/>
                    </a:prstGeom>
                    <a:noFill/>
                    <a:ln w="9525">
                      <a:noFill/>
                      <a:miter lim="800000"/>
                      <a:headEnd/>
                      <a:tailEnd/>
                    </a:ln>
                  </pic:spPr>
                </pic:pic>
              </a:graphicData>
            </a:graphic>
          </wp:inline>
        </w:drawing>
      </w:r>
    </w:p>
    <w:p w:rsidR="002A024D" w:rsidRPr="00DD290C" w:rsidRDefault="002A024D" w:rsidP="002A024D">
      <w:pPr>
        <w:widowControl w:val="0"/>
        <w:autoSpaceDE w:val="0"/>
        <w:autoSpaceDN w:val="0"/>
        <w:adjustRightInd w:val="0"/>
        <w:spacing w:after="0" w:line="240" w:lineRule="auto"/>
        <w:rPr>
          <w:rFonts w:cs="Times New Roman"/>
        </w:rPr>
      </w:pPr>
      <w:r w:rsidRPr="00DD290C">
        <w:rPr>
          <w:rFonts w:cs="Times New Roman"/>
        </w:rPr>
        <w:t>Source: Dixon and Rimmer, 2008.</w:t>
      </w:r>
    </w:p>
    <w:p w:rsidR="002A024D" w:rsidRPr="00DD290C" w:rsidRDefault="002A024D" w:rsidP="002A024D">
      <w:pPr>
        <w:widowControl w:val="0"/>
        <w:autoSpaceDE w:val="0"/>
        <w:autoSpaceDN w:val="0"/>
        <w:adjustRightInd w:val="0"/>
        <w:spacing w:after="0" w:line="240" w:lineRule="auto"/>
        <w:rPr>
          <w:rFonts w:cs="Times New Roman"/>
        </w:rPr>
      </w:pPr>
    </w:p>
    <w:p w:rsidR="004C5696" w:rsidRDefault="004E5A4F" w:rsidP="004C5696">
      <w:r>
        <w:t>In the following trade policy application</w:t>
      </w:r>
      <w:r w:rsidR="00E35113">
        <w:t xml:space="preserve">, </w:t>
      </w:r>
      <w:r>
        <w:t>t</w:t>
      </w:r>
      <w:r w:rsidR="004C5696">
        <w:t>he policy shock impacts by changing the demand for labour by occupations, which is a function of before-tax wages and the sectoral</w:t>
      </w:r>
      <w:r>
        <w:t xml:space="preserve"> demand for labour by occupations</w:t>
      </w:r>
      <w:r w:rsidR="004C5696">
        <w:t xml:space="preserve">; and by changing the after-tax wage rate for labour, which in turn affects the labour market participation by age and sex. </w:t>
      </w:r>
    </w:p>
    <w:p w:rsidR="004C5696" w:rsidRDefault="004C5696" w:rsidP="004C5696">
      <w:r>
        <w:t>The allocation of</w:t>
      </w:r>
      <w:r w:rsidR="004E5A4F">
        <w:t xml:space="preserve"> labour supply across occupation</w:t>
      </w:r>
      <w:r>
        <w:t xml:space="preserve">s takes into account preferences of workers: that is, each </w:t>
      </w:r>
      <w:r w:rsidRPr="00EA4C0C">
        <w:t>category</w:t>
      </w:r>
      <w:r>
        <w:t xml:space="preserve"> of workers </w:t>
      </w:r>
      <w:r w:rsidRPr="00EA4C0C">
        <w:t xml:space="preserve">supplies labour to </w:t>
      </w:r>
      <w:r w:rsidR="004E5A4F">
        <w:t>occupation</w:t>
      </w:r>
      <w:r>
        <w:t>s</w:t>
      </w:r>
      <w:r w:rsidRPr="00EA4C0C">
        <w:t xml:space="preserve"> that are compatible with that category’s gender, age and occupational characteristics</w:t>
      </w:r>
      <w:r>
        <w:t>, yet respond to differential wages and</w:t>
      </w:r>
      <w:r w:rsidR="004E5A4F">
        <w:t xml:space="preserve"> labour demand across occupation</w:t>
      </w:r>
      <w:r>
        <w:t xml:space="preserve">s. Thus, workers in a given </w:t>
      </w:r>
      <w:r w:rsidRPr="00EA4C0C">
        <w:t>category</w:t>
      </w:r>
      <w:r>
        <w:t xml:space="preserve"> “c” and activity</w:t>
      </w:r>
      <w:r w:rsidRPr="00EA4C0C">
        <w:t xml:space="preserve"> </w:t>
      </w:r>
      <w:r>
        <w:t xml:space="preserve">“a”, </w:t>
      </w:r>
      <w:r w:rsidRPr="00EA4C0C">
        <w:t xml:space="preserve">will </w:t>
      </w:r>
      <w:r w:rsidRPr="00EA4C0C">
        <w:lastRenderedPageBreak/>
        <w:t xml:space="preserve">switch their offer towards </w:t>
      </w:r>
      <w:r>
        <w:t xml:space="preserve">another </w:t>
      </w:r>
      <w:r w:rsidRPr="00EA4C0C">
        <w:t xml:space="preserve">activity if the wage rate </w:t>
      </w:r>
      <w:r>
        <w:t xml:space="preserve">for that other </w:t>
      </w:r>
      <w:r w:rsidRPr="00EA4C0C">
        <w:t xml:space="preserve">activity rises relative to </w:t>
      </w:r>
      <w:r>
        <w:t>the</w:t>
      </w:r>
      <w:r w:rsidRPr="00EA4C0C">
        <w:t xml:space="preserve"> average of the wage rates across all activities in which category</w:t>
      </w:r>
      <w:r>
        <w:t xml:space="preserve"> “</w:t>
      </w:r>
      <w:r w:rsidRPr="00EA4C0C">
        <w:t>c</w:t>
      </w:r>
      <w:r>
        <w:t>” workers</w:t>
      </w:r>
      <w:r w:rsidRPr="00EA4C0C">
        <w:t xml:space="preserve"> could participate. </w:t>
      </w:r>
      <w:r>
        <w:t>Given t</w:t>
      </w:r>
      <w:r w:rsidRPr="00EA4C0C">
        <w:t xml:space="preserve">he </w:t>
      </w:r>
      <w:r>
        <w:t xml:space="preserve">parametrization of the </w:t>
      </w:r>
      <w:r w:rsidR="004E5A4F">
        <w:t>labour market module</w:t>
      </w:r>
      <w:r>
        <w:t>, t</w:t>
      </w:r>
      <w:r w:rsidRPr="00EA4C0C">
        <w:t xml:space="preserve">he </w:t>
      </w:r>
      <w:r>
        <w:t>optimization of utility by workers</w:t>
      </w:r>
      <w:r w:rsidRPr="00EA4C0C">
        <w:t xml:space="preserve"> </w:t>
      </w:r>
      <w:r>
        <w:t xml:space="preserve">results in the </w:t>
      </w:r>
      <w:r w:rsidRPr="00EA4C0C">
        <w:t>majority of people continu</w:t>
      </w:r>
      <w:r>
        <w:t>ing</w:t>
      </w:r>
      <w:r w:rsidRPr="00EA4C0C">
        <w:t xml:space="preserve"> to supply labour to the same activity as in the previous year</w:t>
      </w:r>
      <w:r>
        <w:t>, notwithstanding that workers are</w:t>
      </w:r>
      <w:r w:rsidRPr="00EA4C0C">
        <w:t xml:space="preserve"> quite sensitive to changes in relative wage rates</w:t>
      </w:r>
      <w:r>
        <w:t>.</w:t>
      </w:r>
    </w:p>
    <w:p w:rsidR="004C5696" w:rsidRDefault="004C5696" w:rsidP="004C5696">
      <w:r>
        <w:t xml:space="preserve">Note that </w:t>
      </w:r>
      <w:r w:rsidRPr="00740B8E">
        <w:t>for non-employment activities</w:t>
      </w:r>
      <w:r>
        <w:t>, the payment to labour, which influences the labour/leisure decision</w:t>
      </w:r>
      <w:r w:rsidRPr="00740B8E">
        <w:t xml:space="preserve"> is a social security payment or other support</w:t>
      </w:r>
      <w:r>
        <w:t xml:space="preserve">. </w:t>
      </w:r>
    </w:p>
    <w:p w:rsidR="004C5696" w:rsidRDefault="004C5696" w:rsidP="004C5696">
      <w:r>
        <w:t>New entrants are determined exogenously based on the demographic profile of the population.</w:t>
      </w:r>
    </w:p>
    <w:p w:rsidR="004C5696" w:rsidRDefault="004C5696" w:rsidP="004C5696">
      <w:pPr>
        <w:spacing w:after="160" w:line="259" w:lineRule="auto"/>
        <w:jc w:val="left"/>
        <w:rPr>
          <w:rFonts w:eastAsiaTheme="majorEastAsia" w:cs="Times New Roman"/>
          <w:bCs/>
          <w:noProof/>
          <w:color w:val="000000" w:themeColor="text1"/>
          <w:sz w:val="32"/>
          <w:szCs w:val="32"/>
          <w:lang w:val="en-GB" w:eastAsia="en-CA"/>
        </w:rPr>
      </w:pPr>
      <w:r>
        <w:br w:type="page"/>
      </w:r>
    </w:p>
    <w:p w:rsidR="004C5696" w:rsidRPr="00C0693D" w:rsidRDefault="004C5696" w:rsidP="004C5696">
      <w:pPr>
        <w:pStyle w:val="Heading1"/>
      </w:pPr>
      <w:bookmarkStart w:id="4" w:name="_Toc5307872"/>
      <w:r>
        <w:lastRenderedPageBreak/>
        <w:t xml:space="preserve">Economic Impacts of the </w:t>
      </w:r>
      <w:bookmarkEnd w:id="4"/>
      <w:r w:rsidR="004E5A4F">
        <w:t>Trade Agreement</w:t>
      </w:r>
    </w:p>
    <w:p w:rsidR="004C5696" w:rsidRDefault="004C5696" w:rsidP="004C5696">
      <w:pPr>
        <w:pStyle w:val="Heading2"/>
      </w:pPr>
      <w:bookmarkStart w:id="5" w:name="_Toc5307873"/>
      <w:r>
        <w:t>Baseline Projection</w:t>
      </w:r>
      <w:bookmarkEnd w:id="5"/>
    </w:p>
    <w:p w:rsidR="004E5A4F" w:rsidRDefault="004E5A4F" w:rsidP="004C5696">
      <w:pPr>
        <w:rPr>
          <w:lang w:val="en-GB" w:eastAsia="en-CA"/>
        </w:rPr>
      </w:pPr>
    </w:p>
    <w:p w:rsidR="004C5696" w:rsidRPr="00486937" w:rsidRDefault="009C6117" w:rsidP="004C5696">
      <w:pPr>
        <w:rPr>
          <w:lang w:val="en-GB" w:eastAsia="en-CA"/>
        </w:rPr>
      </w:pPr>
      <w:r>
        <w:rPr>
          <w:lang w:val="en-GB" w:eastAsia="en-CA"/>
        </w:rPr>
        <w:t xml:space="preserve">The following </w:t>
      </w:r>
      <w:r w:rsidR="00AC7CA3">
        <w:rPr>
          <w:lang w:val="en-GB" w:eastAsia="en-CA"/>
        </w:rPr>
        <w:t>applies the GTAP-Lab model to a</w:t>
      </w:r>
      <w:r>
        <w:rPr>
          <w:lang w:val="en-GB" w:eastAsia="en-CA"/>
        </w:rPr>
        <w:t xml:space="preserve"> hypothetic trade agreement. </w:t>
      </w:r>
      <w:r w:rsidR="004E5A4F">
        <w:rPr>
          <w:lang w:val="en-GB" w:eastAsia="en-CA"/>
        </w:rPr>
        <w:t>The GTAP</w:t>
      </w:r>
      <w:r w:rsidR="004C5696">
        <w:rPr>
          <w:lang w:val="en-GB" w:eastAsia="en-CA"/>
        </w:rPr>
        <w:t>-LAB model is simulated forward from the base year 2014 in the GTAP V10 database to 2030.  The underlying data are values in US dollars at 2014 prices.  These are converted to Canadian dollars at 2018 prices by taking account of the inflation in the US dollar over the period from 2014 to 2018 (a cumulative total of 6.5%) and the exchange rate in 2018 between the Canadian dollar and the US dollar of 1.2957 (Bank of Canada, average annual exchange rate). The Canadian economy is projected to be almost $3 trillion in 2018 Canadian dollar terms in 2030. The impacts, however, are to be read as 2035, given</w:t>
      </w:r>
      <w:r w:rsidR="004E5A4F">
        <w:rPr>
          <w:lang w:val="en-GB" w:eastAsia="en-CA"/>
        </w:rPr>
        <w:t xml:space="preserve"> the implementation of the agreement</w:t>
      </w:r>
      <w:r w:rsidR="004C5696">
        <w:rPr>
          <w:lang w:val="en-GB" w:eastAsia="en-CA"/>
        </w:rPr>
        <w:t xml:space="preserve"> starts in 2019.</w:t>
      </w:r>
    </w:p>
    <w:p w:rsidR="004C5696" w:rsidRDefault="004C5696" w:rsidP="004C5696">
      <w:pPr>
        <w:pStyle w:val="Heading2"/>
      </w:pPr>
      <w:bookmarkStart w:id="6" w:name="_Toc5307875"/>
      <w:r>
        <w:t>Canada Macroeconomic Impacts</w:t>
      </w:r>
      <w:bookmarkEnd w:id="6"/>
    </w:p>
    <w:p w:rsidR="00AC7CA3" w:rsidRDefault="00AC7CA3" w:rsidP="004C5696">
      <w:pPr>
        <w:rPr>
          <w:lang w:val="en-GB" w:eastAsia="en-CA"/>
        </w:rPr>
      </w:pPr>
    </w:p>
    <w:p w:rsidR="004C5696" w:rsidRDefault="00AC7CA3" w:rsidP="004C5696">
      <w:pPr>
        <w:rPr>
          <w:lang w:eastAsia="zh-CN"/>
        </w:rPr>
      </w:pPr>
      <w:r>
        <w:rPr>
          <w:lang w:val="en-GB" w:eastAsia="en-CA"/>
        </w:rPr>
        <w:t>The impact of the trade agreement</w:t>
      </w:r>
      <w:r w:rsidR="004C5696">
        <w:rPr>
          <w:lang w:val="en-GB" w:eastAsia="en-CA"/>
        </w:rPr>
        <w:t xml:space="preserve"> on the Canadian economy is positive but modest.</w:t>
      </w:r>
      <w:r>
        <w:rPr>
          <w:lang w:val="en-GB" w:eastAsia="en-CA"/>
        </w:rPr>
        <w:t xml:space="preserve">  Table 6</w:t>
      </w:r>
      <w:r w:rsidR="004C5696">
        <w:rPr>
          <w:lang w:val="en-GB" w:eastAsia="en-CA"/>
        </w:rPr>
        <w:t xml:space="preserve"> sets out the results on the economy as a whole. </w:t>
      </w:r>
      <w:r w:rsidR="004C5696">
        <w:rPr>
          <w:lang w:eastAsia="zh-CN"/>
        </w:rPr>
        <w:t>The modest scale of the impact on Canada suggests that macroeconomic disruptions are not likely to be experienced. The C$4 billion welfare gain for Canadian households represents an increase of about 0.135%.  This comes about in part due to higher real output (a real GDP increase of 0.11%) and in part due to lower prices (consumer prices are about -0.075% lower than they would otherwise have been in 2035).  From the perspective of the PTA, the increase in economic welfare is a positive factor.</w:t>
      </w:r>
    </w:p>
    <w:p w:rsidR="004C5696" w:rsidRPr="00AC7CA3" w:rsidRDefault="00AC7CA3" w:rsidP="004C5696">
      <w:pPr>
        <w:pStyle w:val="Caption"/>
        <w:rPr>
          <w:lang w:val="en-GB"/>
        </w:rPr>
      </w:pPr>
      <w:r>
        <w:rPr>
          <w:lang w:val="en-GB"/>
        </w:rPr>
        <w:t>Table 6</w:t>
      </w:r>
      <w:r w:rsidR="004C5696">
        <w:rPr>
          <w:lang w:val="en-GB"/>
        </w:rPr>
        <w:t>: Canadian Ma</w:t>
      </w:r>
      <w:r>
        <w:rPr>
          <w:lang w:val="en-GB"/>
        </w:rPr>
        <w:t>croeconomic Impacts of the Agreement</w:t>
      </w:r>
      <w:r w:rsidRPr="00AC7CA3">
        <w:rPr>
          <w:rFonts w:eastAsia="Times New Roman"/>
          <w:b w:val="0"/>
          <w:color w:val="000000"/>
          <w:sz w:val="20"/>
          <w:szCs w:val="20"/>
          <w:lang w:eastAsia="en-CA"/>
        </w:rPr>
        <w:t xml:space="preserve"> </w:t>
      </w:r>
      <w:r w:rsidRPr="00AC7CA3">
        <w:rPr>
          <w:rFonts w:eastAsia="Times New Roman"/>
          <w:color w:val="000000"/>
          <w:lang w:eastAsia="en-CA"/>
        </w:rPr>
        <w:t>(</w:t>
      </w:r>
      <w:r>
        <w:rPr>
          <w:rFonts w:eastAsia="Times New Roman"/>
          <w:color w:val="000000"/>
          <w:lang w:eastAsia="en-CA"/>
        </w:rPr>
        <w:t>$ million</w:t>
      </w:r>
      <w:r w:rsidRPr="00AC7CA3">
        <w:rPr>
          <w:rFonts w:eastAsia="Times New Roman"/>
          <w:color w:val="000000"/>
          <w:lang w:eastAsia="en-CA"/>
        </w:rPr>
        <w:t xml:space="preserve"> and %</w:t>
      </w:r>
      <w:r>
        <w:rPr>
          <w:rFonts w:eastAsia="Times New Roman"/>
          <w:color w:val="000000"/>
          <w:lang w:eastAsia="en-CA"/>
        </w:rPr>
        <w:t>)</w:t>
      </w:r>
    </w:p>
    <w:tbl>
      <w:tblPr>
        <w:tblW w:w="9100" w:type="dxa"/>
        <w:tblLook w:val="04A0" w:firstRow="1" w:lastRow="0" w:firstColumn="1" w:lastColumn="0" w:noHBand="0" w:noVBand="1"/>
      </w:tblPr>
      <w:tblGrid>
        <w:gridCol w:w="6953"/>
        <w:gridCol w:w="2147"/>
      </w:tblGrid>
      <w:tr w:rsidR="004C5696" w:rsidRPr="00316A7F" w:rsidTr="004C5696">
        <w:trPr>
          <w:trHeight w:val="236"/>
        </w:trPr>
        <w:tc>
          <w:tcPr>
            <w:tcW w:w="6953" w:type="dxa"/>
            <w:shd w:val="clear" w:color="auto" w:fill="DBE5F1" w:themeFill="accent1" w:themeFillTint="33"/>
            <w:noWrap/>
            <w:hideMark/>
          </w:tcPr>
          <w:p w:rsidR="004C5696" w:rsidRPr="00316A7F" w:rsidRDefault="004C5696" w:rsidP="004C5696">
            <w:pPr>
              <w:jc w:val="left"/>
              <w:rPr>
                <w:rFonts w:eastAsia="Times New Roman" w:cs="Times New Roman"/>
                <w:color w:val="000000"/>
                <w:sz w:val="20"/>
                <w:szCs w:val="20"/>
                <w:lang w:eastAsia="en-CA"/>
              </w:rPr>
            </w:pPr>
            <w:r w:rsidRPr="00316A7F">
              <w:rPr>
                <w:rFonts w:eastAsia="Times New Roman" w:cs="Times New Roman"/>
                <w:color w:val="000000"/>
                <w:sz w:val="20"/>
                <w:szCs w:val="20"/>
                <w:lang w:eastAsia="en-CA"/>
              </w:rPr>
              <w:t>Major Macroeconomic Indicators</w:t>
            </w:r>
          </w:p>
        </w:tc>
        <w:tc>
          <w:tcPr>
            <w:tcW w:w="2147" w:type="dxa"/>
            <w:shd w:val="clear" w:color="auto" w:fill="DBE5F1" w:themeFill="accent1" w:themeFillTint="33"/>
            <w:noWrap/>
            <w:hideMark/>
          </w:tcPr>
          <w:p w:rsidR="004C5696" w:rsidRPr="00316A7F" w:rsidRDefault="004C5696" w:rsidP="004C5696">
            <w:pPr>
              <w:jc w:val="left"/>
              <w:rPr>
                <w:rFonts w:ascii="Calibri" w:eastAsia="Times New Roman" w:hAnsi="Calibri" w:cs="Calibri"/>
                <w:b/>
                <w:color w:val="000000"/>
                <w:sz w:val="22"/>
                <w:szCs w:val="22"/>
                <w:lang w:eastAsia="en-CA"/>
              </w:rPr>
            </w:pPr>
            <w:r w:rsidRPr="00316A7F">
              <w:rPr>
                <w:rFonts w:ascii="Calibri" w:eastAsia="Times New Roman" w:hAnsi="Calibri" w:cs="Calibri"/>
                <w:b/>
                <w:color w:val="000000"/>
                <w:sz w:val="22"/>
                <w:szCs w:val="22"/>
                <w:lang w:eastAsia="en-CA"/>
              </w:rPr>
              <w:t> </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Economic Welfare (CAD millions)</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3,973</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Economic Welfare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0.135</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GDP value change (CAD millions)</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2,307</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GDP value change (%)</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0.077</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GDP volume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0.110</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GDP deflator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-0.033</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Terms of Trade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0.034</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CPI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-0.075</w:t>
            </w:r>
          </w:p>
        </w:tc>
      </w:tr>
      <w:tr w:rsidR="004C5696" w:rsidRPr="00316A7F" w:rsidTr="004C5696">
        <w:trPr>
          <w:trHeight w:val="236"/>
        </w:trPr>
        <w:tc>
          <w:tcPr>
            <w:tcW w:w="6953" w:type="dxa"/>
            <w:shd w:val="clear" w:color="auto" w:fill="DBE5F1" w:themeFill="accent1" w:themeFillTint="33"/>
            <w:noWrap/>
            <w:hideMark/>
          </w:tcPr>
          <w:p w:rsidR="004C5696" w:rsidRPr="00316A7F" w:rsidRDefault="004C5696" w:rsidP="004C5696">
            <w:pPr>
              <w:jc w:val="left"/>
              <w:rPr>
                <w:rFonts w:eastAsia="Times New Roman" w:cs="Times New Roman"/>
                <w:color w:val="000000"/>
                <w:sz w:val="20"/>
                <w:szCs w:val="20"/>
                <w:lang w:eastAsia="en-CA"/>
              </w:rPr>
            </w:pPr>
            <w:r w:rsidRPr="00316A7F">
              <w:rPr>
                <w:rFonts w:eastAsia="Times New Roman" w:cs="Times New Roman"/>
                <w:color w:val="000000"/>
                <w:sz w:val="20"/>
                <w:szCs w:val="20"/>
                <w:lang w:eastAsia="en-CA"/>
              </w:rPr>
              <w:lastRenderedPageBreak/>
              <w:t>GDP by Expenditure Category</w:t>
            </w:r>
          </w:p>
        </w:tc>
        <w:tc>
          <w:tcPr>
            <w:tcW w:w="2147" w:type="dxa"/>
            <w:shd w:val="clear" w:color="auto" w:fill="DBE5F1" w:themeFill="accent1" w:themeFillTint="33"/>
            <w:noWrap/>
            <w:vAlign w:val="bottom"/>
            <w:hideMark/>
          </w:tcPr>
          <w:p w:rsidR="004C5696" w:rsidRPr="00316A7F" w:rsidRDefault="004C5696" w:rsidP="004C5696">
            <w:pPr>
              <w:jc w:val="left"/>
              <w:rPr>
                <w:rFonts w:ascii="Calibri" w:eastAsia="Times New Roman" w:hAnsi="Calibri" w:cs="Calibri"/>
                <w:b/>
                <w:color w:val="000000"/>
                <w:sz w:val="22"/>
                <w:szCs w:val="22"/>
                <w:lang w:eastAsia="en-CA"/>
              </w:rPr>
            </w:pPr>
            <w:r>
              <w:rPr>
                <w:rFonts w:ascii="Calibri" w:hAnsi="Calibri" w:cs="Calibri"/>
                <w:color w:val="000000"/>
                <w:sz w:val="22"/>
                <w:szCs w:val="22"/>
              </w:rPr>
              <w:t> </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Consumption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0.158</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Government Expenditure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0.068</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Investment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0.116</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Total Exports of Goods &amp; Services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0.339</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Total Imports of Goods &amp; Services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0.370</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Trade balance (CAD millions)</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-365</w:t>
            </w:r>
          </w:p>
        </w:tc>
      </w:tr>
      <w:tr w:rsidR="004C5696" w:rsidRPr="00316A7F" w:rsidTr="004C5696">
        <w:trPr>
          <w:trHeight w:val="236"/>
        </w:trPr>
        <w:tc>
          <w:tcPr>
            <w:tcW w:w="6953" w:type="dxa"/>
            <w:shd w:val="clear" w:color="auto" w:fill="DBE5F1" w:themeFill="accent1" w:themeFillTint="33"/>
            <w:noWrap/>
            <w:hideMark/>
          </w:tcPr>
          <w:p w:rsidR="004C5696" w:rsidRPr="00316A7F" w:rsidRDefault="004C5696" w:rsidP="004C5696">
            <w:pPr>
              <w:jc w:val="left"/>
              <w:rPr>
                <w:rFonts w:eastAsia="Times New Roman" w:cs="Times New Roman"/>
                <w:color w:val="000000"/>
                <w:sz w:val="20"/>
                <w:szCs w:val="20"/>
                <w:lang w:eastAsia="en-CA"/>
              </w:rPr>
            </w:pPr>
            <w:r w:rsidRPr="00316A7F">
              <w:rPr>
                <w:rFonts w:eastAsia="Times New Roman" w:cs="Times New Roman"/>
                <w:color w:val="000000"/>
                <w:sz w:val="20"/>
                <w:szCs w:val="20"/>
                <w:lang w:eastAsia="en-CA"/>
              </w:rPr>
              <w:t>Factor Markets</w:t>
            </w:r>
          </w:p>
        </w:tc>
        <w:tc>
          <w:tcPr>
            <w:tcW w:w="2147" w:type="dxa"/>
            <w:shd w:val="clear" w:color="auto" w:fill="DBE5F1" w:themeFill="accent1" w:themeFillTint="33"/>
            <w:noWrap/>
            <w:vAlign w:val="bottom"/>
            <w:hideMark/>
          </w:tcPr>
          <w:p w:rsidR="004C5696" w:rsidRPr="00316A7F" w:rsidRDefault="004C5696" w:rsidP="004C5696">
            <w:pPr>
              <w:jc w:val="left"/>
              <w:rPr>
                <w:rFonts w:ascii="Calibri" w:eastAsia="Times New Roman" w:hAnsi="Calibri" w:cs="Calibri"/>
                <w:b/>
                <w:color w:val="000000"/>
                <w:sz w:val="22"/>
                <w:szCs w:val="22"/>
                <w:lang w:eastAsia="en-CA"/>
              </w:rPr>
            </w:pPr>
            <w:r>
              <w:rPr>
                <w:rFonts w:ascii="Calibri" w:hAnsi="Calibri" w:cs="Calibri"/>
                <w:color w:val="000000"/>
                <w:sz w:val="22"/>
                <w:szCs w:val="22"/>
              </w:rPr>
              <w:t> </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Capital Stock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0.062</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Labour Input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0.102</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Real wages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0.117</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Jobs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0.097</w:t>
            </w:r>
          </w:p>
        </w:tc>
      </w:tr>
      <w:tr w:rsidR="004C5696" w:rsidRPr="00265DEA" w:rsidTr="004C5696">
        <w:trPr>
          <w:trHeight w:val="236"/>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Productivity (% change)</w:t>
            </w:r>
          </w:p>
        </w:tc>
        <w:tc>
          <w:tcPr>
            <w:tcW w:w="2147" w:type="dxa"/>
            <w:noWrap/>
            <w:vAlign w:val="center"/>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0.014</w:t>
            </w:r>
          </w:p>
        </w:tc>
      </w:tr>
      <w:tr w:rsidR="004C5696" w:rsidRPr="00316A7F" w:rsidTr="004C5696">
        <w:trPr>
          <w:trHeight w:val="236"/>
        </w:trPr>
        <w:tc>
          <w:tcPr>
            <w:tcW w:w="6953" w:type="dxa"/>
            <w:shd w:val="clear" w:color="auto" w:fill="DBE5F1" w:themeFill="accent1" w:themeFillTint="33"/>
            <w:noWrap/>
            <w:hideMark/>
          </w:tcPr>
          <w:p w:rsidR="004C5696" w:rsidRPr="00316A7F" w:rsidRDefault="004C5696" w:rsidP="004C5696">
            <w:pPr>
              <w:jc w:val="left"/>
              <w:rPr>
                <w:rFonts w:eastAsia="Times New Roman" w:cs="Times New Roman"/>
                <w:color w:val="000000"/>
                <w:sz w:val="20"/>
                <w:szCs w:val="20"/>
                <w:lang w:eastAsia="en-CA"/>
              </w:rPr>
            </w:pPr>
            <w:r w:rsidRPr="00316A7F">
              <w:rPr>
                <w:rFonts w:eastAsia="Times New Roman" w:cs="Times New Roman"/>
                <w:color w:val="000000"/>
                <w:sz w:val="20"/>
                <w:szCs w:val="20"/>
                <w:lang w:eastAsia="en-CA"/>
              </w:rPr>
              <w:t>Key Ratios</w:t>
            </w:r>
          </w:p>
        </w:tc>
        <w:tc>
          <w:tcPr>
            <w:tcW w:w="2147" w:type="dxa"/>
            <w:shd w:val="clear" w:color="auto" w:fill="DBE5F1" w:themeFill="accent1" w:themeFillTint="33"/>
            <w:noWrap/>
            <w:vAlign w:val="bottom"/>
            <w:hideMark/>
          </w:tcPr>
          <w:p w:rsidR="004C5696" w:rsidRPr="00316A7F" w:rsidRDefault="004C5696" w:rsidP="004C5696">
            <w:pPr>
              <w:jc w:val="left"/>
              <w:rPr>
                <w:rFonts w:ascii="Calibri" w:eastAsia="Times New Roman" w:hAnsi="Calibri" w:cs="Calibri"/>
                <w:b/>
                <w:color w:val="000000"/>
                <w:sz w:val="22"/>
                <w:szCs w:val="22"/>
                <w:lang w:eastAsia="en-CA"/>
              </w:rPr>
            </w:pPr>
            <w:r>
              <w:rPr>
                <w:rFonts w:ascii="Calibri" w:hAnsi="Calibri" w:cs="Calibri"/>
                <w:color w:val="000000"/>
                <w:sz w:val="22"/>
                <w:szCs w:val="22"/>
              </w:rPr>
              <w:t> </w:t>
            </w:r>
          </w:p>
        </w:tc>
      </w:tr>
      <w:tr w:rsidR="004C5696" w:rsidRPr="00265DEA" w:rsidTr="004C5696">
        <w:trPr>
          <w:trHeight w:val="230"/>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Real GDP/Real Trade</w:t>
            </w:r>
          </w:p>
        </w:tc>
        <w:tc>
          <w:tcPr>
            <w:tcW w:w="2147" w:type="dxa"/>
            <w:noWrap/>
            <w:vAlign w:val="bottom"/>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0.31</w:t>
            </w:r>
          </w:p>
        </w:tc>
      </w:tr>
      <w:tr w:rsidR="004C5696" w:rsidRPr="00265DEA" w:rsidTr="004C5696">
        <w:trPr>
          <w:trHeight w:val="230"/>
        </w:trPr>
        <w:tc>
          <w:tcPr>
            <w:tcW w:w="6953" w:type="dxa"/>
            <w:noWrap/>
            <w:hideMark/>
          </w:tcPr>
          <w:p w:rsidR="004C5696" w:rsidRPr="00265DEA" w:rsidRDefault="004C5696" w:rsidP="00114D2A">
            <w:pPr>
              <w:ind w:firstLineChars="100" w:firstLine="201"/>
              <w:jc w:val="left"/>
              <w:rPr>
                <w:rFonts w:eastAsia="Times New Roman" w:cs="Times New Roman"/>
                <w:b/>
                <w:color w:val="000000"/>
                <w:sz w:val="20"/>
                <w:szCs w:val="20"/>
                <w:lang w:eastAsia="en-CA"/>
              </w:rPr>
            </w:pPr>
            <w:r w:rsidRPr="00265DEA">
              <w:rPr>
                <w:rFonts w:eastAsia="Times New Roman" w:cs="Times New Roman"/>
                <w:b/>
                <w:color w:val="000000"/>
                <w:sz w:val="20"/>
                <w:szCs w:val="20"/>
                <w:lang w:eastAsia="en-CA"/>
              </w:rPr>
              <w:t>Real wage/productivity</w:t>
            </w:r>
          </w:p>
        </w:tc>
        <w:tc>
          <w:tcPr>
            <w:tcW w:w="2147" w:type="dxa"/>
            <w:noWrap/>
            <w:vAlign w:val="bottom"/>
            <w:hideMark/>
          </w:tcPr>
          <w:p w:rsidR="004C5696" w:rsidRPr="00265DEA" w:rsidRDefault="004C5696" w:rsidP="004C5696">
            <w:pPr>
              <w:jc w:val="right"/>
              <w:rPr>
                <w:rFonts w:eastAsia="Times New Roman" w:cs="Times New Roman"/>
                <w:color w:val="000000"/>
                <w:sz w:val="20"/>
                <w:szCs w:val="20"/>
                <w:lang w:eastAsia="en-CA"/>
              </w:rPr>
            </w:pPr>
            <w:r>
              <w:rPr>
                <w:color w:val="000000"/>
                <w:sz w:val="20"/>
                <w:szCs w:val="20"/>
              </w:rPr>
              <w:t>8.40</w:t>
            </w:r>
          </w:p>
        </w:tc>
      </w:tr>
    </w:tbl>
    <w:p w:rsidR="004C5696" w:rsidRDefault="004C5696" w:rsidP="004C5696">
      <w:pPr>
        <w:rPr>
          <w:sz w:val="20"/>
          <w:szCs w:val="20"/>
          <w:lang w:val="en-GB" w:eastAsia="en-CA"/>
        </w:rPr>
      </w:pPr>
      <w:r w:rsidRPr="007100EF">
        <w:rPr>
          <w:sz w:val="20"/>
          <w:szCs w:val="20"/>
          <w:lang w:val="en-GB" w:eastAsia="en-CA"/>
        </w:rPr>
        <w:t>Source: Simulations by Global Affairs Canada, Office of the Chief Economist</w:t>
      </w:r>
      <w:r>
        <w:rPr>
          <w:sz w:val="20"/>
          <w:szCs w:val="20"/>
          <w:lang w:val="en-GB" w:eastAsia="en-CA"/>
        </w:rPr>
        <w:t>.</w:t>
      </w:r>
    </w:p>
    <w:p w:rsidR="00AC7CA3" w:rsidRDefault="00AC7CA3" w:rsidP="004C5696">
      <w:pPr>
        <w:rPr>
          <w:lang w:eastAsia="zh-CN"/>
        </w:rPr>
      </w:pPr>
    </w:p>
    <w:p w:rsidR="004C5696" w:rsidRDefault="00AC7CA3" w:rsidP="004C5696">
      <w:pPr>
        <w:rPr>
          <w:lang w:eastAsia="zh-CN"/>
        </w:rPr>
      </w:pPr>
      <w:r>
        <w:rPr>
          <w:lang w:eastAsia="zh-CN"/>
        </w:rPr>
        <w:t>The agreement</w:t>
      </w:r>
      <w:r w:rsidR="004C5696">
        <w:rPr>
          <w:lang w:eastAsia="zh-CN"/>
        </w:rPr>
        <w:t xml:space="preserve"> promotes labour input (an increase of 0.1%) relative to capital input (0.06%) in production; real wages increase by about 0.12%.  Most of the labour input comes from an increase in the number of jobs (slightly less than 0.1%); productivity rises only marginally (0.014%).  The positive impact on both jobs and wages is a positive factor from the perspective of the PTA.</w:t>
      </w:r>
      <w:r w:rsidR="004C5696" w:rsidRPr="00BE24BF">
        <w:rPr>
          <w:lang w:eastAsia="zh-CN"/>
        </w:rPr>
        <w:t xml:space="preserve"> </w:t>
      </w:r>
      <w:r w:rsidR="004C5696">
        <w:rPr>
          <w:lang w:eastAsia="zh-CN"/>
        </w:rPr>
        <w:t xml:space="preserve">The </w:t>
      </w:r>
      <w:r w:rsidR="00310A1B">
        <w:rPr>
          <w:lang w:eastAsia="zh-CN"/>
        </w:rPr>
        <w:t>AGREEMENT</w:t>
      </w:r>
      <w:r w:rsidR="004C5696">
        <w:rPr>
          <w:lang w:eastAsia="zh-CN"/>
        </w:rPr>
        <w:t xml:space="preserve"> impact </w:t>
      </w:r>
      <w:r w:rsidR="004C5696" w:rsidRPr="00251C63">
        <w:rPr>
          <w:lang w:eastAsia="zh-CN"/>
        </w:rPr>
        <w:t xml:space="preserve">is weighted in favour of consumption </w:t>
      </w:r>
      <w:r w:rsidR="004C5696">
        <w:rPr>
          <w:lang w:eastAsia="zh-CN"/>
        </w:rPr>
        <w:t>(</w:t>
      </w:r>
      <w:r w:rsidR="004C5696" w:rsidRPr="00251C63">
        <w:rPr>
          <w:lang w:eastAsia="zh-CN"/>
        </w:rPr>
        <w:t>an increase of about 0.16 percent</w:t>
      </w:r>
      <w:r w:rsidR="004C5696">
        <w:rPr>
          <w:lang w:eastAsia="zh-CN"/>
        </w:rPr>
        <w:t>) rather than</w:t>
      </w:r>
      <w:r w:rsidR="004C5696" w:rsidRPr="00251C63">
        <w:rPr>
          <w:lang w:eastAsia="zh-CN"/>
        </w:rPr>
        <w:t xml:space="preserve"> investment </w:t>
      </w:r>
      <w:r w:rsidR="004C5696">
        <w:rPr>
          <w:lang w:eastAsia="zh-CN"/>
        </w:rPr>
        <w:t xml:space="preserve">(an increase of </w:t>
      </w:r>
      <w:r w:rsidR="004C5696" w:rsidRPr="00251C63">
        <w:rPr>
          <w:lang w:eastAsia="zh-CN"/>
        </w:rPr>
        <w:t>about 0.12 percent</w:t>
      </w:r>
      <w:r w:rsidR="004C5696">
        <w:rPr>
          <w:lang w:eastAsia="zh-CN"/>
        </w:rPr>
        <w:t>), c</w:t>
      </w:r>
      <w:r w:rsidR="004C5696" w:rsidRPr="00251C63">
        <w:rPr>
          <w:lang w:eastAsia="zh-CN"/>
        </w:rPr>
        <w:t>onsistent with the job</w:t>
      </w:r>
      <w:r w:rsidR="004C5696">
        <w:rPr>
          <w:lang w:eastAsia="zh-CN"/>
        </w:rPr>
        <w:t>-</w:t>
      </w:r>
      <w:r w:rsidR="004C5696" w:rsidRPr="00251C63">
        <w:rPr>
          <w:lang w:eastAsia="zh-CN"/>
        </w:rPr>
        <w:t>intensive impacts on production</w:t>
      </w:r>
      <w:r>
        <w:rPr>
          <w:lang w:eastAsia="zh-CN"/>
        </w:rPr>
        <w:t xml:space="preserve">. </w:t>
      </w:r>
    </w:p>
    <w:p w:rsidR="004C5696" w:rsidRDefault="004C5696" w:rsidP="004C5696">
      <w:pPr>
        <w:rPr>
          <w:lang w:eastAsia="zh-CN"/>
        </w:rPr>
      </w:pPr>
      <w:r>
        <w:rPr>
          <w:lang w:eastAsia="zh-CN"/>
        </w:rPr>
        <w:t xml:space="preserve">The Canadian </w:t>
      </w:r>
      <w:r w:rsidRPr="00251C63">
        <w:rPr>
          <w:lang w:eastAsia="zh-CN"/>
        </w:rPr>
        <w:t>Economy becomes more trade</w:t>
      </w:r>
      <w:r>
        <w:rPr>
          <w:lang w:eastAsia="zh-CN"/>
        </w:rPr>
        <w:t>-</w:t>
      </w:r>
      <w:r w:rsidRPr="00251C63">
        <w:rPr>
          <w:lang w:eastAsia="zh-CN"/>
        </w:rPr>
        <w:t xml:space="preserve">intensive as </w:t>
      </w:r>
      <w:r>
        <w:rPr>
          <w:lang w:eastAsia="zh-CN"/>
        </w:rPr>
        <w:t xml:space="preserve">two-way </w:t>
      </w:r>
      <w:r w:rsidRPr="00251C63">
        <w:rPr>
          <w:lang w:eastAsia="zh-CN"/>
        </w:rPr>
        <w:t>trade increases on the order of about 0.35 percent</w:t>
      </w:r>
      <w:r>
        <w:rPr>
          <w:lang w:eastAsia="zh-CN"/>
        </w:rPr>
        <w:t xml:space="preserve"> compared to a real GDP increase of about 0.11%. The ratio of real GDP gains relative to the expansion of trade is in a reasonable range of 0.3.  However, </w:t>
      </w:r>
      <w:r w:rsidRPr="00251C63">
        <w:rPr>
          <w:lang w:eastAsia="zh-CN"/>
        </w:rPr>
        <w:t>real wage gain</w:t>
      </w:r>
      <w:r>
        <w:rPr>
          <w:lang w:eastAsia="zh-CN"/>
        </w:rPr>
        <w:t>s</w:t>
      </w:r>
      <w:r w:rsidRPr="00251C63">
        <w:rPr>
          <w:lang w:eastAsia="zh-CN"/>
        </w:rPr>
        <w:t xml:space="preserve"> relative to productivity </w:t>
      </w:r>
      <w:r>
        <w:rPr>
          <w:lang w:eastAsia="zh-CN"/>
        </w:rPr>
        <w:t xml:space="preserve">are stronger </w:t>
      </w:r>
      <w:r w:rsidRPr="00251C63">
        <w:rPr>
          <w:lang w:eastAsia="zh-CN"/>
        </w:rPr>
        <w:t xml:space="preserve">than would be expected to be seen in </w:t>
      </w:r>
      <w:r>
        <w:rPr>
          <w:lang w:eastAsia="zh-CN"/>
        </w:rPr>
        <w:t>reality given that real wage gains have generally not kept pace with labour productivity gains;</w:t>
      </w:r>
      <w:r w:rsidRPr="00251C63">
        <w:rPr>
          <w:lang w:eastAsia="zh-CN"/>
        </w:rPr>
        <w:t xml:space="preserve"> accordingly</w:t>
      </w:r>
      <w:r>
        <w:rPr>
          <w:lang w:eastAsia="zh-CN"/>
        </w:rPr>
        <w:t>,</w:t>
      </w:r>
      <w:r w:rsidRPr="00251C63">
        <w:rPr>
          <w:lang w:eastAsia="zh-CN"/>
        </w:rPr>
        <w:t xml:space="preserve"> this potential source of bias </w:t>
      </w:r>
      <w:r>
        <w:rPr>
          <w:lang w:eastAsia="zh-CN"/>
        </w:rPr>
        <w:t xml:space="preserve">in the results </w:t>
      </w:r>
      <w:r w:rsidRPr="00251C63">
        <w:rPr>
          <w:lang w:eastAsia="zh-CN"/>
        </w:rPr>
        <w:t>should be kept in mind in interpreting the results</w:t>
      </w:r>
      <w:r>
        <w:rPr>
          <w:lang w:eastAsia="zh-CN"/>
        </w:rPr>
        <w:t>.</w:t>
      </w:r>
    </w:p>
    <w:p w:rsidR="004C5696" w:rsidRDefault="004C5696" w:rsidP="004C5696">
      <w:pPr>
        <w:pStyle w:val="Heading2"/>
      </w:pPr>
      <w:bookmarkStart w:id="7" w:name="_Toc5307876"/>
      <w:r>
        <w:lastRenderedPageBreak/>
        <w:t>Sectoral Impacts</w:t>
      </w:r>
      <w:bookmarkEnd w:id="7"/>
    </w:p>
    <w:p w:rsidR="00AC7CA3" w:rsidRDefault="00AC7CA3" w:rsidP="004C5696">
      <w:pPr>
        <w:rPr>
          <w:lang w:eastAsia="zh-CN"/>
        </w:rPr>
      </w:pPr>
    </w:p>
    <w:p w:rsidR="004C5696" w:rsidRDefault="004C5696" w:rsidP="004C5696">
      <w:pPr>
        <w:rPr>
          <w:lang w:eastAsia="zh-CN"/>
        </w:rPr>
      </w:pPr>
      <w:r>
        <w:rPr>
          <w:lang w:eastAsia="zh-CN"/>
        </w:rPr>
        <w:t>The sectoral impacts fo</w:t>
      </w:r>
      <w:r w:rsidR="00AC7CA3">
        <w:rPr>
          <w:lang w:eastAsia="zh-CN"/>
        </w:rPr>
        <w:t>r Canada are reported in Table 7</w:t>
      </w:r>
      <w:r>
        <w:rPr>
          <w:lang w:eastAsia="zh-CN"/>
        </w:rPr>
        <w:t>. The first six columns report impacts on export and imports of goods and servic</w:t>
      </w:r>
      <w:r w:rsidR="00AC7CA3">
        <w:rPr>
          <w:lang w:eastAsia="zh-CN"/>
        </w:rPr>
        <w:t>es with FTA</w:t>
      </w:r>
      <w:r>
        <w:rPr>
          <w:lang w:eastAsia="zh-CN"/>
        </w:rPr>
        <w:t xml:space="preserve"> partners; impacts on exports and imports with the world (which take into account trade diversion effects on imports and trade deflection effects on exports); domestic shipments (which represent the value of sales on the same gross value basis as imports and exports); and total shipments (which are equal to total exports plus domestic shipments). This provides an insight into the market share impacts that industry participants will experience in terms of gains or losses in total shipments by product. </w:t>
      </w:r>
    </w:p>
    <w:p w:rsidR="004C5696" w:rsidRDefault="004C5696" w:rsidP="004C5696">
      <w:pPr>
        <w:rPr>
          <w:lang w:eastAsia="zh-CN"/>
        </w:rPr>
      </w:pPr>
      <w:r>
        <w:rPr>
          <w:lang w:eastAsia="zh-CN"/>
        </w:rPr>
        <w:t>The goods sectors with the str</w:t>
      </w:r>
      <w:r w:rsidR="00AC7CA3">
        <w:rPr>
          <w:lang w:eastAsia="zh-CN"/>
        </w:rPr>
        <w:t>ongest gains in exports to FTA</w:t>
      </w:r>
      <w:r>
        <w:rPr>
          <w:lang w:eastAsia="zh-CN"/>
        </w:rPr>
        <w:t xml:space="preserve"> parties are pork and poultry (</w:t>
      </w:r>
      <w:r w:rsidR="00AC7CA3">
        <w:rPr>
          <w:lang w:eastAsia="zh-CN"/>
        </w:rPr>
        <w:t>which boost sales by almost $</w:t>
      </w:r>
      <w:r>
        <w:rPr>
          <w:lang w:eastAsia="zh-CN"/>
        </w:rPr>
        <w:t xml:space="preserve">690 million), </w:t>
      </w:r>
      <w:r w:rsidR="00AC7CA3">
        <w:rPr>
          <w:lang w:eastAsia="zh-CN"/>
        </w:rPr>
        <w:t>forestry and wood products ($</w:t>
      </w:r>
      <w:r>
        <w:rPr>
          <w:lang w:eastAsia="zh-CN"/>
        </w:rPr>
        <w:t>210 million), beef (</w:t>
      </w:r>
      <w:r w:rsidR="00AC7CA3">
        <w:rPr>
          <w:lang w:eastAsia="zh-CN"/>
        </w:rPr>
        <w:t>$</w:t>
      </w:r>
      <w:r>
        <w:rPr>
          <w:lang w:eastAsia="zh-CN"/>
        </w:rPr>
        <w:t>173 million), and machinery and equipment (</w:t>
      </w:r>
      <w:r w:rsidR="00AC7CA3">
        <w:rPr>
          <w:lang w:eastAsia="zh-CN"/>
        </w:rPr>
        <w:t>$</w:t>
      </w:r>
      <w:r>
        <w:rPr>
          <w:lang w:eastAsia="zh-CN"/>
        </w:rPr>
        <w:t>172 million).  Business services (</w:t>
      </w:r>
      <w:r w:rsidR="00AC7CA3">
        <w:rPr>
          <w:lang w:eastAsia="zh-CN"/>
        </w:rPr>
        <w:t>$</w:t>
      </w:r>
      <w:r>
        <w:rPr>
          <w:lang w:eastAsia="zh-CN"/>
        </w:rPr>
        <w:t>329 million) and transportation services (</w:t>
      </w:r>
      <w:r w:rsidR="00AC7CA3">
        <w:rPr>
          <w:lang w:eastAsia="zh-CN"/>
        </w:rPr>
        <w:t>$</w:t>
      </w:r>
      <w:r>
        <w:rPr>
          <w:lang w:eastAsia="zh-CN"/>
        </w:rPr>
        <w:t>148 million) also realize signi</w:t>
      </w:r>
      <w:r w:rsidR="00AC7CA3">
        <w:rPr>
          <w:lang w:eastAsia="zh-CN"/>
        </w:rPr>
        <w:t>ficant gains in exports to FTA</w:t>
      </w:r>
      <w:r>
        <w:rPr>
          <w:lang w:eastAsia="zh-CN"/>
        </w:rPr>
        <w:t xml:space="preserve"> partners.</w:t>
      </w:r>
    </w:p>
    <w:p w:rsidR="004C5696" w:rsidRDefault="004C5696" w:rsidP="004C5696">
      <w:pPr>
        <w:rPr>
          <w:lang w:eastAsia="zh-CN"/>
        </w:rPr>
      </w:pPr>
      <w:r>
        <w:rPr>
          <w:lang w:eastAsia="zh-CN"/>
        </w:rPr>
        <w:t>When gains in exports to third parties and domestic sales are taken into account, pork and poultry (</w:t>
      </w:r>
      <w:r w:rsidR="00AC7CA3">
        <w:rPr>
          <w:lang w:eastAsia="zh-CN"/>
        </w:rPr>
        <w:t>$</w:t>
      </w:r>
      <w:r>
        <w:rPr>
          <w:lang w:eastAsia="zh-CN"/>
        </w:rPr>
        <w:t>687 million), beef (</w:t>
      </w:r>
      <w:r w:rsidR="00AC7CA3">
        <w:rPr>
          <w:lang w:eastAsia="zh-CN"/>
        </w:rPr>
        <w:t>$</w:t>
      </w:r>
      <w:r>
        <w:rPr>
          <w:lang w:eastAsia="zh-CN"/>
        </w:rPr>
        <w:t>390 million), and “other agriculture” (</w:t>
      </w:r>
      <w:r w:rsidR="00AC7CA3">
        <w:rPr>
          <w:lang w:eastAsia="zh-CN"/>
        </w:rPr>
        <w:t>$</w:t>
      </w:r>
      <w:r>
        <w:rPr>
          <w:lang w:eastAsia="zh-CN"/>
        </w:rPr>
        <w:t xml:space="preserve">184 million) see the strongest gains among the goods sectors.  Services sectors generally see strong gains in total sales, driven mainly by domestic income gains. Business services stand out among the traded services with a boost to total sales of </w:t>
      </w:r>
      <w:r w:rsidR="00AC7CA3">
        <w:rPr>
          <w:lang w:eastAsia="zh-CN"/>
        </w:rPr>
        <w:t>$</w:t>
      </w:r>
      <w:r>
        <w:rPr>
          <w:lang w:eastAsia="zh-CN"/>
        </w:rPr>
        <w:t>925 million. Otherwise, the mostly non-traded services sectors reap the largest benefits with “Other services” expanding substantially in terms of total sales (</w:t>
      </w:r>
      <w:r w:rsidR="00AC7CA3">
        <w:rPr>
          <w:lang w:eastAsia="zh-CN"/>
        </w:rPr>
        <w:t>$</w:t>
      </w:r>
      <w:r>
        <w:rPr>
          <w:lang w:eastAsia="zh-CN"/>
        </w:rPr>
        <w:t>2.2 billion), followed by trade (</w:t>
      </w:r>
      <w:r w:rsidR="00AC7CA3">
        <w:rPr>
          <w:lang w:eastAsia="zh-CN"/>
        </w:rPr>
        <w:t>$</w:t>
      </w:r>
      <w:r>
        <w:rPr>
          <w:lang w:eastAsia="zh-CN"/>
        </w:rPr>
        <w:t>688 million) and construction (</w:t>
      </w:r>
      <w:r w:rsidR="00AC7CA3">
        <w:rPr>
          <w:lang w:eastAsia="zh-CN"/>
        </w:rPr>
        <w:t>$</w:t>
      </w:r>
      <w:r>
        <w:rPr>
          <w:lang w:eastAsia="zh-CN"/>
        </w:rPr>
        <w:t xml:space="preserve">647 million). </w:t>
      </w:r>
    </w:p>
    <w:p w:rsidR="004C5696" w:rsidRPr="00A32356" w:rsidRDefault="004C5696" w:rsidP="004C5696">
      <w:pPr>
        <w:rPr>
          <w:lang w:eastAsia="zh-CN"/>
        </w:rPr>
      </w:pPr>
      <w:r>
        <w:rPr>
          <w:lang w:eastAsia="zh-CN"/>
        </w:rPr>
        <w:t>Sectors seeing the greatest extent of import penetration due to liberalization are textiles and apparel (</w:t>
      </w:r>
      <w:r w:rsidR="00AC7CA3">
        <w:rPr>
          <w:lang w:eastAsia="zh-CN"/>
        </w:rPr>
        <w:t>$</w:t>
      </w:r>
      <w:r>
        <w:rPr>
          <w:lang w:eastAsia="zh-CN"/>
        </w:rPr>
        <w:t>2.9 billion for these two sectors combined); motor vehicl</w:t>
      </w:r>
      <w:r w:rsidR="00AC7CA3">
        <w:rPr>
          <w:lang w:eastAsia="zh-CN"/>
        </w:rPr>
        <w:t>es (increased imports</w:t>
      </w:r>
      <w:r>
        <w:rPr>
          <w:lang w:eastAsia="zh-CN"/>
        </w:rPr>
        <w:t xml:space="preserve"> of </w:t>
      </w:r>
      <w:r w:rsidR="00AC7CA3">
        <w:rPr>
          <w:lang w:eastAsia="zh-CN"/>
        </w:rPr>
        <w:t>$</w:t>
      </w:r>
      <w:r>
        <w:rPr>
          <w:lang w:eastAsia="zh-CN"/>
        </w:rPr>
        <w:t>2.4 billion); leather products (</w:t>
      </w:r>
      <w:r w:rsidR="00AC7CA3">
        <w:rPr>
          <w:lang w:eastAsia="zh-CN"/>
        </w:rPr>
        <w:t>$</w:t>
      </w:r>
      <w:r>
        <w:rPr>
          <w:lang w:eastAsia="zh-CN"/>
        </w:rPr>
        <w:t>1.3 billion); dairy (</w:t>
      </w:r>
      <w:r w:rsidR="00AC7CA3">
        <w:rPr>
          <w:lang w:eastAsia="zh-CN"/>
        </w:rPr>
        <w:t>$</w:t>
      </w:r>
      <w:r>
        <w:rPr>
          <w:lang w:eastAsia="zh-CN"/>
        </w:rPr>
        <w:t>735 million); chemicals, rubber and plastics (</w:t>
      </w:r>
      <w:r w:rsidR="00AC7CA3">
        <w:rPr>
          <w:lang w:eastAsia="zh-CN"/>
        </w:rPr>
        <w:t>$</w:t>
      </w:r>
      <w:r>
        <w:rPr>
          <w:lang w:eastAsia="zh-CN"/>
        </w:rPr>
        <w:t>607 million); and other manufacturing (</w:t>
      </w:r>
      <w:r w:rsidR="00AC7CA3">
        <w:rPr>
          <w:lang w:eastAsia="zh-CN"/>
        </w:rPr>
        <w:t>$</w:t>
      </w:r>
      <w:r>
        <w:rPr>
          <w:lang w:eastAsia="zh-CN"/>
        </w:rPr>
        <w:t>445 million). The impact of this increase in import on the domestic producers in these sectors is muted, however, as much of the additional market share in C</w:t>
      </w:r>
      <w:r w:rsidR="00AC7CA3">
        <w:rPr>
          <w:lang w:eastAsia="zh-CN"/>
        </w:rPr>
        <w:t>anada is captured from non-FTA</w:t>
      </w:r>
      <w:r>
        <w:rPr>
          <w:lang w:eastAsia="zh-CN"/>
        </w:rPr>
        <w:t xml:space="preserve"> parties and Canadian exporters facing more intense competition in their home market make gains in third markets. For Canada’s export-oriented auto sector, total sales rise by </w:t>
      </w:r>
      <w:r w:rsidR="00AC7CA3">
        <w:rPr>
          <w:lang w:eastAsia="zh-CN"/>
        </w:rPr>
        <w:t>$</w:t>
      </w:r>
      <w:r>
        <w:rPr>
          <w:lang w:eastAsia="zh-CN"/>
        </w:rPr>
        <w:t xml:space="preserve">173 million as exports to third parties (mainly the United States) more than offset some loss of domestic market share. For textiles and apparel producers, </w:t>
      </w:r>
      <w:r w:rsidR="00AC7CA3">
        <w:rPr>
          <w:lang w:eastAsia="zh-CN"/>
        </w:rPr>
        <w:t>the increased imports from partner countries</w:t>
      </w:r>
      <w:r>
        <w:rPr>
          <w:lang w:eastAsia="zh-CN"/>
        </w:rPr>
        <w:t xml:space="preserve"> result in only modest loss of domestic sales of about </w:t>
      </w:r>
      <w:r w:rsidR="00AC7CA3">
        <w:rPr>
          <w:lang w:eastAsia="zh-CN"/>
        </w:rPr>
        <w:t>$</w:t>
      </w:r>
      <w:r>
        <w:rPr>
          <w:lang w:eastAsia="zh-CN"/>
        </w:rPr>
        <w:t>141 million. Dairy is the sector most aff</w:t>
      </w:r>
      <w:r w:rsidR="00AC7CA3">
        <w:rPr>
          <w:lang w:eastAsia="zh-CN"/>
        </w:rPr>
        <w:t>ected by the increased</w:t>
      </w:r>
      <w:r>
        <w:rPr>
          <w:lang w:eastAsia="zh-CN"/>
        </w:rPr>
        <w:t xml:space="preserve"> imports as total sales fall by </w:t>
      </w:r>
      <w:r w:rsidR="00AC7CA3">
        <w:rPr>
          <w:lang w:eastAsia="zh-CN"/>
        </w:rPr>
        <w:t>$</w:t>
      </w:r>
      <w:r>
        <w:rPr>
          <w:lang w:eastAsia="zh-CN"/>
        </w:rPr>
        <w:t>289 million. Oil seed production overall falls, but vegetable oil production expands.</w:t>
      </w:r>
      <w:r>
        <w:rPr>
          <w:lang w:val="en-GB" w:eastAsia="en-CA"/>
        </w:rPr>
        <w:br w:type="page"/>
      </w:r>
    </w:p>
    <w:p w:rsidR="004C5696" w:rsidRDefault="004C5696" w:rsidP="004C5696">
      <w:pPr>
        <w:rPr>
          <w:lang w:val="en-GB" w:eastAsia="en-CA"/>
        </w:rPr>
        <w:sectPr w:rsidR="004C5696" w:rsidSect="004C5696">
          <w:footerReference w:type="default" r:id="rId9"/>
          <w:footerReference w:type="first" r:id="rId10"/>
          <w:pgSz w:w="12242" w:h="15842"/>
          <w:pgMar w:top="1440" w:right="1440" w:bottom="1440" w:left="1440" w:header="720" w:footer="720" w:gutter="0"/>
          <w:pgNumType w:start="0"/>
          <w:cols w:space="720"/>
          <w:titlePg/>
          <w:docGrid w:linePitch="360"/>
        </w:sectPr>
      </w:pPr>
    </w:p>
    <w:p w:rsidR="004C5696" w:rsidRDefault="00AC7CA3" w:rsidP="004C5696">
      <w:pPr>
        <w:pStyle w:val="Caption"/>
        <w:rPr>
          <w:lang w:val="en-GB"/>
        </w:rPr>
      </w:pPr>
      <w:r>
        <w:rPr>
          <w:lang w:val="en-GB"/>
        </w:rPr>
        <w:lastRenderedPageBreak/>
        <w:t>Table 7</w:t>
      </w:r>
      <w:r w:rsidR="004C5696">
        <w:rPr>
          <w:lang w:val="en-GB"/>
        </w:rPr>
        <w:t xml:space="preserve">: Canadian Sectoral Impacts of </w:t>
      </w:r>
      <w:r>
        <w:rPr>
          <w:lang w:val="en-GB"/>
        </w:rPr>
        <w:t>the Agreement</w:t>
      </w:r>
    </w:p>
    <w:tbl>
      <w:tblPr>
        <w:tblW w:w="5225" w:type="pct"/>
        <w:tblLook w:val="04A0" w:firstRow="1" w:lastRow="0" w:firstColumn="1" w:lastColumn="0" w:noHBand="0" w:noVBand="1"/>
      </w:tblPr>
      <w:tblGrid>
        <w:gridCol w:w="2231"/>
        <w:gridCol w:w="756"/>
        <w:gridCol w:w="757"/>
        <w:gridCol w:w="790"/>
        <w:gridCol w:w="791"/>
        <w:gridCol w:w="849"/>
        <w:gridCol w:w="849"/>
        <w:gridCol w:w="761"/>
        <w:gridCol w:w="761"/>
        <w:gridCol w:w="761"/>
        <w:gridCol w:w="761"/>
        <w:gridCol w:w="847"/>
        <w:gridCol w:w="847"/>
        <w:gridCol w:w="623"/>
        <w:gridCol w:w="758"/>
        <w:gridCol w:w="629"/>
      </w:tblGrid>
      <w:tr w:rsidR="004C5696" w:rsidRPr="00F43EA6" w:rsidTr="004C5696">
        <w:trPr>
          <w:trHeight w:val="560"/>
        </w:trPr>
        <w:tc>
          <w:tcPr>
            <w:tcW w:w="783" w:type="pct"/>
            <w:hideMark/>
          </w:tcPr>
          <w:p w:rsidR="004C5696" w:rsidRPr="00F43EA6" w:rsidRDefault="004C5696" w:rsidP="004C5696">
            <w:pPr>
              <w:jc w:val="right"/>
              <w:rPr>
                <w:rFonts w:eastAsia="Times New Roman" w:cs="Times New Roman"/>
                <w:b/>
                <w:bCs/>
                <w:color w:val="C00000"/>
                <w:sz w:val="14"/>
                <w:szCs w:val="14"/>
                <w:lang w:eastAsia="en-CA"/>
              </w:rPr>
            </w:pPr>
          </w:p>
        </w:tc>
        <w:tc>
          <w:tcPr>
            <w:tcW w:w="277" w:type="pct"/>
            <w:hideMark/>
          </w:tcPr>
          <w:p w:rsidR="004C5696" w:rsidRPr="00F43EA6" w:rsidRDefault="00AC7CA3" w:rsidP="004C5696">
            <w:pPr>
              <w:jc w:val="right"/>
              <w:rPr>
                <w:rFonts w:eastAsia="Times New Roman" w:cs="Times New Roman"/>
                <w:b/>
                <w:color w:val="000000"/>
                <w:sz w:val="14"/>
                <w:szCs w:val="14"/>
                <w:lang w:eastAsia="en-CA"/>
              </w:rPr>
            </w:pPr>
            <w:r>
              <w:rPr>
                <w:rFonts w:eastAsia="Times New Roman" w:cs="Times New Roman"/>
                <w:b/>
                <w:color w:val="000000"/>
                <w:sz w:val="14"/>
                <w:szCs w:val="14"/>
                <w:lang w:eastAsia="en-CA"/>
              </w:rPr>
              <w:t xml:space="preserve"> Exports ($</w:t>
            </w:r>
            <w:r w:rsidR="004C5696" w:rsidRPr="00F43EA6">
              <w:rPr>
                <w:rFonts w:eastAsia="Times New Roman" w:cs="Times New Roman"/>
                <w:b/>
                <w:color w:val="000000"/>
                <w:sz w:val="14"/>
                <w:szCs w:val="14"/>
                <w:lang w:eastAsia="en-CA"/>
              </w:rPr>
              <w:t xml:space="preserve"> millions)</w:t>
            </w:r>
          </w:p>
        </w:tc>
        <w:tc>
          <w:tcPr>
            <w:tcW w:w="277" w:type="pct"/>
            <w:hideMark/>
          </w:tcPr>
          <w:p w:rsidR="004C5696" w:rsidRPr="00F43EA6" w:rsidRDefault="00AC7CA3" w:rsidP="004C5696">
            <w:pPr>
              <w:jc w:val="right"/>
              <w:rPr>
                <w:rFonts w:eastAsia="Times New Roman" w:cs="Times New Roman"/>
                <w:b/>
                <w:color w:val="000000"/>
                <w:sz w:val="14"/>
                <w:szCs w:val="14"/>
                <w:lang w:eastAsia="en-CA"/>
              </w:rPr>
            </w:pPr>
            <w:r>
              <w:rPr>
                <w:rFonts w:eastAsia="Times New Roman" w:cs="Times New Roman"/>
                <w:b/>
                <w:color w:val="000000"/>
                <w:sz w:val="14"/>
                <w:szCs w:val="14"/>
                <w:lang w:eastAsia="en-CA"/>
              </w:rPr>
              <w:t xml:space="preserve"> Imports ($</w:t>
            </w:r>
            <w:r w:rsidR="004C5696" w:rsidRPr="00F43EA6">
              <w:rPr>
                <w:rFonts w:eastAsia="Times New Roman" w:cs="Times New Roman"/>
                <w:b/>
                <w:color w:val="000000"/>
                <w:sz w:val="14"/>
                <w:szCs w:val="14"/>
                <w:lang w:eastAsia="en-CA"/>
              </w:rPr>
              <w:t xml:space="preserve"> millions)</w:t>
            </w:r>
          </w:p>
        </w:tc>
        <w:tc>
          <w:tcPr>
            <w:tcW w:w="289" w:type="pct"/>
            <w:hideMark/>
          </w:tcPr>
          <w:p w:rsidR="004C5696" w:rsidRPr="00F43EA6" w:rsidRDefault="00AC7CA3" w:rsidP="004C5696">
            <w:pPr>
              <w:jc w:val="right"/>
              <w:rPr>
                <w:rFonts w:eastAsia="Times New Roman" w:cs="Times New Roman"/>
                <w:b/>
                <w:color w:val="000000"/>
                <w:sz w:val="14"/>
                <w:szCs w:val="14"/>
                <w:lang w:eastAsia="en-CA"/>
              </w:rPr>
            </w:pPr>
            <w:r>
              <w:rPr>
                <w:rFonts w:eastAsia="Times New Roman" w:cs="Times New Roman"/>
                <w:b/>
                <w:color w:val="000000"/>
                <w:sz w:val="14"/>
                <w:szCs w:val="14"/>
                <w:lang w:eastAsia="en-CA"/>
              </w:rPr>
              <w:t>Total Exports ($</w:t>
            </w:r>
            <w:r w:rsidR="004C5696" w:rsidRPr="00F43EA6">
              <w:rPr>
                <w:rFonts w:eastAsia="Times New Roman" w:cs="Times New Roman"/>
                <w:b/>
                <w:color w:val="000000"/>
                <w:sz w:val="14"/>
                <w:szCs w:val="14"/>
                <w:lang w:eastAsia="en-CA"/>
              </w:rPr>
              <w:t xml:space="preserve"> millions)</w:t>
            </w:r>
          </w:p>
        </w:tc>
        <w:tc>
          <w:tcPr>
            <w:tcW w:w="289" w:type="pct"/>
            <w:hideMark/>
          </w:tcPr>
          <w:p w:rsidR="004C5696" w:rsidRPr="00F43EA6" w:rsidRDefault="00AC7CA3" w:rsidP="004C5696">
            <w:pPr>
              <w:jc w:val="right"/>
              <w:rPr>
                <w:rFonts w:eastAsia="Times New Roman" w:cs="Times New Roman"/>
                <w:b/>
                <w:color w:val="000000"/>
                <w:sz w:val="14"/>
                <w:szCs w:val="14"/>
                <w:lang w:eastAsia="en-CA"/>
              </w:rPr>
            </w:pPr>
            <w:r>
              <w:rPr>
                <w:rFonts w:eastAsia="Times New Roman" w:cs="Times New Roman"/>
                <w:b/>
                <w:color w:val="000000"/>
                <w:sz w:val="14"/>
                <w:szCs w:val="14"/>
                <w:lang w:eastAsia="en-CA"/>
              </w:rPr>
              <w:t>Total Imports ($</w:t>
            </w:r>
            <w:r w:rsidR="004C5696" w:rsidRPr="00F43EA6">
              <w:rPr>
                <w:rFonts w:eastAsia="Times New Roman" w:cs="Times New Roman"/>
                <w:b/>
                <w:color w:val="000000"/>
                <w:sz w:val="14"/>
                <w:szCs w:val="14"/>
                <w:lang w:eastAsia="en-CA"/>
              </w:rPr>
              <w:t xml:space="preserve"> millions)</w:t>
            </w:r>
          </w:p>
        </w:tc>
        <w:tc>
          <w:tcPr>
            <w:tcW w:w="310" w:type="pct"/>
            <w:hideMark/>
          </w:tcPr>
          <w:p w:rsidR="004C5696" w:rsidRPr="00F43EA6" w:rsidRDefault="00AC7CA3" w:rsidP="004C5696">
            <w:pPr>
              <w:jc w:val="right"/>
              <w:rPr>
                <w:rFonts w:eastAsia="Times New Roman" w:cs="Times New Roman"/>
                <w:b/>
                <w:color w:val="000000"/>
                <w:sz w:val="14"/>
                <w:szCs w:val="14"/>
                <w:lang w:eastAsia="en-CA"/>
              </w:rPr>
            </w:pPr>
            <w:r>
              <w:rPr>
                <w:rFonts w:eastAsia="Times New Roman" w:cs="Times New Roman"/>
                <w:b/>
                <w:color w:val="000000"/>
                <w:sz w:val="14"/>
                <w:szCs w:val="14"/>
                <w:lang w:eastAsia="en-CA"/>
              </w:rPr>
              <w:t>Domestic Shipments ($</w:t>
            </w:r>
            <w:r w:rsidR="004C5696" w:rsidRPr="00F43EA6">
              <w:rPr>
                <w:rFonts w:eastAsia="Times New Roman" w:cs="Times New Roman"/>
                <w:b/>
                <w:color w:val="000000"/>
                <w:sz w:val="14"/>
                <w:szCs w:val="14"/>
                <w:lang w:eastAsia="en-CA"/>
              </w:rPr>
              <w:t xml:space="preserve"> millions)</w:t>
            </w:r>
          </w:p>
        </w:tc>
        <w:tc>
          <w:tcPr>
            <w:tcW w:w="310" w:type="pct"/>
            <w:hideMark/>
          </w:tcPr>
          <w:p w:rsidR="004C5696" w:rsidRPr="00F43EA6" w:rsidRDefault="00AC7CA3" w:rsidP="004C5696">
            <w:pPr>
              <w:jc w:val="right"/>
              <w:rPr>
                <w:rFonts w:eastAsia="Times New Roman" w:cs="Times New Roman"/>
                <w:b/>
                <w:color w:val="000000"/>
                <w:sz w:val="14"/>
                <w:szCs w:val="14"/>
                <w:lang w:eastAsia="en-CA"/>
              </w:rPr>
            </w:pPr>
            <w:r>
              <w:rPr>
                <w:rFonts w:eastAsia="Times New Roman" w:cs="Times New Roman"/>
                <w:b/>
                <w:color w:val="000000"/>
                <w:sz w:val="14"/>
                <w:szCs w:val="14"/>
                <w:lang w:eastAsia="en-CA"/>
              </w:rPr>
              <w:t>Total Shipments ($</w:t>
            </w:r>
            <w:r w:rsidR="004C5696" w:rsidRPr="00F43EA6">
              <w:rPr>
                <w:rFonts w:eastAsia="Times New Roman" w:cs="Times New Roman"/>
                <w:b/>
                <w:color w:val="000000"/>
                <w:sz w:val="14"/>
                <w:szCs w:val="14"/>
                <w:lang w:eastAsia="en-CA"/>
              </w:rPr>
              <w:t xml:space="preserve"> millions)</w:t>
            </w:r>
          </w:p>
        </w:tc>
        <w:tc>
          <w:tcPr>
            <w:tcW w:w="277" w:type="pct"/>
            <w:hideMark/>
          </w:tcPr>
          <w:p w:rsidR="004C5696" w:rsidRPr="00F43EA6" w:rsidRDefault="004C5696" w:rsidP="004C5696">
            <w:pPr>
              <w:jc w:val="righ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 xml:space="preserve"> Exports (percent)</w:t>
            </w:r>
          </w:p>
        </w:tc>
        <w:tc>
          <w:tcPr>
            <w:tcW w:w="277" w:type="pct"/>
            <w:hideMark/>
          </w:tcPr>
          <w:p w:rsidR="004C5696" w:rsidRPr="00F43EA6" w:rsidRDefault="004C5696" w:rsidP="004C5696">
            <w:pPr>
              <w:jc w:val="righ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 xml:space="preserve"> Imports (percent)</w:t>
            </w:r>
          </w:p>
        </w:tc>
        <w:tc>
          <w:tcPr>
            <w:tcW w:w="277" w:type="pct"/>
            <w:hideMark/>
          </w:tcPr>
          <w:p w:rsidR="004C5696" w:rsidRPr="00F43EA6" w:rsidRDefault="004C5696" w:rsidP="004C5696">
            <w:pPr>
              <w:jc w:val="righ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Total Exports (percent)</w:t>
            </w:r>
          </w:p>
        </w:tc>
        <w:tc>
          <w:tcPr>
            <w:tcW w:w="277" w:type="pct"/>
            <w:hideMark/>
          </w:tcPr>
          <w:p w:rsidR="004C5696" w:rsidRPr="00F43EA6" w:rsidRDefault="004C5696" w:rsidP="004C5696">
            <w:pPr>
              <w:jc w:val="righ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Total Imports (percent)</w:t>
            </w:r>
          </w:p>
        </w:tc>
        <w:tc>
          <w:tcPr>
            <w:tcW w:w="310" w:type="pct"/>
            <w:hideMark/>
          </w:tcPr>
          <w:p w:rsidR="004C5696" w:rsidRPr="00F43EA6" w:rsidRDefault="004C5696" w:rsidP="004C5696">
            <w:pPr>
              <w:jc w:val="righ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Domestic Shipments (percent)</w:t>
            </w:r>
          </w:p>
        </w:tc>
        <w:tc>
          <w:tcPr>
            <w:tcW w:w="310" w:type="pct"/>
            <w:hideMark/>
          </w:tcPr>
          <w:p w:rsidR="004C5696" w:rsidRPr="00F43EA6" w:rsidRDefault="004C5696" w:rsidP="004C5696">
            <w:pPr>
              <w:jc w:val="righ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Total Shipments (percent)</w:t>
            </w:r>
          </w:p>
        </w:tc>
        <w:tc>
          <w:tcPr>
            <w:tcW w:w="231" w:type="pct"/>
            <w:hideMark/>
          </w:tcPr>
          <w:p w:rsidR="004C5696" w:rsidRPr="00F43EA6" w:rsidRDefault="004C5696" w:rsidP="004C5696">
            <w:pPr>
              <w:jc w:val="righ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Jobs (Male)</w:t>
            </w:r>
          </w:p>
        </w:tc>
        <w:tc>
          <w:tcPr>
            <w:tcW w:w="277" w:type="pct"/>
            <w:hideMark/>
          </w:tcPr>
          <w:p w:rsidR="004C5696" w:rsidRPr="00F43EA6" w:rsidRDefault="004C5696" w:rsidP="004C5696">
            <w:pPr>
              <w:jc w:val="righ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Jobs (Female)</w:t>
            </w:r>
          </w:p>
        </w:tc>
        <w:tc>
          <w:tcPr>
            <w:tcW w:w="229" w:type="pct"/>
            <w:hideMark/>
          </w:tcPr>
          <w:p w:rsidR="004C5696" w:rsidRPr="00F43EA6" w:rsidRDefault="004C5696" w:rsidP="004C5696">
            <w:pPr>
              <w:jc w:val="righ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Jobs (Total)</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Grains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33.17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0.46</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24.47</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4.55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-4.03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20.44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0.54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0.08</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30</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Fruit &amp; Vegetables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43.96</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24.58</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26.35</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36.42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13.63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39.99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14.91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0.53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0.37</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59</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167</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Oil Seeds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-5.43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0.19</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-11.57</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2.77</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19.01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7.44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0.30</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0.39</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0.04</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Other Agriculture</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3.53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43.22</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14.68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140.98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184.20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0.53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0.98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0.82</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335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188</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523</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Vegetable Oil</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43.90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33.10</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48.53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18.18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5.11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53.64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12.03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7.75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0.80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0.72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0.50</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36</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32</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68</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Dairy</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-5.27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28.39</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2.65</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599.72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-755.68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-753.04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-10.64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24.32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0.51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58.79</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-2.32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-2.28</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-1,153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-662</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-1,815</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Beef</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65.47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-0.66</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73.46</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13.36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137.38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210.85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12.62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2.57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0.59</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0.64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0.87</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349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218</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567</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Pork &amp; Poultry</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441.33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-0.39</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396.73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25.30</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59.58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456.31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16.64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-0.60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5.77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0.49</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2.24</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795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489</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1,285</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Sugar</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37.27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2.03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112.28</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12.27</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23.00</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135.28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49.44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1.85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19.21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0.93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0.40</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2.13</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269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307</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576</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Other Food Products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78.46</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85.88</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184.34</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79.06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36.35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220.69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5.23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4.17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0.90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0.29</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0.34</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387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353</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740</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Beverages &amp; Tobacco</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17.04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11.38</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12.47</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15.66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21.44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33.90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11.26</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0.71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0.19</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0.16</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28</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86</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Fishing</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8.73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0.68</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10.06</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7.95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15.54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25.59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6.79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0.80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0.64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0.64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0.50</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49</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Forestry &amp; Wood Products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215.09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19.72</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16.33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61.61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100.46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116.79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6.55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3.30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0.27</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0.10</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0.07</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-15</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Mining &amp; Mineral Products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21.23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9.07</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-23.17</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-26.13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-53.42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-76.59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0.82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0.53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-0.08</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-263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-43</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-306</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Mineral Fuels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9.18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7.38</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71.33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78.86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261.85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333.17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0.09</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16</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44</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Chemicals, Rubber &amp; Plastics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99.07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603.43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-181.26</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47.14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-258.58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-439.85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1.57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12.95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-0.29</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-714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-339</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-1,054</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Textiles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11.28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126.89</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0.55</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37.35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-19.96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-19.41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4.29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32.21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-0.29</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-48</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Apparel</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0.69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640.53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-7.29</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310.28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-15.21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-22.50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32.81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-0.66</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1.56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-0.54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-0.58</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-174</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-245</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Leather</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13.42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748.42</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9.23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164.35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-13.20</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-3.97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52.18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88.22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3.45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-3.55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-0.62</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-16</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-22</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-38</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Iron and Steel</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18.61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-12.63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-14.45</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-79.04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-101.19</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-115.64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-0.98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-0.31</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-263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-35</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-298</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Non-ferrous Metals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57.75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-13.77</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-172.46</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-93.54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-59.81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-232.27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3.75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-0.30</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-0.33</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-17</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-135</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lastRenderedPageBreak/>
              <w:t>Metal Products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14.42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167.63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-50.09</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39.78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-160.55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-210.65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0.91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14.48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0.17</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-0.36</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-914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-176</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-1,090</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Motor Vehicles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-239.13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2,093.83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-2,756.10</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-1,219.86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-899.71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-3,655.81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-5.07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8.16</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-2.48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-0.86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-2.19</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-2.40</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-5,138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-1,700</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-6,837</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Other Transportation Equipment</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57.19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24.29</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25.98</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26.38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-1.86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24.12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3.49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0.10</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0.05</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95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36</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131</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Electrical Equipment</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54.04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21.51</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-8.53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15.47</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-12.57</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-21.10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2.21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-0.08</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-31</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-135</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Machinery &amp; Equipment</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155.18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112.20</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-113.32</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94.03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-50.78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-164.10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4.02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0.69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0.07</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-0.19</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-242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-53</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-296</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Other Manufacturing</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-6.07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404.04</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-15.84</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139.41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-44.21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-60.05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-0.87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11.42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-0.23</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-669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-222</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-891</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Utilities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-0.06</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0.72</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-13.73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5.06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38.70</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24.98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0.03</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-59</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Construction</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1.61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-2.06</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0.57</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799.32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798.30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1.59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-0.82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0.07</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0.16</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2,807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476</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3,283</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Trade</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11.23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-4.88</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-10.68</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24.38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688.16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677.48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1.06</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-0.64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-0.12</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0.12</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2,741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3,339</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6,079</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Transportation</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132.11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38.03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451.41</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98.13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70.12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521.53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3.95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2.05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1.94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0.28</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2,270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881</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3,151</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Communications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3.87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-1.27</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-2.08</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5.92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190.02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187.94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0.78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0.09</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0.14</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145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160</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306</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Financial Services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-1.38</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-14.57</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35.56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332.88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318.31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0.22</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0.12</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166</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324</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490</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Insurance</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-0.43</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0.19</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-30.88</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23.80</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89.47</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58.59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0.06</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0.08</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77</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83</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Business Services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300.55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-1.85</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2,229.10</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190.76</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930.50</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3,159.60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4.00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5.17</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0.17</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0.53</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7,111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5,968</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13,080</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Recreation</w:t>
            </w:r>
            <w:r>
              <w:rPr>
                <w:rFonts w:eastAsia="Times New Roman" w:cs="Times New Roman"/>
                <w:b/>
                <w:color w:val="000000"/>
                <w:sz w:val="14"/>
                <w:szCs w:val="14"/>
                <w:lang w:eastAsia="en-CA"/>
              </w:rPr>
              <w:t>al Services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7.09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-2.27</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-22.94</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26.31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112.25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89.31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0.48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0.19</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0.14</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0.10</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601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634</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1,236</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Other Services</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14.29</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-1.33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207.43</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36.43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1,780.21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1,987.64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2.14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-0.34</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1.88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0.25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0.15</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0.17</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3,481</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7,130</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10,611</w:t>
            </w:r>
          </w:p>
        </w:tc>
      </w:tr>
      <w:tr w:rsidR="004C5696" w:rsidRPr="00F43EA6" w:rsidTr="004C5696">
        <w:trPr>
          <w:trHeight w:val="161"/>
        </w:trPr>
        <w:tc>
          <w:tcPr>
            <w:tcW w:w="783" w:type="pct"/>
            <w:noWrap/>
            <w:hideMark/>
          </w:tcPr>
          <w:p w:rsidR="004C5696" w:rsidRPr="00F43EA6" w:rsidRDefault="004C5696" w:rsidP="004C5696">
            <w:pPr>
              <w:jc w:val="left"/>
              <w:rPr>
                <w:rFonts w:eastAsia="Times New Roman" w:cs="Times New Roman"/>
                <w:b/>
                <w:color w:val="000000"/>
                <w:sz w:val="14"/>
                <w:szCs w:val="14"/>
                <w:lang w:eastAsia="en-CA"/>
              </w:rPr>
            </w:pPr>
            <w:r w:rsidRPr="00F43EA6">
              <w:rPr>
                <w:rFonts w:eastAsia="Times New Roman" w:cs="Times New Roman"/>
                <w:b/>
                <w:color w:val="000000"/>
                <w:sz w:val="14"/>
                <w:szCs w:val="14"/>
                <w:lang w:eastAsia="en-CA"/>
              </w:rPr>
              <w:t>Total</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1,712.50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5,165.61</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495.92</w:t>
            </w:r>
          </w:p>
        </w:tc>
        <w:tc>
          <w:tcPr>
            <w:tcW w:w="28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872.93</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3,415.18</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3,911.10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4.28</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5.86</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0.10</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0.11</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0.09</w:t>
            </w:r>
          </w:p>
        </w:tc>
        <w:tc>
          <w:tcPr>
            <w:tcW w:w="310"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0.09</w:t>
            </w:r>
          </w:p>
        </w:tc>
        <w:tc>
          <w:tcPr>
            <w:tcW w:w="231"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12,125</w:t>
            </w:r>
          </w:p>
        </w:tc>
        <w:tc>
          <w:tcPr>
            <w:tcW w:w="277"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17,201</w:t>
            </w:r>
          </w:p>
        </w:tc>
        <w:tc>
          <w:tcPr>
            <w:tcW w:w="229" w:type="pct"/>
            <w:noWrap/>
            <w:hideMark/>
          </w:tcPr>
          <w:p w:rsidR="004C5696" w:rsidRPr="00F43EA6" w:rsidRDefault="004C5696" w:rsidP="004C5696">
            <w:pPr>
              <w:jc w:val="right"/>
              <w:rPr>
                <w:rFonts w:eastAsia="Times New Roman" w:cs="Times New Roman"/>
                <w:color w:val="000000"/>
                <w:sz w:val="14"/>
                <w:szCs w:val="14"/>
                <w:lang w:eastAsia="en-CA"/>
              </w:rPr>
            </w:pPr>
            <w:r w:rsidRPr="00F43EA6">
              <w:rPr>
                <w:rFonts w:eastAsia="Times New Roman" w:cs="Times New Roman"/>
                <w:color w:val="000000"/>
                <w:sz w:val="14"/>
                <w:szCs w:val="14"/>
                <w:lang w:eastAsia="en-CA"/>
              </w:rPr>
              <w:t>29,326</w:t>
            </w:r>
          </w:p>
        </w:tc>
      </w:tr>
    </w:tbl>
    <w:p w:rsidR="004C5696" w:rsidRDefault="004C5696" w:rsidP="004C5696">
      <w:pPr>
        <w:rPr>
          <w:sz w:val="20"/>
          <w:szCs w:val="20"/>
          <w:lang w:val="en-GB" w:eastAsia="en-CA"/>
        </w:rPr>
      </w:pPr>
      <w:r w:rsidRPr="007100EF">
        <w:rPr>
          <w:sz w:val="20"/>
          <w:szCs w:val="20"/>
          <w:lang w:val="en-GB" w:eastAsia="en-CA"/>
        </w:rPr>
        <w:t>Source: Simulations by Global Affairs Canada, Office of the Chief Economist</w:t>
      </w:r>
    </w:p>
    <w:p w:rsidR="004C5696" w:rsidRDefault="004C5696" w:rsidP="004C5696">
      <w:pPr>
        <w:spacing w:after="160" w:line="259" w:lineRule="auto"/>
        <w:jc w:val="left"/>
        <w:rPr>
          <w:sz w:val="20"/>
          <w:szCs w:val="20"/>
          <w:lang w:val="en-GB" w:eastAsia="en-CA"/>
        </w:rPr>
      </w:pPr>
      <w:r>
        <w:rPr>
          <w:sz w:val="20"/>
          <w:szCs w:val="20"/>
          <w:lang w:val="en-GB" w:eastAsia="en-CA"/>
        </w:rPr>
        <w:br w:type="page"/>
      </w:r>
    </w:p>
    <w:p w:rsidR="004C5696" w:rsidRDefault="004C5696" w:rsidP="004C5696">
      <w:pPr>
        <w:rPr>
          <w:sz w:val="20"/>
          <w:szCs w:val="20"/>
          <w:lang w:val="en-GB" w:eastAsia="en-CA"/>
        </w:rPr>
        <w:sectPr w:rsidR="004C5696" w:rsidSect="004C5696">
          <w:pgSz w:w="15842" w:h="12242" w:orient="landscape"/>
          <w:pgMar w:top="1440" w:right="1440" w:bottom="1440" w:left="1440" w:header="720" w:footer="720" w:gutter="0"/>
          <w:cols w:space="720"/>
          <w:titlePg/>
          <w:docGrid w:linePitch="360"/>
        </w:sectPr>
      </w:pPr>
    </w:p>
    <w:p w:rsidR="004C5696" w:rsidRDefault="004C5696" w:rsidP="004C5696">
      <w:pPr>
        <w:pStyle w:val="Heading1"/>
      </w:pPr>
      <w:bookmarkStart w:id="8" w:name="_Toc5307877"/>
      <w:r>
        <w:lastRenderedPageBreak/>
        <w:t>Implications for the Progressive Trade Agenda</w:t>
      </w:r>
      <w:bookmarkEnd w:id="8"/>
    </w:p>
    <w:p w:rsidR="004C5696" w:rsidRDefault="004C5696" w:rsidP="004C5696">
      <w:pPr>
        <w:pStyle w:val="Heading2"/>
      </w:pPr>
      <w:bookmarkStart w:id="9" w:name="_Toc5307878"/>
      <w:bookmarkStart w:id="10" w:name="_Toc3925311"/>
      <w:r>
        <w:t>Overall Economic Impacts on Households and the PTA</w:t>
      </w:r>
      <w:bookmarkEnd w:id="9"/>
    </w:p>
    <w:p w:rsidR="00292C98" w:rsidRDefault="00292C98" w:rsidP="004C5696">
      <w:pPr>
        <w:rPr>
          <w:lang w:val="en-GB" w:eastAsia="en-CA"/>
        </w:rPr>
      </w:pPr>
    </w:p>
    <w:p w:rsidR="004C5696" w:rsidRDefault="00292C98" w:rsidP="004C5696">
      <w:pPr>
        <w:rPr>
          <w:lang w:val="en-GB" w:eastAsia="en-CA"/>
        </w:rPr>
      </w:pPr>
      <w:r>
        <w:rPr>
          <w:lang w:val="en-GB" w:eastAsia="en-CA"/>
        </w:rPr>
        <w:t>The impact of the Agreement</w:t>
      </w:r>
      <w:r w:rsidR="004C5696">
        <w:rPr>
          <w:lang w:val="en-GB" w:eastAsia="en-CA"/>
        </w:rPr>
        <w:t xml:space="preserve"> at the macroeconomic level is generally positive from the perspective of the PTA; however, the preferential nature of the agreement inevitably results in trade diversion, which can have a negative impact on excluded parties, and some adjustment costs will not be evenly shared.</w:t>
      </w:r>
    </w:p>
    <w:p w:rsidR="004C5696" w:rsidRDefault="004C5696" w:rsidP="004C5696">
      <w:pPr>
        <w:rPr>
          <w:lang w:val="en-GB" w:eastAsia="en-CA"/>
        </w:rPr>
      </w:pPr>
      <w:r>
        <w:rPr>
          <w:lang w:val="en-GB" w:eastAsia="en-CA"/>
        </w:rPr>
        <w:t>For Canada, t</w:t>
      </w:r>
      <w:r w:rsidR="005F3629">
        <w:rPr>
          <w:lang w:val="en-GB" w:eastAsia="en-CA"/>
        </w:rPr>
        <w:t>he expansio</w:t>
      </w:r>
      <w:bookmarkStart w:id="11" w:name="_GoBack"/>
      <w:bookmarkEnd w:id="11"/>
      <w:r w:rsidR="005F3629">
        <w:rPr>
          <w:lang w:val="en-GB" w:eastAsia="en-CA"/>
        </w:rPr>
        <w:t>n of trade with FTA</w:t>
      </w:r>
      <w:r>
        <w:rPr>
          <w:lang w:val="en-GB" w:eastAsia="en-CA"/>
        </w:rPr>
        <w:t xml:space="preserve"> parties drives economic welfare gains, increased real wages, and supports higher levels of consumption. </w:t>
      </w:r>
      <w:r w:rsidRPr="00E24C05">
        <w:rPr>
          <w:b/>
          <w:lang w:val="en-GB" w:eastAsia="en-CA"/>
        </w:rPr>
        <w:t xml:space="preserve">The increase in jobs </w:t>
      </w:r>
      <w:r>
        <w:rPr>
          <w:b/>
          <w:lang w:val="en-GB" w:eastAsia="en-CA"/>
        </w:rPr>
        <w:t xml:space="preserve">and higher real wages </w:t>
      </w:r>
      <w:r w:rsidRPr="00E24C05">
        <w:rPr>
          <w:b/>
          <w:lang w:val="en-GB" w:eastAsia="en-CA"/>
        </w:rPr>
        <w:t>supports a broader sharing of the benefits of the agreement across Canadian society</w:t>
      </w:r>
      <w:r>
        <w:rPr>
          <w:lang w:val="en-GB" w:eastAsia="en-CA"/>
        </w:rPr>
        <w:t xml:space="preserve">.  </w:t>
      </w:r>
    </w:p>
    <w:p w:rsidR="004C5696" w:rsidRDefault="004C5696" w:rsidP="004C5696">
      <w:pPr>
        <w:rPr>
          <w:lang w:val="en-GB" w:eastAsia="en-CA"/>
        </w:rPr>
      </w:pPr>
      <w:r>
        <w:rPr>
          <w:lang w:val="en-GB" w:eastAsia="en-CA"/>
        </w:rPr>
        <w:t xml:space="preserve">While the sectoral impacts are uneven, the relatively modest scale of the impacts on production means that these </w:t>
      </w:r>
      <w:r w:rsidRPr="00244793">
        <w:rPr>
          <w:b/>
          <w:lang w:val="en-GB" w:eastAsia="en-CA"/>
        </w:rPr>
        <w:t>adjustment pressures should be modest</w:t>
      </w:r>
      <w:r>
        <w:rPr>
          <w:lang w:val="en-GB" w:eastAsia="en-CA"/>
        </w:rPr>
        <w:t xml:space="preserve">; in the context of a growing economy experiencing normal industrial and labour market turnover, they would be felt primarily as job creation emerging in different sectors than would otherwise have been the case, rather than through disruptive, concentrated plant closures and job losses. </w:t>
      </w:r>
    </w:p>
    <w:p w:rsidR="004C5696" w:rsidRDefault="004C5696" w:rsidP="004C5696">
      <w:pPr>
        <w:rPr>
          <w:lang w:val="en-GB" w:eastAsia="en-CA"/>
        </w:rPr>
      </w:pPr>
      <w:r>
        <w:rPr>
          <w:lang w:val="en-GB" w:eastAsia="en-CA"/>
        </w:rPr>
        <w:t xml:space="preserve">Three sectors are likely to require some attention, however: textiles and apparel, “other manufacturing”, and dairy. </w:t>
      </w:r>
    </w:p>
    <w:p w:rsidR="004C5696" w:rsidRDefault="004C5696" w:rsidP="004C5696">
      <w:pPr>
        <w:pStyle w:val="ListParagraph"/>
        <w:numPr>
          <w:ilvl w:val="0"/>
          <w:numId w:val="27"/>
        </w:numPr>
        <w:rPr>
          <w:lang w:val="en-GB" w:eastAsia="en-CA"/>
        </w:rPr>
      </w:pPr>
      <w:r>
        <w:rPr>
          <w:lang w:val="en-GB" w:eastAsia="en-CA"/>
        </w:rPr>
        <w:t>The textiles and apparel sector will experience pressure on jobs, with sector employing 1,188 fewer than otherwise would have been the case by 2035; most of the job impact (1,070) is projected for the apparel sub-sector.</w:t>
      </w:r>
    </w:p>
    <w:p w:rsidR="004C5696" w:rsidRDefault="004C5696" w:rsidP="004C5696">
      <w:pPr>
        <w:pStyle w:val="ListParagraph"/>
        <w:numPr>
          <w:ilvl w:val="0"/>
          <w:numId w:val="27"/>
        </w:numPr>
        <w:rPr>
          <w:lang w:val="en-GB" w:eastAsia="en-CA"/>
        </w:rPr>
      </w:pPr>
      <w:r>
        <w:rPr>
          <w:lang w:val="en-GB" w:eastAsia="en-CA"/>
        </w:rPr>
        <w:t>“Other manufacturing” comprises mostly light manufacturing. This sector would have some 725 few jobs in 2035 than otherwise would have been the case. This suggests manufacturing SMEs would be under greater competitive pressure, which in turn would warrant strengthening small business development programs as a counter-balance.</w:t>
      </w:r>
    </w:p>
    <w:p w:rsidR="004C5696" w:rsidRDefault="004C5696" w:rsidP="004C5696">
      <w:pPr>
        <w:pStyle w:val="ListParagraph"/>
        <w:numPr>
          <w:ilvl w:val="0"/>
          <w:numId w:val="27"/>
        </w:numPr>
        <w:rPr>
          <w:lang w:val="en-GB" w:eastAsia="en-CA"/>
        </w:rPr>
      </w:pPr>
      <w:r w:rsidRPr="001F3B13">
        <w:rPr>
          <w:lang w:val="en-GB" w:eastAsia="en-CA"/>
        </w:rPr>
        <w:t xml:space="preserve">Dairy shipments in </w:t>
      </w:r>
      <w:r>
        <w:rPr>
          <w:lang w:val="en-GB" w:eastAsia="en-CA"/>
        </w:rPr>
        <w:t>2035</w:t>
      </w:r>
      <w:r w:rsidRPr="001F3B13">
        <w:rPr>
          <w:lang w:val="en-GB" w:eastAsia="en-CA"/>
        </w:rPr>
        <w:t xml:space="preserve"> are projected to be </w:t>
      </w:r>
      <w:r w:rsidR="005F3629">
        <w:rPr>
          <w:lang w:val="en-GB" w:eastAsia="en-CA"/>
        </w:rPr>
        <w:t>$</w:t>
      </w:r>
      <w:r>
        <w:rPr>
          <w:lang w:val="en-GB" w:eastAsia="en-CA"/>
        </w:rPr>
        <w:t xml:space="preserve">289 </w:t>
      </w:r>
      <w:r w:rsidRPr="001F3B13">
        <w:rPr>
          <w:lang w:val="en-GB" w:eastAsia="en-CA"/>
        </w:rPr>
        <w:t>million</w:t>
      </w:r>
      <w:r w:rsidR="005F3629">
        <w:rPr>
          <w:lang w:val="en-GB" w:eastAsia="en-CA"/>
        </w:rPr>
        <w:t xml:space="preserve"> lower than without the Agreement</w:t>
      </w:r>
      <w:r>
        <w:rPr>
          <w:lang w:val="en-GB" w:eastAsia="en-CA"/>
        </w:rPr>
        <w:t>, resulting in about 712 fewer jobs.</w:t>
      </w:r>
      <w:r w:rsidRPr="001F3B13">
        <w:rPr>
          <w:lang w:val="en-GB" w:eastAsia="en-CA"/>
        </w:rPr>
        <w:t xml:space="preserve"> </w:t>
      </w:r>
      <w:r>
        <w:rPr>
          <w:lang w:val="en-GB" w:eastAsia="en-CA"/>
        </w:rPr>
        <w:t>T</w:t>
      </w:r>
      <w:r w:rsidRPr="001F3B13">
        <w:rPr>
          <w:lang w:val="en-GB" w:eastAsia="en-CA"/>
        </w:rPr>
        <w:t xml:space="preserve">he government has already announced a program to ease the impact on dairy farmers. </w:t>
      </w:r>
    </w:p>
    <w:p w:rsidR="004C5696" w:rsidRDefault="004C5696" w:rsidP="004C5696">
      <w:pPr>
        <w:rPr>
          <w:lang w:val="en-GB" w:eastAsia="en-CA"/>
        </w:rPr>
      </w:pPr>
      <w:r>
        <w:rPr>
          <w:lang w:val="en-GB" w:eastAsia="en-CA"/>
        </w:rPr>
        <w:t>The incre</w:t>
      </w:r>
      <w:r w:rsidR="005F3629">
        <w:rPr>
          <w:lang w:val="en-GB" w:eastAsia="en-CA"/>
        </w:rPr>
        <w:t>ase in Canada’s trade with FTA</w:t>
      </w:r>
      <w:r>
        <w:rPr>
          <w:lang w:val="en-GB" w:eastAsia="en-CA"/>
        </w:rPr>
        <w:t xml:space="preserve"> partners increases the diversification of Canada’s trade, which is an important objective of government policy, and helps increase the resilience of Canada’s economy to external shocks. This is a contribution to the sustainability of growth.</w:t>
      </w:r>
    </w:p>
    <w:p w:rsidR="004C5696" w:rsidRDefault="004C5696" w:rsidP="004C5696">
      <w:r>
        <w:rPr>
          <w:lang w:val="en-GB" w:eastAsia="en-CA"/>
        </w:rPr>
        <w:t xml:space="preserve">Given the PTA’s broader objective of a fairer sharing of the benefits of globalization, the likely negative impacts on affected developing countries should be taken into consideration. </w:t>
      </w:r>
      <w:r>
        <w:t xml:space="preserve">Negative spillovers include trade and investment diversion generated by new tariff preferences and the regionalized rules of origin which favour regional sourcing of production. These impacts could </w:t>
      </w:r>
      <w:r>
        <w:lastRenderedPageBreak/>
        <w:t>be compounded by spillover effects related to changes in market access conditions due to the emergence of new</w:t>
      </w:r>
      <w:r w:rsidRPr="00834C8E">
        <w:t xml:space="preserve"> substantive horizontal and sectoral stan</w:t>
      </w:r>
      <w:r>
        <w:t xml:space="preserve">dards, including private sector standards, arising from </w:t>
      </w:r>
      <w:r w:rsidR="005F3629">
        <w:t>the</w:t>
      </w:r>
      <w:r>
        <w:t xml:space="preserve"> efforts aimed at promoting regional value chains. The i</w:t>
      </w:r>
      <w:r w:rsidR="005F3629">
        <w:t>mproved competitiveness of FTA</w:t>
      </w:r>
      <w:r>
        <w:t xml:space="preserve"> parties from the increased scale of intra-bloc</w:t>
      </w:r>
      <w:r w:rsidR="005F3629">
        <w:t xml:space="preserve"> trade, coupled with the FTA</w:t>
      </w:r>
      <w:r>
        <w:t xml:space="preserve"> cooperation efforts aimed at supporting the upgrading of economic governance in the zone, will also tend to raise the bar for excluded parties w</w:t>
      </w:r>
      <w:r w:rsidR="005F3629">
        <w:t>ith trade interests in the trade</w:t>
      </w:r>
      <w:r>
        <w:t xml:space="preserve"> zone.  These negative impacts are likely to be felt to the greatest extent in the least developed Asia Pacific economies. Accordingly, the full realization of the PTA should include some attention to facilitating these economies’ efforts to keep pace through Canada’s international development assistance policies.</w:t>
      </w:r>
    </w:p>
    <w:p w:rsidR="004C5696" w:rsidRDefault="004C5696" w:rsidP="004C5696">
      <w:pPr>
        <w:pStyle w:val="Heading2"/>
      </w:pPr>
      <w:bookmarkStart w:id="12" w:name="_Toc5307879"/>
      <w:r>
        <w:t>Labour Market Impacts</w:t>
      </w:r>
      <w:bookmarkEnd w:id="10"/>
      <w:bookmarkEnd w:id="12"/>
    </w:p>
    <w:p w:rsidR="005F3629" w:rsidRPr="005F3629" w:rsidRDefault="005F3629" w:rsidP="005F3629">
      <w:pPr>
        <w:rPr>
          <w:lang w:val="en-GB" w:eastAsia="en-CA"/>
        </w:rPr>
      </w:pPr>
    </w:p>
    <w:p w:rsidR="004C5696" w:rsidRDefault="004C5696" w:rsidP="004C5696">
      <w:r>
        <w:t>Importantly for the asses</w:t>
      </w:r>
      <w:r w:rsidR="005F3629">
        <w:t>sment of the impact of the FTA</w:t>
      </w:r>
      <w:r>
        <w:t xml:space="preserve"> against the objec</w:t>
      </w:r>
      <w:r w:rsidR="005F3629">
        <w:t>tives of the PTA, the GTAP</w:t>
      </w:r>
      <w:r>
        <w:t>-LAB model sheds substantially more light on issues related to la</w:t>
      </w:r>
      <w:r w:rsidRPr="00CF5FD8">
        <w:t xml:space="preserve">bour, gender, </w:t>
      </w:r>
      <w:r>
        <w:t xml:space="preserve">and </w:t>
      </w:r>
      <w:r w:rsidRPr="00CF5FD8">
        <w:t>youth</w:t>
      </w:r>
      <w:r>
        <w:t xml:space="preserve"> than has been previously possible.</w:t>
      </w:r>
    </w:p>
    <w:p w:rsidR="004C5696" w:rsidRDefault="005F3629" w:rsidP="004C5696">
      <w:r>
        <w:t>First, the FTA</w:t>
      </w:r>
      <w:r w:rsidR="004C5696">
        <w:t xml:space="preserve"> promises to increase real wages and labou</w:t>
      </w:r>
      <w:r>
        <w:t>r demand across all occupation</w:t>
      </w:r>
      <w:r w:rsidR="004C5696">
        <w:t xml:space="preserve"> categories (Figure 1).  Real wage gains are </w:t>
      </w:r>
      <w:r>
        <w:t>well balanced across occupations</w:t>
      </w:r>
      <w:r w:rsidR="004C5696">
        <w:t xml:space="preserve">, with only machinery operators lagging to a moderate extent. The strongest real wage gains go to machinery operators and agricultural workers and other labourers, which will tend to lessen income inequality, as these gains outpace those in generally higher paid managerial, professional, and technical groups.  </w:t>
      </w:r>
      <w:r>
        <w:rPr>
          <w:b/>
        </w:rPr>
        <w:t>Overall, the Agreement</w:t>
      </w:r>
      <w:r w:rsidR="004C5696" w:rsidRPr="00D732D1">
        <w:rPr>
          <w:b/>
        </w:rPr>
        <w:t xml:space="preserve"> is a positive development from the perspective of the PTA focus on middle class jobs</w:t>
      </w:r>
      <w:r w:rsidR="004C5696">
        <w:t>.</w:t>
      </w:r>
    </w:p>
    <w:p w:rsidR="004C5696" w:rsidRDefault="004C5696" w:rsidP="004C5696">
      <w:pPr>
        <w:spacing w:after="0"/>
      </w:pPr>
      <w:r>
        <w:rPr>
          <w:noProof/>
          <w:lang w:eastAsia="en-CA"/>
        </w:rPr>
        <w:drawing>
          <wp:inline distT="0" distB="0" distL="0" distR="0" wp14:anchorId="2206B454" wp14:editId="7640C49E">
            <wp:extent cx="5944870" cy="2871470"/>
            <wp:effectExtent l="0" t="0" r="17780" b="24130"/>
            <wp:docPr id="7" name="Chart 7">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2A6A0AA7-F507-40B5-9CC8-95CAD85AD3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C5696" w:rsidRDefault="004C5696" w:rsidP="004C5696">
      <w:pPr>
        <w:rPr>
          <w:sz w:val="20"/>
          <w:szCs w:val="20"/>
          <w:lang w:val="en-GB" w:eastAsia="en-CA"/>
        </w:rPr>
      </w:pPr>
      <w:r w:rsidRPr="007100EF">
        <w:rPr>
          <w:sz w:val="20"/>
          <w:szCs w:val="20"/>
          <w:lang w:val="en-GB" w:eastAsia="en-CA"/>
        </w:rPr>
        <w:t>Source: Simulations by Global Affairs Canada, Office of the Chief Economist</w:t>
      </w:r>
    </w:p>
    <w:p w:rsidR="004C5696" w:rsidRDefault="004C5696" w:rsidP="004C5696">
      <w:r>
        <w:lastRenderedPageBreak/>
        <w:t>Based on the time profile of the eco</w:t>
      </w:r>
      <w:r w:rsidR="005F3629">
        <w:t>nomic shock induced by the Agreement</w:t>
      </w:r>
      <w:r>
        <w:t>, most of the labour market adjustment occurs in the first years of the agreement.  Since the shocks</w:t>
      </w:r>
      <w:r w:rsidR="005F3629">
        <w:t xml:space="preserve"> are positive across occupations</w:t>
      </w:r>
      <w:r>
        <w:t xml:space="preserve">, </w:t>
      </w:r>
      <w:r w:rsidRPr="00D732D1">
        <w:rPr>
          <w:b/>
        </w:rPr>
        <w:t>the structural adjustment within sectors at the firm level should occur in the context of a</w:t>
      </w:r>
      <w:r w:rsidR="005F3629">
        <w:rPr>
          <w:b/>
        </w:rPr>
        <w:t>n</w:t>
      </w:r>
      <w:r w:rsidRPr="00D732D1">
        <w:rPr>
          <w:b/>
        </w:rPr>
        <w:t xml:space="preserve"> overall rising demand, which would be easier for labour markets to absorb</w:t>
      </w:r>
      <w:r>
        <w:t>.</w:t>
      </w:r>
    </w:p>
    <w:p w:rsidR="004C5696" w:rsidRDefault="004C5696" w:rsidP="004C5696">
      <w:pPr>
        <w:spacing w:after="0"/>
      </w:pPr>
      <w:r>
        <w:rPr>
          <w:noProof/>
          <w:lang w:eastAsia="en-CA"/>
        </w:rPr>
        <w:drawing>
          <wp:inline distT="0" distB="0" distL="0" distR="0" wp14:anchorId="2DC3D3E4" wp14:editId="4CA49A49">
            <wp:extent cx="5901732" cy="3429333"/>
            <wp:effectExtent l="0" t="0" r="22860" b="19050"/>
            <wp:docPr id="8" name="Chart 8">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3025517-62AD-45FE-AC7F-510271D0663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C5696" w:rsidRDefault="004C5696" w:rsidP="004C5696">
      <w:pPr>
        <w:rPr>
          <w:sz w:val="20"/>
          <w:szCs w:val="20"/>
          <w:lang w:val="en-GB" w:eastAsia="en-CA"/>
        </w:rPr>
      </w:pPr>
      <w:r w:rsidRPr="007100EF">
        <w:rPr>
          <w:sz w:val="20"/>
          <w:szCs w:val="20"/>
          <w:lang w:val="en-GB" w:eastAsia="en-CA"/>
        </w:rPr>
        <w:t>Source: Simulations by Global Affairs Canada, Office of the Chief Economist</w:t>
      </w:r>
    </w:p>
    <w:p w:rsidR="004C5696" w:rsidRDefault="004C5696" w:rsidP="004C5696">
      <w:r>
        <w:t xml:space="preserve">As regards adjustment pressures across industries, the only sectors facing any degree of potential dislocation in this simulation are apparel, “other manufacturing” and dairy.  As can be seen from Figure 3, in each case, the scale of job displacement is small relative to the job gains in other sectors.  Accordingly, as individual workers migrate across sectors within the same profession, the </w:t>
      </w:r>
      <w:r w:rsidRPr="00D732D1">
        <w:rPr>
          <w:b/>
        </w:rPr>
        <w:t>adjustment does not appear to raise any problematic issues given that all professions are seeing rising demand</w:t>
      </w:r>
      <w:r>
        <w:t xml:space="preserve">.  </w:t>
      </w:r>
    </w:p>
    <w:p w:rsidR="004C5696" w:rsidRDefault="004C5696" w:rsidP="004C5696">
      <w:r>
        <w:t>In terms of gender balance, the two sectors projected to add the most jobs – other services and trade – generate disproportionately large demands for female workers, given the gender distribution of work in these sectors.  Conversely, some of the male-dominated sectors such as construction and autos generate a small net demand for</w:t>
      </w:r>
      <w:r w:rsidR="005F3629">
        <w:t xml:space="preserve"> labour.  Accordingly, the Agreement</w:t>
      </w:r>
      <w:r>
        <w:t xml:space="preserve"> tends generate somewhat greater demand for female employment (16,566 net increase) compared to demand for male employment (14,267).  </w:t>
      </w:r>
      <w:r w:rsidRPr="00D732D1">
        <w:rPr>
          <w:b/>
        </w:rPr>
        <w:t>This will tend to promote more balanced employment configur</w:t>
      </w:r>
      <w:r>
        <w:rPr>
          <w:b/>
        </w:rPr>
        <w:t>ations</w:t>
      </w:r>
      <w:r w:rsidRPr="00D732D1">
        <w:rPr>
          <w:b/>
        </w:rPr>
        <w:t>, consistent with the PTA objective of promoting gender balance</w:t>
      </w:r>
      <w:r>
        <w:t>.</w:t>
      </w:r>
    </w:p>
    <w:p w:rsidR="004C5696" w:rsidRDefault="004C5696" w:rsidP="004C5696"/>
    <w:p w:rsidR="004C5696" w:rsidRDefault="004C5696" w:rsidP="004C5696">
      <w:pPr>
        <w:spacing w:after="0"/>
      </w:pPr>
      <w:r>
        <w:rPr>
          <w:noProof/>
          <w:lang w:eastAsia="en-CA"/>
        </w:rPr>
        <w:lastRenderedPageBreak/>
        <w:drawing>
          <wp:inline distT="0" distB="0" distL="0" distR="0" wp14:anchorId="61BFAECB" wp14:editId="11A19E81">
            <wp:extent cx="5944870" cy="3021330"/>
            <wp:effectExtent l="0" t="0" r="17780" b="7620"/>
            <wp:docPr id="9" name="Chart 9">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ED6E0E5-B907-41D5-A614-F89E4D1B85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C5696" w:rsidRDefault="004C5696" w:rsidP="004C5696">
      <w:pPr>
        <w:rPr>
          <w:sz w:val="20"/>
          <w:szCs w:val="20"/>
          <w:lang w:val="en-GB" w:eastAsia="en-CA"/>
        </w:rPr>
      </w:pPr>
      <w:bookmarkStart w:id="13" w:name="_Toc3925312"/>
      <w:r w:rsidRPr="007100EF">
        <w:rPr>
          <w:sz w:val="20"/>
          <w:szCs w:val="20"/>
          <w:lang w:val="en-GB" w:eastAsia="en-CA"/>
        </w:rPr>
        <w:t>Source: Simulations by Global Affairs Canada, Office of the Chief Economist</w:t>
      </w:r>
    </w:p>
    <w:p w:rsidR="004C5696" w:rsidRDefault="005F3629" w:rsidP="004C5696">
      <w:r>
        <w:t>The Agreement</w:t>
      </w:r>
      <w:r w:rsidR="004C5696">
        <w:t xml:space="preserve"> promises to expand Canadian labour force participation, which is a positive factor for inclusive growth by reducing the number of individuals not in the labour force. The increase is moderately weighted in favour of women, which also is consistent with the objective of improving gender equity.</w:t>
      </w:r>
    </w:p>
    <w:p w:rsidR="004C5696" w:rsidRDefault="005F3629" w:rsidP="004C5696">
      <w:pPr>
        <w:pStyle w:val="Caption"/>
      </w:pPr>
      <w:r>
        <w:t>Table 9: Job Impacts of the Agreement by Occupation</w:t>
      </w:r>
      <w:r w:rsidR="004C5696">
        <w:t xml:space="preserve"> and Sex, 2035</w:t>
      </w:r>
    </w:p>
    <w:tbl>
      <w:tblPr>
        <w:tblStyle w:val="GridTable1LightAccent5"/>
        <w:tblW w:w="9255" w:type="dxa"/>
        <w:tblLook w:val="04A0" w:firstRow="1" w:lastRow="0" w:firstColumn="1" w:lastColumn="0" w:noHBand="0" w:noVBand="1"/>
      </w:tblPr>
      <w:tblGrid>
        <w:gridCol w:w="5187"/>
        <w:gridCol w:w="1356"/>
        <w:gridCol w:w="1356"/>
        <w:gridCol w:w="1356"/>
      </w:tblGrid>
      <w:tr w:rsidR="004C5696" w:rsidRPr="00D11A94" w:rsidTr="004C5696">
        <w:trPr>
          <w:cnfStyle w:val="100000000000" w:firstRow="1" w:lastRow="0" w:firstColumn="0" w:lastColumn="0" w:oddVBand="0" w:evenVBand="0" w:oddHBand="0" w:evenHBand="0" w:firstRowFirstColumn="0" w:firstRowLastColumn="0" w:lastRowFirstColumn="0" w:lastRowLastColumn="0"/>
          <w:trHeight w:val="243"/>
        </w:trPr>
        <w:tc>
          <w:tcPr>
            <w:cnfStyle w:val="001000000000" w:firstRow="0" w:lastRow="0" w:firstColumn="1" w:lastColumn="0" w:oddVBand="0" w:evenVBand="0" w:oddHBand="0" w:evenHBand="0" w:firstRowFirstColumn="0" w:firstRowLastColumn="0" w:lastRowFirstColumn="0" w:lastRowLastColumn="0"/>
            <w:tcW w:w="5187" w:type="dxa"/>
            <w:noWrap/>
            <w:hideMark/>
          </w:tcPr>
          <w:p w:rsidR="004C5696" w:rsidRPr="00D11A94" w:rsidRDefault="004C5696" w:rsidP="004C5696">
            <w:pPr>
              <w:jc w:val="left"/>
              <w:rPr>
                <w:rFonts w:eastAsia="Times New Roman" w:cs="Times New Roman"/>
                <w:b w:val="0"/>
                <w:sz w:val="20"/>
                <w:szCs w:val="20"/>
                <w:lang w:eastAsia="en-CA"/>
              </w:rPr>
            </w:pPr>
          </w:p>
        </w:tc>
        <w:tc>
          <w:tcPr>
            <w:tcW w:w="1356" w:type="dxa"/>
            <w:noWrap/>
            <w:hideMark/>
          </w:tcPr>
          <w:p w:rsidR="004C5696" w:rsidRPr="00D11A94" w:rsidRDefault="004C5696" w:rsidP="004C5696">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0"/>
                <w:lang w:eastAsia="en-CA"/>
              </w:rPr>
            </w:pPr>
            <w:r w:rsidRPr="00D11A94">
              <w:rPr>
                <w:rFonts w:eastAsia="Times New Roman" w:cs="Times New Roman"/>
                <w:b w:val="0"/>
                <w:color w:val="000000"/>
                <w:sz w:val="20"/>
                <w:szCs w:val="20"/>
                <w:lang w:eastAsia="en-CA"/>
              </w:rPr>
              <w:t>Male</w:t>
            </w:r>
          </w:p>
        </w:tc>
        <w:tc>
          <w:tcPr>
            <w:tcW w:w="1356" w:type="dxa"/>
            <w:noWrap/>
            <w:hideMark/>
          </w:tcPr>
          <w:p w:rsidR="004C5696" w:rsidRPr="00D11A94" w:rsidRDefault="004C5696" w:rsidP="004C5696">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0"/>
                <w:lang w:eastAsia="en-CA"/>
              </w:rPr>
            </w:pPr>
            <w:r w:rsidRPr="00D11A94">
              <w:rPr>
                <w:rFonts w:eastAsia="Times New Roman" w:cs="Times New Roman"/>
                <w:b w:val="0"/>
                <w:color w:val="000000"/>
                <w:sz w:val="20"/>
                <w:szCs w:val="20"/>
                <w:lang w:eastAsia="en-CA"/>
              </w:rPr>
              <w:t>Female</w:t>
            </w:r>
          </w:p>
        </w:tc>
        <w:tc>
          <w:tcPr>
            <w:tcW w:w="1356" w:type="dxa"/>
            <w:noWrap/>
            <w:hideMark/>
          </w:tcPr>
          <w:p w:rsidR="004C5696" w:rsidRPr="00D11A94" w:rsidRDefault="004C5696" w:rsidP="004C5696">
            <w:pPr>
              <w:jc w:val="right"/>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0"/>
                <w:lang w:eastAsia="en-CA"/>
              </w:rPr>
            </w:pPr>
            <w:r w:rsidRPr="00D11A94">
              <w:rPr>
                <w:rFonts w:eastAsia="Times New Roman" w:cs="Times New Roman"/>
                <w:b w:val="0"/>
                <w:color w:val="000000"/>
                <w:sz w:val="20"/>
                <w:szCs w:val="20"/>
                <w:lang w:eastAsia="en-CA"/>
              </w:rPr>
              <w:t>Total</w:t>
            </w:r>
          </w:p>
        </w:tc>
      </w:tr>
      <w:tr w:rsidR="004C5696" w:rsidRPr="00D11A94" w:rsidTr="004C5696">
        <w:trPr>
          <w:trHeight w:val="243"/>
        </w:trPr>
        <w:tc>
          <w:tcPr>
            <w:cnfStyle w:val="001000000000" w:firstRow="0" w:lastRow="0" w:firstColumn="1" w:lastColumn="0" w:oddVBand="0" w:evenVBand="0" w:oddHBand="0" w:evenHBand="0" w:firstRowFirstColumn="0" w:firstRowLastColumn="0" w:lastRowFirstColumn="0" w:lastRowLastColumn="0"/>
            <w:tcW w:w="5187" w:type="dxa"/>
            <w:noWrap/>
            <w:hideMark/>
          </w:tcPr>
          <w:p w:rsidR="004C5696" w:rsidRPr="00D11A94" w:rsidRDefault="004C5696" w:rsidP="004C5696">
            <w:pPr>
              <w:jc w:val="left"/>
              <w:rPr>
                <w:rFonts w:eastAsia="Times New Roman" w:cs="Times New Roman"/>
                <w:b w:val="0"/>
                <w:color w:val="000000"/>
                <w:sz w:val="20"/>
                <w:szCs w:val="20"/>
                <w:lang w:eastAsia="en-CA"/>
              </w:rPr>
            </w:pPr>
            <w:r w:rsidRPr="00D11A94">
              <w:rPr>
                <w:rFonts w:eastAsia="Times New Roman" w:cs="Times New Roman"/>
                <w:b w:val="0"/>
                <w:color w:val="000000"/>
                <w:sz w:val="20"/>
                <w:szCs w:val="20"/>
                <w:lang w:eastAsia="en-CA"/>
              </w:rPr>
              <w:t>Managerial</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1,778</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1,671</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3,449</w:t>
            </w:r>
          </w:p>
        </w:tc>
      </w:tr>
      <w:tr w:rsidR="004C5696" w:rsidRPr="00D11A94" w:rsidTr="004C5696">
        <w:trPr>
          <w:trHeight w:val="243"/>
        </w:trPr>
        <w:tc>
          <w:tcPr>
            <w:cnfStyle w:val="001000000000" w:firstRow="0" w:lastRow="0" w:firstColumn="1" w:lastColumn="0" w:oddVBand="0" w:evenVBand="0" w:oddHBand="0" w:evenHBand="0" w:firstRowFirstColumn="0" w:firstRowLastColumn="0" w:lastRowFirstColumn="0" w:lastRowLastColumn="0"/>
            <w:tcW w:w="5187" w:type="dxa"/>
            <w:noWrap/>
            <w:hideMark/>
          </w:tcPr>
          <w:p w:rsidR="004C5696" w:rsidRPr="00D11A94" w:rsidRDefault="004C5696" w:rsidP="004C5696">
            <w:pPr>
              <w:jc w:val="left"/>
              <w:rPr>
                <w:rFonts w:eastAsia="Times New Roman" w:cs="Times New Roman"/>
                <w:b w:val="0"/>
                <w:color w:val="000000"/>
                <w:sz w:val="20"/>
                <w:szCs w:val="20"/>
                <w:lang w:eastAsia="en-CA"/>
              </w:rPr>
            </w:pPr>
            <w:r w:rsidRPr="00D11A94">
              <w:rPr>
                <w:rFonts w:eastAsia="Times New Roman" w:cs="Times New Roman"/>
                <w:b w:val="0"/>
                <w:color w:val="000000"/>
                <w:sz w:val="20"/>
                <w:szCs w:val="20"/>
                <w:lang w:eastAsia="en-CA"/>
              </w:rPr>
              <w:t>Professional</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1,568</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2,898</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4,466</w:t>
            </w:r>
          </w:p>
        </w:tc>
      </w:tr>
      <w:tr w:rsidR="004C5696" w:rsidRPr="00D11A94" w:rsidTr="004C5696">
        <w:trPr>
          <w:trHeight w:val="243"/>
        </w:trPr>
        <w:tc>
          <w:tcPr>
            <w:cnfStyle w:val="001000000000" w:firstRow="0" w:lastRow="0" w:firstColumn="1" w:lastColumn="0" w:oddVBand="0" w:evenVBand="0" w:oddHBand="0" w:evenHBand="0" w:firstRowFirstColumn="0" w:firstRowLastColumn="0" w:lastRowFirstColumn="0" w:lastRowLastColumn="0"/>
            <w:tcW w:w="5187" w:type="dxa"/>
            <w:noWrap/>
            <w:hideMark/>
          </w:tcPr>
          <w:p w:rsidR="004C5696" w:rsidRPr="00D11A94" w:rsidRDefault="004C5696" w:rsidP="004C5696">
            <w:pPr>
              <w:jc w:val="left"/>
              <w:rPr>
                <w:rFonts w:eastAsia="Times New Roman" w:cs="Times New Roman"/>
                <w:b w:val="0"/>
                <w:color w:val="000000"/>
                <w:sz w:val="20"/>
                <w:szCs w:val="20"/>
                <w:lang w:eastAsia="en-CA"/>
              </w:rPr>
            </w:pPr>
            <w:r w:rsidRPr="00D11A94">
              <w:rPr>
                <w:rFonts w:eastAsia="Times New Roman" w:cs="Times New Roman"/>
                <w:b w:val="0"/>
                <w:color w:val="000000"/>
                <w:sz w:val="20"/>
                <w:szCs w:val="20"/>
                <w:lang w:eastAsia="en-CA"/>
              </w:rPr>
              <w:t>Technical</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957</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1,534</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2,491</w:t>
            </w:r>
          </w:p>
        </w:tc>
      </w:tr>
      <w:tr w:rsidR="004C5696" w:rsidRPr="00D11A94" w:rsidTr="004C5696">
        <w:trPr>
          <w:trHeight w:val="243"/>
        </w:trPr>
        <w:tc>
          <w:tcPr>
            <w:cnfStyle w:val="001000000000" w:firstRow="0" w:lastRow="0" w:firstColumn="1" w:lastColumn="0" w:oddVBand="0" w:evenVBand="0" w:oddHBand="0" w:evenHBand="0" w:firstRowFirstColumn="0" w:firstRowLastColumn="0" w:lastRowFirstColumn="0" w:lastRowLastColumn="0"/>
            <w:tcW w:w="5187" w:type="dxa"/>
            <w:noWrap/>
            <w:hideMark/>
          </w:tcPr>
          <w:p w:rsidR="004C5696" w:rsidRPr="00D11A94" w:rsidRDefault="004C5696" w:rsidP="004C5696">
            <w:pPr>
              <w:jc w:val="left"/>
              <w:rPr>
                <w:rFonts w:eastAsia="Times New Roman" w:cs="Times New Roman"/>
                <w:b w:val="0"/>
                <w:color w:val="000000"/>
                <w:sz w:val="20"/>
                <w:szCs w:val="20"/>
                <w:lang w:eastAsia="en-CA"/>
              </w:rPr>
            </w:pPr>
            <w:r w:rsidRPr="00D11A94">
              <w:rPr>
                <w:rFonts w:eastAsia="Times New Roman" w:cs="Times New Roman"/>
                <w:b w:val="0"/>
                <w:color w:val="000000"/>
                <w:sz w:val="20"/>
                <w:szCs w:val="20"/>
                <w:lang w:eastAsia="en-CA"/>
              </w:rPr>
              <w:t>Community &amp; Personal Services</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294</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826</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1,119</w:t>
            </w:r>
          </w:p>
        </w:tc>
      </w:tr>
      <w:tr w:rsidR="004C5696" w:rsidRPr="00D11A94" w:rsidTr="004C5696">
        <w:trPr>
          <w:trHeight w:val="243"/>
        </w:trPr>
        <w:tc>
          <w:tcPr>
            <w:cnfStyle w:val="001000000000" w:firstRow="0" w:lastRow="0" w:firstColumn="1" w:lastColumn="0" w:oddVBand="0" w:evenVBand="0" w:oddHBand="0" w:evenHBand="0" w:firstRowFirstColumn="0" w:firstRowLastColumn="0" w:lastRowFirstColumn="0" w:lastRowLastColumn="0"/>
            <w:tcW w:w="5187" w:type="dxa"/>
            <w:noWrap/>
            <w:hideMark/>
          </w:tcPr>
          <w:p w:rsidR="004C5696" w:rsidRPr="00D11A94" w:rsidRDefault="004C5696" w:rsidP="004C5696">
            <w:pPr>
              <w:jc w:val="left"/>
              <w:rPr>
                <w:rFonts w:eastAsia="Times New Roman" w:cs="Times New Roman"/>
                <w:b w:val="0"/>
                <w:color w:val="000000"/>
                <w:sz w:val="20"/>
                <w:szCs w:val="20"/>
                <w:lang w:eastAsia="en-CA"/>
              </w:rPr>
            </w:pPr>
            <w:r w:rsidRPr="00D11A94">
              <w:rPr>
                <w:rFonts w:eastAsia="Times New Roman" w:cs="Times New Roman"/>
                <w:b w:val="0"/>
                <w:color w:val="000000"/>
                <w:sz w:val="20"/>
                <w:szCs w:val="20"/>
                <w:lang w:eastAsia="en-CA"/>
              </w:rPr>
              <w:t>Clerical</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305</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2,708</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3,013</w:t>
            </w:r>
          </w:p>
        </w:tc>
      </w:tr>
      <w:tr w:rsidR="004C5696" w:rsidRPr="00D11A94" w:rsidTr="004C5696">
        <w:trPr>
          <w:trHeight w:val="243"/>
        </w:trPr>
        <w:tc>
          <w:tcPr>
            <w:cnfStyle w:val="001000000000" w:firstRow="0" w:lastRow="0" w:firstColumn="1" w:lastColumn="0" w:oddVBand="0" w:evenVBand="0" w:oddHBand="0" w:evenHBand="0" w:firstRowFirstColumn="0" w:firstRowLastColumn="0" w:lastRowFirstColumn="0" w:lastRowLastColumn="0"/>
            <w:tcW w:w="5187" w:type="dxa"/>
            <w:noWrap/>
            <w:hideMark/>
          </w:tcPr>
          <w:p w:rsidR="004C5696" w:rsidRPr="00D11A94" w:rsidRDefault="004C5696" w:rsidP="004C5696">
            <w:pPr>
              <w:jc w:val="left"/>
              <w:rPr>
                <w:rFonts w:eastAsia="Times New Roman" w:cs="Times New Roman"/>
                <w:b w:val="0"/>
                <w:color w:val="000000"/>
                <w:sz w:val="20"/>
                <w:szCs w:val="20"/>
                <w:lang w:eastAsia="en-CA"/>
              </w:rPr>
            </w:pPr>
            <w:r w:rsidRPr="00D11A94">
              <w:rPr>
                <w:rFonts w:eastAsia="Times New Roman" w:cs="Times New Roman"/>
                <w:b w:val="0"/>
                <w:color w:val="000000"/>
                <w:sz w:val="20"/>
                <w:szCs w:val="20"/>
                <w:lang w:eastAsia="en-CA"/>
              </w:rPr>
              <w:t>Sales</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3,112</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5,559</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8,671</w:t>
            </w:r>
          </w:p>
        </w:tc>
      </w:tr>
      <w:tr w:rsidR="004C5696" w:rsidRPr="00D11A94" w:rsidTr="004C5696">
        <w:trPr>
          <w:trHeight w:val="243"/>
        </w:trPr>
        <w:tc>
          <w:tcPr>
            <w:cnfStyle w:val="001000000000" w:firstRow="0" w:lastRow="0" w:firstColumn="1" w:lastColumn="0" w:oddVBand="0" w:evenVBand="0" w:oddHBand="0" w:evenHBand="0" w:firstRowFirstColumn="0" w:firstRowLastColumn="0" w:lastRowFirstColumn="0" w:lastRowLastColumn="0"/>
            <w:tcW w:w="5187" w:type="dxa"/>
            <w:noWrap/>
            <w:hideMark/>
          </w:tcPr>
          <w:p w:rsidR="004C5696" w:rsidRPr="00D11A94" w:rsidRDefault="004C5696" w:rsidP="004C5696">
            <w:pPr>
              <w:jc w:val="left"/>
              <w:rPr>
                <w:rFonts w:eastAsia="Times New Roman" w:cs="Times New Roman"/>
                <w:b w:val="0"/>
                <w:color w:val="000000"/>
                <w:sz w:val="20"/>
                <w:szCs w:val="20"/>
                <w:lang w:eastAsia="en-CA"/>
              </w:rPr>
            </w:pPr>
            <w:r w:rsidRPr="00D11A94">
              <w:rPr>
                <w:rFonts w:eastAsia="Times New Roman" w:cs="Times New Roman"/>
                <w:b w:val="0"/>
                <w:color w:val="000000"/>
                <w:sz w:val="20"/>
                <w:szCs w:val="20"/>
                <w:lang w:eastAsia="en-CA"/>
              </w:rPr>
              <w:t>Machinery operators</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4,802</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788</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5,590</w:t>
            </w:r>
          </w:p>
        </w:tc>
      </w:tr>
      <w:tr w:rsidR="004C5696" w:rsidRPr="00D11A94" w:rsidTr="004C5696">
        <w:trPr>
          <w:trHeight w:val="243"/>
        </w:trPr>
        <w:tc>
          <w:tcPr>
            <w:cnfStyle w:val="001000000000" w:firstRow="0" w:lastRow="0" w:firstColumn="1" w:lastColumn="0" w:oddVBand="0" w:evenVBand="0" w:oddHBand="0" w:evenHBand="0" w:firstRowFirstColumn="0" w:firstRowLastColumn="0" w:lastRowFirstColumn="0" w:lastRowLastColumn="0"/>
            <w:tcW w:w="5187" w:type="dxa"/>
            <w:noWrap/>
            <w:hideMark/>
          </w:tcPr>
          <w:p w:rsidR="004C5696" w:rsidRPr="00D11A94" w:rsidRDefault="004C5696" w:rsidP="004C5696">
            <w:pPr>
              <w:jc w:val="left"/>
              <w:rPr>
                <w:rFonts w:eastAsia="Times New Roman" w:cs="Times New Roman"/>
                <w:b w:val="0"/>
                <w:color w:val="000000"/>
                <w:sz w:val="20"/>
                <w:szCs w:val="20"/>
                <w:lang w:eastAsia="en-CA"/>
              </w:rPr>
            </w:pPr>
            <w:r w:rsidRPr="00D11A94">
              <w:rPr>
                <w:rFonts w:eastAsia="Times New Roman" w:cs="Times New Roman"/>
                <w:b w:val="0"/>
                <w:color w:val="000000"/>
                <w:sz w:val="20"/>
                <w:szCs w:val="20"/>
                <w:lang w:eastAsia="en-CA"/>
              </w:rPr>
              <w:t>Agricultural workers and labourers</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1,449</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578</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2,027</w:t>
            </w:r>
          </w:p>
        </w:tc>
      </w:tr>
      <w:tr w:rsidR="004C5696" w:rsidRPr="00D11A94" w:rsidTr="004C5696">
        <w:trPr>
          <w:trHeight w:val="243"/>
        </w:trPr>
        <w:tc>
          <w:tcPr>
            <w:cnfStyle w:val="001000000000" w:firstRow="0" w:lastRow="0" w:firstColumn="1" w:lastColumn="0" w:oddVBand="0" w:evenVBand="0" w:oddHBand="0" w:evenHBand="0" w:firstRowFirstColumn="0" w:firstRowLastColumn="0" w:lastRowFirstColumn="0" w:lastRowLastColumn="0"/>
            <w:tcW w:w="5187" w:type="dxa"/>
            <w:noWrap/>
            <w:hideMark/>
          </w:tcPr>
          <w:p w:rsidR="004C5696" w:rsidRPr="00D11A94" w:rsidRDefault="004C5696" w:rsidP="004C5696">
            <w:pPr>
              <w:jc w:val="left"/>
              <w:rPr>
                <w:rFonts w:eastAsia="Times New Roman" w:cs="Times New Roman"/>
                <w:b w:val="0"/>
                <w:color w:val="000000"/>
                <w:sz w:val="20"/>
                <w:szCs w:val="20"/>
                <w:lang w:eastAsia="en-CA"/>
              </w:rPr>
            </w:pPr>
            <w:r w:rsidRPr="00D11A94">
              <w:rPr>
                <w:rFonts w:eastAsia="Times New Roman" w:cs="Times New Roman"/>
                <w:b w:val="0"/>
                <w:color w:val="000000"/>
                <w:sz w:val="20"/>
                <w:szCs w:val="20"/>
                <w:lang w:eastAsia="en-CA"/>
              </w:rPr>
              <w:t>Unemployed</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39,522</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35,124</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74,646</w:t>
            </w:r>
          </w:p>
        </w:tc>
      </w:tr>
      <w:tr w:rsidR="004C5696" w:rsidRPr="00D11A94" w:rsidTr="004C5696">
        <w:trPr>
          <w:trHeight w:val="243"/>
        </w:trPr>
        <w:tc>
          <w:tcPr>
            <w:cnfStyle w:val="001000000000" w:firstRow="0" w:lastRow="0" w:firstColumn="1" w:lastColumn="0" w:oddVBand="0" w:evenVBand="0" w:oddHBand="0" w:evenHBand="0" w:firstRowFirstColumn="0" w:firstRowLastColumn="0" w:lastRowFirstColumn="0" w:lastRowLastColumn="0"/>
            <w:tcW w:w="5187" w:type="dxa"/>
            <w:noWrap/>
            <w:hideMark/>
          </w:tcPr>
          <w:p w:rsidR="004C5696" w:rsidRPr="00D11A94" w:rsidRDefault="004C5696" w:rsidP="004C5696">
            <w:pPr>
              <w:jc w:val="left"/>
              <w:rPr>
                <w:rFonts w:eastAsia="Times New Roman" w:cs="Times New Roman"/>
                <w:b w:val="0"/>
                <w:color w:val="000000"/>
                <w:sz w:val="20"/>
                <w:szCs w:val="20"/>
                <w:lang w:eastAsia="en-CA"/>
              </w:rPr>
            </w:pPr>
            <w:r w:rsidRPr="00D11A94">
              <w:rPr>
                <w:rFonts w:eastAsia="Times New Roman" w:cs="Times New Roman"/>
                <w:b w:val="0"/>
                <w:color w:val="000000"/>
                <w:sz w:val="20"/>
                <w:szCs w:val="20"/>
                <w:lang w:eastAsia="en-CA"/>
              </w:rPr>
              <w:t>Not in Labour Force</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-53,786</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-51,686</w:t>
            </w:r>
          </w:p>
        </w:tc>
        <w:tc>
          <w:tcPr>
            <w:tcW w:w="1356" w:type="dxa"/>
            <w:noWrap/>
            <w:vAlign w:val="bottom"/>
            <w:hideMark/>
          </w:tcPr>
          <w:p w:rsidR="004C5696" w:rsidRPr="00D732D1"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D732D1">
              <w:rPr>
                <w:rFonts w:cs="Times New Roman"/>
                <w:color w:val="000000"/>
                <w:sz w:val="20"/>
                <w:szCs w:val="20"/>
              </w:rPr>
              <w:t>-105,472</w:t>
            </w:r>
          </w:p>
        </w:tc>
      </w:tr>
    </w:tbl>
    <w:p w:rsidR="004C5696" w:rsidRDefault="004C5696" w:rsidP="004C5696">
      <w:pPr>
        <w:rPr>
          <w:sz w:val="20"/>
          <w:szCs w:val="20"/>
          <w:lang w:val="en-GB" w:eastAsia="en-CA"/>
        </w:rPr>
      </w:pPr>
      <w:r w:rsidRPr="007100EF">
        <w:rPr>
          <w:sz w:val="20"/>
          <w:szCs w:val="20"/>
          <w:lang w:val="en-GB" w:eastAsia="en-CA"/>
        </w:rPr>
        <w:t>Source: Simulations by Global Affairs Canada, Office of the Chief Economist</w:t>
      </w:r>
    </w:p>
    <w:p w:rsidR="004C5696" w:rsidRDefault="004C5696" w:rsidP="004C5696">
      <w:r>
        <w:t xml:space="preserve">One interesting feature of the labour market dynamic is that the higher real wage induces more labour market entrants than there are jobs created; accordingly the unemployed totals rise for both women and men, with the increase in unemployment concentrated in the younger age groups.  Implicitly, young people between 15 and 24 in particular are making a choice between work and schooling.  With the rise in new opportunities in the job market, more make the choice to pursue work rather than schooling.  From the perspective of the PTA, this poses some issues.  </w:t>
      </w:r>
      <w:r w:rsidRPr="00271E89">
        <w:rPr>
          <w:b/>
        </w:rPr>
        <w:t xml:space="preserve">Given the increasingly knowledge-intensive economy, it may be worthwhile </w:t>
      </w:r>
      <w:r>
        <w:rPr>
          <w:b/>
        </w:rPr>
        <w:t xml:space="preserve">from a societal perspective </w:t>
      </w:r>
      <w:r w:rsidRPr="00271E89">
        <w:rPr>
          <w:b/>
        </w:rPr>
        <w:t xml:space="preserve">to increase the incentives to stay in school longer to counter the short-term </w:t>
      </w:r>
      <w:r w:rsidRPr="00271E89">
        <w:rPr>
          <w:b/>
        </w:rPr>
        <w:lastRenderedPageBreak/>
        <w:t>attraction of entry-level jobs</w:t>
      </w:r>
      <w:r>
        <w:t xml:space="preserve">.  At the same time, the increased flow of young people into the labour force is not itself undesirable, especially as it represents individual choice.  </w:t>
      </w:r>
      <w:r w:rsidRPr="00271E89">
        <w:rPr>
          <w:b/>
        </w:rPr>
        <w:t>This greater demand for job placement will place greater demands on job search assistance</w:t>
      </w:r>
      <w:r>
        <w:t>.</w:t>
      </w:r>
    </w:p>
    <w:p w:rsidR="004C5696" w:rsidRDefault="004C5696" w:rsidP="004C5696">
      <w:pPr>
        <w:pStyle w:val="Caption"/>
      </w:pPr>
      <w:r>
        <w:t>Ta</w:t>
      </w:r>
      <w:r w:rsidR="005854DA">
        <w:t>ble 10: Job Impacts of the Agreement by Occupation</w:t>
      </w:r>
      <w:r>
        <w:t xml:space="preserve"> and Age, 2035</w:t>
      </w:r>
    </w:p>
    <w:tbl>
      <w:tblPr>
        <w:tblStyle w:val="GridTable1LightAccent5"/>
        <w:tblW w:w="5000" w:type="pct"/>
        <w:tblLook w:val="04A0" w:firstRow="1" w:lastRow="0" w:firstColumn="1" w:lastColumn="0" w:noHBand="0" w:noVBand="1"/>
      </w:tblPr>
      <w:tblGrid>
        <w:gridCol w:w="3375"/>
        <w:gridCol w:w="878"/>
        <w:gridCol w:w="878"/>
        <w:gridCol w:w="878"/>
        <w:gridCol w:w="878"/>
        <w:gridCol w:w="878"/>
        <w:gridCol w:w="878"/>
        <w:gridCol w:w="933"/>
      </w:tblGrid>
      <w:tr w:rsidR="004C5696" w:rsidRPr="00895566" w:rsidTr="004C5696">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766" w:type="pct"/>
            <w:noWrap/>
            <w:hideMark/>
          </w:tcPr>
          <w:p w:rsidR="004C5696" w:rsidRPr="00895566" w:rsidRDefault="004C5696" w:rsidP="004C5696">
            <w:pPr>
              <w:jc w:val="left"/>
              <w:rPr>
                <w:rFonts w:eastAsia="Times New Roman" w:cs="Times New Roman"/>
                <w:b w:val="0"/>
                <w:sz w:val="20"/>
                <w:szCs w:val="20"/>
                <w:lang w:eastAsia="en-CA"/>
              </w:rPr>
            </w:pPr>
          </w:p>
        </w:tc>
        <w:tc>
          <w:tcPr>
            <w:tcW w:w="462" w:type="pct"/>
            <w:noWrap/>
            <w:hideMark/>
          </w:tcPr>
          <w:p w:rsidR="004C5696" w:rsidRPr="00895566" w:rsidRDefault="004C5696" w:rsidP="004C5696">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15-24</w:t>
            </w:r>
          </w:p>
        </w:tc>
        <w:tc>
          <w:tcPr>
            <w:tcW w:w="462" w:type="pct"/>
            <w:noWrap/>
            <w:hideMark/>
          </w:tcPr>
          <w:p w:rsidR="004C5696" w:rsidRPr="00895566" w:rsidRDefault="004C5696" w:rsidP="004C5696">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25-34</w:t>
            </w:r>
          </w:p>
        </w:tc>
        <w:tc>
          <w:tcPr>
            <w:tcW w:w="462" w:type="pct"/>
            <w:noWrap/>
            <w:hideMark/>
          </w:tcPr>
          <w:p w:rsidR="004C5696" w:rsidRPr="00895566" w:rsidRDefault="004C5696" w:rsidP="004C5696">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35-44</w:t>
            </w:r>
          </w:p>
        </w:tc>
        <w:tc>
          <w:tcPr>
            <w:tcW w:w="462" w:type="pct"/>
            <w:noWrap/>
            <w:hideMark/>
          </w:tcPr>
          <w:p w:rsidR="004C5696" w:rsidRPr="00895566" w:rsidRDefault="004C5696" w:rsidP="004C5696">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45-54</w:t>
            </w:r>
          </w:p>
        </w:tc>
        <w:tc>
          <w:tcPr>
            <w:tcW w:w="462" w:type="pct"/>
            <w:noWrap/>
            <w:hideMark/>
          </w:tcPr>
          <w:p w:rsidR="004C5696" w:rsidRPr="00895566" w:rsidRDefault="004C5696" w:rsidP="004C5696">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55-64</w:t>
            </w:r>
          </w:p>
        </w:tc>
        <w:tc>
          <w:tcPr>
            <w:tcW w:w="462" w:type="pct"/>
            <w:noWrap/>
            <w:hideMark/>
          </w:tcPr>
          <w:p w:rsidR="004C5696" w:rsidRPr="00895566" w:rsidRDefault="004C5696" w:rsidP="004C5696">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 xml:space="preserve">65+ </w:t>
            </w:r>
          </w:p>
        </w:tc>
        <w:tc>
          <w:tcPr>
            <w:tcW w:w="462" w:type="pct"/>
            <w:noWrap/>
            <w:hideMark/>
          </w:tcPr>
          <w:p w:rsidR="004C5696" w:rsidRPr="00895566" w:rsidRDefault="004C5696" w:rsidP="004C5696">
            <w:pPr>
              <w:jc w:val="left"/>
              <w:cnfStyle w:val="100000000000" w:firstRow="1" w:lastRow="0" w:firstColumn="0" w:lastColumn="0" w:oddVBand="0" w:evenVBand="0" w:oddHBand="0" w:evenHBand="0" w:firstRowFirstColumn="0" w:firstRowLastColumn="0" w:lastRowFirstColumn="0" w:lastRowLastColumn="0"/>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Total</w:t>
            </w:r>
          </w:p>
        </w:tc>
      </w:tr>
      <w:tr w:rsidR="004C5696" w:rsidRPr="00895566" w:rsidTr="004C5696">
        <w:trPr>
          <w:trHeight w:val="292"/>
        </w:trPr>
        <w:tc>
          <w:tcPr>
            <w:cnfStyle w:val="001000000000" w:firstRow="0" w:lastRow="0" w:firstColumn="1" w:lastColumn="0" w:oddVBand="0" w:evenVBand="0" w:oddHBand="0" w:evenHBand="0" w:firstRowFirstColumn="0" w:firstRowLastColumn="0" w:lastRowFirstColumn="0" w:lastRowLastColumn="0"/>
            <w:tcW w:w="1766" w:type="pct"/>
            <w:noWrap/>
            <w:hideMark/>
          </w:tcPr>
          <w:p w:rsidR="004C5696" w:rsidRPr="00895566" w:rsidRDefault="004C5696" w:rsidP="004C5696">
            <w:pPr>
              <w:jc w:val="left"/>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Managerial</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309</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864</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757</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553</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708</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257</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3,449</w:t>
            </w:r>
          </w:p>
        </w:tc>
      </w:tr>
      <w:tr w:rsidR="004C5696" w:rsidRPr="00895566" w:rsidTr="004C5696">
        <w:trPr>
          <w:trHeight w:val="292"/>
        </w:trPr>
        <w:tc>
          <w:tcPr>
            <w:cnfStyle w:val="001000000000" w:firstRow="0" w:lastRow="0" w:firstColumn="1" w:lastColumn="0" w:oddVBand="0" w:evenVBand="0" w:oddHBand="0" w:evenHBand="0" w:firstRowFirstColumn="0" w:firstRowLastColumn="0" w:lastRowFirstColumn="0" w:lastRowLastColumn="0"/>
            <w:tcW w:w="1766" w:type="pct"/>
            <w:noWrap/>
            <w:hideMark/>
          </w:tcPr>
          <w:p w:rsidR="004C5696" w:rsidRPr="00895566" w:rsidRDefault="004C5696" w:rsidP="004C5696">
            <w:pPr>
              <w:jc w:val="left"/>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Professional</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500</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1,398</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1,123</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591</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535</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318</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4,465</w:t>
            </w:r>
          </w:p>
        </w:tc>
      </w:tr>
      <w:tr w:rsidR="004C5696" w:rsidRPr="00895566" w:rsidTr="004C5696">
        <w:trPr>
          <w:trHeight w:val="292"/>
        </w:trPr>
        <w:tc>
          <w:tcPr>
            <w:cnfStyle w:val="001000000000" w:firstRow="0" w:lastRow="0" w:firstColumn="1" w:lastColumn="0" w:oddVBand="0" w:evenVBand="0" w:oddHBand="0" w:evenHBand="0" w:firstRowFirstColumn="0" w:firstRowLastColumn="0" w:lastRowFirstColumn="0" w:lastRowLastColumn="0"/>
            <w:tcW w:w="1766" w:type="pct"/>
            <w:noWrap/>
            <w:hideMark/>
          </w:tcPr>
          <w:p w:rsidR="004C5696" w:rsidRPr="00895566" w:rsidRDefault="004C5696" w:rsidP="004C5696">
            <w:pPr>
              <w:jc w:val="left"/>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Technical</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705</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787</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363</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264</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253</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118</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2,491</w:t>
            </w:r>
          </w:p>
        </w:tc>
      </w:tr>
      <w:tr w:rsidR="004C5696" w:rsidRPr="00895566" w:rsidTr="004C5696">
        <w:trPr>
          <w:trHeight w:val="292"/>
        </w:trPr>
        <w:tc>
          <w:tcPr>
            <w:cnfStyle w:val="001000000000" w:firstRow="0" w:lastRow="0" w:firstColumn="1" w:lastColumn="0" w:oddVBand="0" w:evenVBand="0" w:oddHBand="0" w:evenHBand="0" w:firstRowFirstColumn="0" w:firstRowLastColumn="0" w:lastRowFirstColumn="0" w:lastRowLastColumn="0"/>
            <w:tcW w:w="1766" w:type="pct"/>
            <w:noWrap/>
            <w:hideMark/>
          </w:tcPr>
          <w:p w:rsidR="004C5696" w:rsidRPr="00895566" w:rsidRDefault="004C5696" w:rsidP="004C5696">
            <w:pPr>
              <w:jc w:val="left"/>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Community &amp; Personal Services</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260</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249</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173</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174</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203</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61</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1,119</w:t>
            </w:r>
          </w:p>
        </w:tc>
      </w:tr>
      <w:tr w:rsidR="004C5696" w:rsidRPr="00895566" w:rsidTr="004C5696">
        <w:trPr>
          <w:trHeight w:val="292"/>
        </w:trPr>
        <w:tc>
          <w:tcPr>
            <w:cnfStyle w:val="001000000000" w:firstRow="0" w:lastRow="0" w:firstColumn="1" w:lastColumn="0" w:oddVBand="0" w:evenVBand="0" w:oddHBand="0" w:evenHBand="0" w:firstRowFirstColumn="0" w:firstRowLastColumn="0" w:lastRowFirstColumn="0" w:lastRowLastColumn="0"/>
            <w:tcW w:w="1766" w:type="pct"/>
            <w:noWrap/>
            <w:hideMark/>
          </w:tcPr>
          <w:p w:rsidR="004C5696" w:rsidRPr="00895566" w:rsidRDefault="004C5696" w:rsidP="004C5696">
            <w:pPr>
              <w:jc w:val="left"/>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Clerical</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397</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890</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496</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396</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518</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316</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3,013</w:t>
            </w:r>
          </w:p>
        </w:tc>
      </w:tr>
      <w:tr w:rsidR="004C5696" w:rsidRPr="00895566" w:rsidTr="004C5696">
        <w:trPr>
          <w:trHeight w:val="292"/>
        </w:trPr>
        <w:tc>
          <w:tcPr>
            <w:cnfStyle w:val="001000000000" w:firstRow="0" w:lastRow="0" w:firstColumn="1" w:lastColumn="0" w:oddVBand="0" w:evenVBand="0" w:oddHBand="0" w:evenHBand="0" w:firstRowFirstColumn="0" w:firstRowLastColumn="0" w:lastRowFirstColumn="0" w:lastRowLastColumn="0"/>
            <w:tcW w:w="1766" w:type="pct"/>
            <w:noWrap/>
            <w:hideMark/>
          </w:tcPr>
          <w:p w:rsidR="004C5696" w:rsidRPr="00895566" w:rsidRDefault="004C5696" w:rsidP="004C5696">
            <w:pPr>
              <w:jc w:val="left"/>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Sales</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4,160</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1,847</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716</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625</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772</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551</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8,671</w:t>
            </w:r>
          </w:p>
        </w:tc>
      </w:tr>
      <w:tr w:rsidR="004C5696" w:rsidRPr="00895566" w:rsidTr="004C5696">
        <w:trPr>
          <w:trHeight w:val="292"/>
        </w:trPr>
        <w:tc>
          <w:tcPr>
            <w:cnfStyle w:val="001000000000" w:firstRow="0" w:lastRow="0" w:firstColumn="1" w:lastColumn="0" w:oddVBand="0" w:evenVBand="0" w:oddHBand="0" w:evenHBand="0" w:firstRowFirstColumn="0" w:firstRowLastColumn="0" w:lastRowFirstColumn="0" w:lastRowLastColumn="0"/>
            <w:tcW w:w="1766" w:type="pct"/>
            <w:noWrap/>
            <w:hideMark/>
          </w:tcPr>
          <w:p w:rsidR="004C5696" w:rsidRPr="00895566" w:rsidRDefault="004C5696" w:rsidP="004C5696">
            <w:pPr>
              <w:jc w:val="left"/>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Machinery operators</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1,299</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1,258</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1,135</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690</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723</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486</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5,590</w:t>
            </w:r>
          </w:p>
        </w:tc>
      </w:tr>
      <w:tr w:rsidR="004C5696" w:rsidRPr="00895566" w:rsidTr="004C5696">
        <w:trPr>
          <w:trHeight w:val="292"/>
        </w:trPr>
        <w:tc>
          <w:tcPr>
            <w:cnfStyle w:val="001000000000" w:firstRow="0" w:lastRow="0" w:firstColumn="1" w:lastColumn="0" w:oddVBand="0" w:evenVBand="0" w:oddHBand="0" w:evenHBand="0" w:firstRowFirstColumn="0" w:firstRowLastColumn="0" w:lastRowFirstColumn="0" w:lastRowLastColumn="0"/>
            <w:tcW w:w="1766" w:type="pct"/>
            <w:noWrap/>
            <w:hideMark/>
          </w:tcPr>
          <w:p w:rsidR="004C5696" w:rsidRPr="00895566" w:rsidRDefault="004C5696" w:rsidP="004C5696">
            <w:pPr>
              <w:jc w:val="left"/>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Agricultural workers and labourers</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764</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472</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262</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205</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219</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106</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2,028</w:t>
            </w:r>
          </w:p>
        </w:tc>
      </w:tr>
      <w:tr w:rsidR="004C5696" w:rsidRPr="00895566" w:rsidTr="004C5696">
        <w:trPr>
          <w:trHeight w:val="292"/>
        </w:trPr>
        <w:tc>
          <w:tcPr>
            <w:cnfStyle w:val="001000000000" w:firstRow="0" w:lastRow="0" w:firstColumn="1" w:lastColumn="0" w:oddVBand="0" w:evenVBand="0" w:oddHBand="0" w:evenHBand="0" w:firstRowFirstColumn="0" w:firstRowLastColumn="0" w:lastRowFirstColumn="0" w:lastRowLastColumn="0"/>
            <w:tcW w:w="1766" w:type="pct"/>
            <w:noWrap/>
            <w:hideMark/>
          </w:tcPr>
          <w:p w:rsidR="004C5696" w:rsidRPr="00895566" w:rsidRDefault="004C5696" w:rsidP="004C5696">
            <w:pPr>
              <w:jc w:val="left"/>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Unemployed</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b/>
                <w:color w:val="000000"/>
                <w:sz w:val="20"/>
                <w:szCs w:val="20"/>
                <w:lang w:eastAsia="en-CA"/>
              </w:rPr>
            </w:pPr>
            <w:r w:rsidRPr="00271E89">
              <w:rPr>
                <w:rFonts w:cs="Times New Roman"/>
                <w:b/>
                <w:color w:val="FF0000"/>
                <w:sz w:val="20"/>
                <w:szCs w:val="20"/>
              </w:rPr>
              <w:t>40,988</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16,802</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8,257</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3,986</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2,300</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2,311</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74,644</w:t>
            </w:r>
          </w:p>
        </w:tc>
      </w:tr>
      <w:tr w:rsidR="004C5696" w:rsidRPr="00895566" w:rsidTr="004C5696">
        <w:trPr>
          <w:trHeight w:val="292"/>
        </w:trPr>
        <w:tc>
          <w:tcPr>
            <w:cnfStyle w:val="001000000000" w:firstRow="0" w:lastRow="0" w:firstColumn="1" w:lastColumn="0" w:oddVBand="0" w:evenVBand="0" w:oddHBand="0" w:evenHBand="0" w:firstRowFirstColumn="0" w:firstRowLastColumn="0" w:lastRowFirstColumn="0" w:lastRowLastColumn="0"/>
            <w:tcW w:w="1766" w:type="pct"/>
            <w:noWrap/>
            <w:hideMark/>
          </w:tcPr>
          <w:p w:rsidR="004C5696" w:rsidRPr="00895566" w:rsidRDefault="004C5696" w:rsidP="004C5696">
            <w:pPr>
              <w:jc w:val="left"/>
              <w:rPr>
                <w:rFonts w:eastAsia="Times New Roman" w:cs="Times New Roman"/>
                <w:b w:val="0"/>
                <w:color w:val="000000"/>
                <w:sz w:val="20"/>
                <w:szCs w:val="20"/>
                <w:lang w:eastAsia="en-CA"/>
              </w:rPr>
            </w:pPr>
            <w:r w:rsidRPr="00895566">
              <w:rPr>
                <w:rFonts w:eastAsia="Times New Roman" w:cs="Times New Roman"/>
                <w:b w:val="0"/>
                <w:color w:val="000000"/>
                <w:sz w:val="20"/>
                <w:szCs w:val="20"/>
                <w:lang w:eastAsia="en-CA"/>
              </w:rPr>
              <w:t>Not in Labour Force</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-49,382</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-24,567</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-13,282</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-7,483</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-6,231</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-4,525</w:t>
            </w:r>
          </w:p>
        </w:tc>
        <w:tc>
          <w:tcPr>
            <w:tcW w:w="462" w:type="pct"/>
            <w:noWrap/>
            <w:vAlign w:val="bottom"/>
            <w:hideMark/>
          </w:tcPr>
          <w:p w:rsidR="004C5696" w:rsidRPr="00271E89" w:rsidRDefault="004C5696" w:rsidP="004C5696">
            <w:pPr>
              <w:jc w:val="right"/>
              <w:cnfStyle w:val="000000000000" w:firstRow="0" w:lastRow="0" w:firstColumn="0" w:lastColumn="0" w:oddVBand="0" w:evenVBand="0" w:oddHBand="0" w:evenHBand="0" w:firstRowFirstColumn="0" w:firstRowLastColumn="0" w:lastRowFirstColumn="0" w:lastRowLastColumn="0"/>
              <w:rPr>
                <w:rFonts w:eastAsia="Times New Roman" w:cs="Times New Roman"/>
                <w:color w:val="000000"/>
                <w:sz w:val="20"/>
                <w:szCs w:val="20"/>
                <w:lang w:eastAsia="en-CA"/>
              </w:rPr>
            </w:pPr>
            <w:r w:rsidRPr="00271E89">
              <w:rPr>
                <w:rFonts w:cs="Times New Roman"/>
                <w:color w:val="000000"/>
                <w:sz w:val="20"/>
                <w:szCs w:val="20"/>
              </w:rPr>
              <w:t>-105,470</w:t>
            </w:r>
          </w:p>
        </w:tc>
      </w:tr>
    </w:tbl>
    <w:p w:rsidR="004C5696" w:rsidRDefault="004C5696" w:rsidP="004C5696">
      <w:pPr>
        <w:rPr>
          <w:sz w:val="20"/>
          <w:szCs w:val="20"/>
          <w:lang w:val="en-GB" w:eastAsia="en-CA"/>
        </w:rPr>
      </w:pPr>
      <w:r w:rsidRPr="007100EF">
        <w:rPr>
          <w:sz w:val="20"/>
          <w:szCs w:val="20"/>
          <w:lang w:val="en-GB" w:eastAsia="en-CA"/>
        </w:rPr>
        <w:t>Source: Simulations by Global Affairs Canada, Office of the Chief Economist</w:t>
      </w:r>
      <w:bookmarkEnd w:id="13"/>
    </w:p>
    <w:sectPr w:rsidR="004C569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C6B" w:rsidRDefault="008A7C6B" w:rsidP="004C5696">
      <w:pPr>
        <w:spacing w:after="0" w:line="240" w:lineRule="auto"/>
      </w:pPr>
      <w:r>
        <w:separator/>
      </w:r>
    </w:p>
  </w:endnote>
  <w:endnote w:type="continuationSeparator" w:id="0">
    <w:p w:rsidR="008A7C6B" w:rsidRDefault="008A7C6B" w:rsidP="004C56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Lucida Grande">
    <w:altName w:val="Times New Roman"/>
    <w:charset w:val="00"/>
    <w:family w:val="swiss"/>
    <w:pitch w:val="variable"/>
    <w:sig w:usb0="E1000AEF" w:usb1="5000A1FF" w:usb2="00000000" w:usb3="00000000" w:csb0="000001B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8552730"/>
      <w:docPartObj>
        <w:docPartGallery w:val="Page Numbers (Bottom of Page)"/>
        <w:docPartUnique/>
      </w:docPartObj>
    </w:sdtPr>
    <w:sdtEndPr>
      <w:rPr>
        <w:noProof/>
      </w:rPr>
    </w:sdtEndPr>
    <w:sdtContent>
      <w:p w:rsidR="009066DE" w:rsidRDefault="009066DE">
        <w:pPr>
          <w:pStyle w:val="Footer"/>
          <w:jc w:val="right"/>
        </w:pPr>
        <w:r>
          <w:fldChar w:fldCharType="begin"/>
        </w:r>
        <w:r>
          <w:instrText xml:space="preserve"> PAGE   \* MERGEFORMAT </w:instrText>
        </w:r>
        <w:r>
          <w:fldChar w:fldCharType="separate"/>
        </w:r>
        <w:r w:rsidR="00FD7744">
          <w:rPr>
            <w:noProof/>
          </w:rPr>
          <w:t>12</w:t>
        </w:r>
        <w:r>
          <w:rPr>
            <w:noProof/>
          </w:rPr>
          <w:fldChar w:fldCharType="end"/>
        </w:r>
      </w:p>
    </w:sdtContent>
  </w:sdt>
  <w:p w:rsidR="00DD290C" w:rsidRDefault="00DD290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0386509"/>
      <w:docPartObj>
        <w:docPartGallery w:val="Page Numbers (Bottom of Page)"/>
        <w:docPartUnique/>
      </w:docPartObj>
    </w:sdtPr>
    <w:sdtEndPr>
      <w:rPr>
        <w:noProof/>
      </w:rPr>
    </w:sdtEndPr>
    <w:sdtContent>
      <w:p w:rsidR="00DD290C" w:rsidRDefault="00DD290C">
        <w:pPr>
          <w:pStyle w:val="Footer"/>
          <w:jc w:val="right"/>
        </w:pPr>
        <w:r>
          <w:fldChar w:fldCharType="begin"/>
        </w:r>
        <w:r>
          <w:instrText xml:space="preserve"> PAGE   \* MERGEFORMAT </w:instrText>
        </w:r>
        <w:r>
          <w:fldChar w:fldCharType="separate"/>
        </w:r>
        <w:r w:rsidR="00FD7744">
          <w:rPr>
            <w:noProof/>
          </w:rPr>
          <w:t>10</w:t>
        </w:r>
        <w:r>
          <w:rPr>
            <w:noProof/>
          </w:rPr>
          <w:fldChar w:fldCharType="end"/>
        </w:r>
      </w:p>
    </w:sdtContent>
  </w:sdt>
  <w:p w:rsidR="00DD290C" w:rsidRDefault="00DD29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C6B" w:rsidRDefault="008A7C6B" w:rsidP="004C5696">
      <w:pPr>
        <w:spacing w:after="0" w:line="240" w:lineRule="auto"/>
      </w:pPr>
      <w:r>
        <w:separator/>
      </w:r>
    </w:p>
  </w:footnote>
  <w:footnote w:type="continuationSeparator" w:id="0">
    <w:p w:rsidR="008A7C6B" w:rsidRDefault="008A7C6B" w:rsidP="004C56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067AC"/>
    <w:multiLevelType w:val="hybridMultilevel"/>
    <w:tmpl w:val="FA6C974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Arial"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Arial"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Arial"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0E201CC9"/>
    <w:multiLevelType w:val="hybridMultilevel"/>
    <w:tmpl w:val="4A24A0B2"/>
    <w:lvl w:ilvl="0" w:tplc="4064BD5C">
      <w:start w:val="1"/>
      <w:numFmt w:val="bullet"/>
      <w:lvlText w:val=""/>
      <w:lvlJc w:val="left"/>
      <w:pPr>
        <w:ind w:left="720" w:hanging="360"/>
      </w:pPr>
      <w:rPr>
        <w:rFonts w:ascii="Wingdings" w:hAnsi="Wingdings" w:hint="default"/>
        <w:b w:val="0"/>
        <w:i w:val="0"/>
        <w:caps w:val="0"/>
        <w:strike w:val="0"/>
        <w:dstrike w:val="0"/>
        <w:vanish w:val="0"/>
        <w:color w:val="000000" w:themeColor="text1"/>
        <w:sz w:val="22"/>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48426E"/>
    <w:multiLevelType w:val="hybridMultilevel"/>
    <w:tmpl w:val="F76EC6AC"/>
    <w:lvl w:ilvl="0" w:tplc="7C88E672">
      <w:start w:val="1"/>
      <w:numFmt w:val="bullet"/>
      <w:pStyle w:val="Bulletpoint1"/>
      <w:lvlText w:val=""/>
      <w:lvlJc w:val="left"/>
      <w:pPr>
        <w:ind w:left="717" w:hanging="360"/>
      </w:pPr>
      <w:rPr>
        <w:rFonts w:ascii="Symbol" w:hAnsi="Symbol" w:hint="default"/>
        <w:color w:val="00AEF0"/>
      </w:rPr>
    </w:lvl>
    <w:lvl w:ilvl="1" w:tplc="E3EC8F56" w:tentative="1">
      <w:start w:val="1"/>
      <w:numFmt w:val="bullet"/>
      <w:lvlText w:val="o"/>
      <w:lvlJc w:val="left"/>
      <w:pPr>
        <w:ind w:left="1440" w:hanging="360"/>
      </w:pPr>
      <w:rPr>
        <w:rFonts w:ascii="Courier New" w:hAnsi="Courier New" w:cs="Courier New" w:hint="default"/>
      </w:rPr>
    </w:lvl>
    <w:lvl w:ilvl="2" w:tplc="0407001B" w:tentative="1">
      <w:start w:val="1"/>
      <w:numFmt w:val="bullet"/>
      <w:lvlText w:val=""/>
      <w:lvlJc w:val="left"/>
      <w:pPr>
        <w:ind w:left="2160" w:hanging="360"/>
      </w:pPr>
      <w:rPr>
        <w:rFonts w:ascii="Wingdings" w:hAnsi="Wingdings" w:hint="default"/>
      </w:rPr>
    </w:lvl>
    <w:lvl w:ilvl="3" w:tplc="0407000F" w:tentative="1">
      <w:start w:val="1"/>
      <w:numFmt w:val="bullet"/>
      <w:lvlText w:val=""/>
      <w:lvlJc w:val="left"/>
      <w:pPr>
        <w:ind w:left="2880" w:hanging="360"/>
      </w:pPr>
      <w:rPr>
        <w:rFonts w:ascii="Symbol" w:hAnsi="Symbol" w:hint="default"/>
      </w:rPr>
    </w:lvl>
    <w:lvl w:ilvl="4" w:tplc="04070019" w:tentative="1">
      <w:start w:val="1"/>
      <w:numFmt w:val="bullet"/>
      <w:lvlText w:val="o"/>
      <w:lvlJc w:val="left"/>
      <w:pPr>
        <w:ind w:left="3600" w:hanging="360"/>
      </w:pPr>
      <w:rPr>
        <w:rFonts w:ascii="Courier New" w:hAnsi="Courier New" w:cs="Courier New" w:hint="default"/>
      </w:rPr>
    </w:lvl>
    <w:lvl w:ilvl="5" w:tplc="0407001B" w:tentative="1">
      <w:start w:val="1"/>
      <w:numFmt w:val="bullet"/>
      <w:lvlText w:val=""/>
      <w:lvlJc w:val="left"/>
      <w:pPr>
        <w:ind w:left="4320" w:hanging="360"/>
      </w:pPr>
      <w:rPr>
        <w:rFonts w:ascii="Wingdings" w:hAnsi="Wingdings" w:hint="default"/>
      </w:rPr>
    </w:lvl>
    <w:lvl w:ilvl="6" w:tplc="0407000F" w:tentative="1">
      <w:start w:val="1"/>
      <w:numFmt w:val="bullet"/>
      <w:lvlText w:val=""/>
      <w:lvlJc w:val="left"/>
      <w:pPr>
        <w:ind w:left="5040" w:hanging="360"/>
      </w:pPr>
      <w:rPr>
        <w:rFonts w:ascii="Symbol" w:hAnsi="Symbol" w:hint="default"/>
      </w:rPr>
    </w:lvl>
    <w:lvl w:ilvl="7" w:tplc="04070019" w:tentative="1">
      <w:start w:val="1"/>
      <w:numFmt w:val="bullet"/>
      <w:lvlText w:val="o"/>
      <w:lvlJc w:val="left"/>
      <w:pPr>
        <w:ind w:left="5760" w:hanging="360"/>
      </w:pPr>
      <w:rPr>
        <w:rFonts w:ascii="Courier New" w:hAnsi="Courier New" w:cs="Courier New" w:hint="default"/>
      </w:rPr>
    </w:lvl>
    <w:lvl w:ilvl="8" w:tplc="0407001B" w:tentative="1">
      <w:start w:val="1"/>
      <w:numFmt w:val="bullet"/>
      <w:lvlText w:val=""/>
      <w:lvlJc w:val="left"/>
      <w:pPr>
        <w:ind w:left="6480" w:hanging="360"/>
      </w:pPr>
      <w:rPr>
        <w:rFonts w:ascii="Wingdings" w:hAnsi="Wingdings" w:hint="default"/>
      </w:rPr>
    </w:lvl>
  </w:abstractNum>
  <w:abstractNum w:abstractNumId="3">
    <w:nsid w:val="1128665C"/>
    <w:multiLevelType w:val="hybridMultilevel"/>
    <w:tmpl w:val="55AC026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nsid w:val="12A7418E"/>
    <w:multiLevelType w:val="hybridMultilevel"/>
    <w:tmpl w:val="402E7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623268"/>
    <w:multiLevelType w:val="hybridMultilevel"/>
    <w:tmpl w:val="7A48AC2C"/>
    <w:lvl w:ilvl="0" w:tplc="5F4AF9B4">
      <w:start w:val="1"/>
      <w:numFmt w:val="lowerLetter"/>
      <w:lvlText w:val="(%1)"/>
      <w:lvlJc w:val="left"/>
      <w:pPr>
        <w:ind w:left="720" w:hanging="360"/>
      </w:pPr>
      <w:rPr>
        <w:rFonts w:hint="default"/>
      </w:rPr>
    </w:lvl>
    <w:lvl w:ilvl="1" w:tplc="AB520430">
      <w:start w:val="1"/>
      <w:numFmt w:val="decimal"/>
      <w:lvlText w:val="(%2)"/>
      <w:lvlJc w:val="left"/>
      <w:pPr>
        <w:ind w:left="1440" w:hanging="360"/>
      </w:pPr>
      <w:rPr>
        <w:rFonts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nsid w:val="1482775B"/>
    <w:multiLevelType w:val="multilevel"/>
    <w:tmpl w:val="DA1E326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nsid w:val="14F70597"/>
    <w:multiLevelType w:val="hybridMultilevel"/>
    <w:tmpl w:val="5442F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7233E1B"/>
    <w:multiLevelType w:val="hybridMultilevel"/>
    <w:tmpl w:val="C6623878"/>
    <w:lvl w:ilvl="0" w:tplc="F91A19FA">
      <w:start w:val="1"/>
      <w:numFmt w:val="decimal"/>
      <w:lvlText w:val="(%1)"/>
      <w:lvlJc w:val="left"/>
      <w:pPr>
        <w:ind w:left="360" w:hanging="360"/>
      </w:pPr>
      <w:rPr>
        <w:rFonts w:ascii="Garamond" w:hAnsi="Garamond"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9">
    <w:nsid w:val="18ED03C9"/>
    <w:multiLevelType w:val="hybridMultilevel"/>
    <w:tmpl w:val="B6F21342"/>
    <w:lvl w:ilvl="0" w:tplc="191EFE30">
      <w:start w:val="1"/>
      <w:numFmt w:val="bullet"/>
      <w:lvlText w:val=""/>
      <w:lvlJc w:val="left"/>
      <w:pPr>
        <w:ind w:left="420" w:hanging="420"/>
      </w:pPr>
      <w:rPr>
        <w:rFonts w:ascii="Symbol" w:hAnsi="Symbo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0">
    <w:nsid w:val="1D573EC6"/>
    <w:multiLevelType w:val="hybridMultilevel"/>
    <w:tmpl w:val="9BCC6ECE"/>
    <w:lvl w:ilvl="0" w:tplc="FFFFFFFF">
      <w:start w:val="1"/>
      <w:numFmt w:val="bullet"/>
      <w:lvlText w:val=""/>
      <w:lvlJc w:val="left"/>
      <w:pPr>
        <w:ind w:left="1080" w:hanging="360"/>
      </w:pPr>
      <w:rPr>
        <w:rFonts w:ascii="Symbol" w:hAnsi="Symbol" w:hint="default"/>
        <w:color w:val="002395"/>
      </w:rPr>
    </w:lvl>
    <w:lvl w:ilvl="1" w:tplc="FFFFFFFF">
      <w:start w:val="1"/>
      <w:numFmt w:val="bullet"/>
      <w:lvlText w:val=""/>
      <w:lvlJc w:val="left"/>
      <w:pPr>
        <w:ind w:left="1800" w:hanging="360"/>
      </w:pPr>
      <w:rPr>
        <w:rFonts w:ascii="Symbol" w:hAnsi="Symbol" w:hint="default"/>
        <w:color w:val="002395"/>
      </w:rPr>
    </w:lvl>
    <w:lvl w:ilvl="2" w:tplc="5AAAB514">
      <w:numFmt w:val="bullet"/>
      <w:lvlText w:val="-"/>
      <w:lvlJc w:val="left"/>
      <w:pPr>
        <w:ind w:left="2520" w:hanging="360"/>
      </w:pPr>
      <w:rPr>
        <w:rFonts w:ascii="Verdana" w:eastAsia="Times New Roman" w:hAnsi="Verdana" w:cs="Times New Roman"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1">
    <w:nsid w:val="1F6B1207"/>
    <w:multiLevelType w:val="hybridMultilevel"/>
    <w:tmpl w:val="73F4C77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nsid w:val="20C727AD"/>
    <w:multiLevelType w:val="hybridMultilevel"/>
    <w:tmpl w:val="AED6C3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7215D5B"/>
    <w:multiLevelType w:val="hybridMultilevel"/>
    <w:tmpl w:val="6036942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nsid w:val="2B8F35A9"/>
    <w:multiLevelType w:val="hybridMultilevel"/>
    <w:tmpl w:val="601CAB44"/>
    <w:lvl w:ilvl="0" w:tplc="9F4A67CC">
      <w:start w:val="1"/>
      <w:numFmt w:val="bullet"/>
      <w:lvlText w:val=""/>
      <w:lvlJc w:val="left"/>
      <w:pPr>
        <w:ind w:left="420" w:hanging="420"/>
      </w:pPr>
      <w:rPr>
        <w:rFonts w:ascii="Wingdings" w:hAnsi="Wingdings" w:hint="default"/>
        <w:sz w:val="15"/>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nsid w:val="36F75C72"/>
    <w:multiLevelType w:val="hybridMultilevel"/>
    <w:tmpl w:val="64EC37C4"/>
    <w:lvl w:ilvl="0" w:tplc="F998E926">
      <w:start w:val="1"/>
      <w:numFmt w:val="bullet"/>
      <w:lvlText w:val=""/>
      <w:lvlJc w:val="left"/>
      <w:pPr>
        <w:ind w:left="720" w:hanging="360"/>
      </w:pPr>
      <w:rPr>
        <w:rFonts w:ascii="Symbol" w:hAnsi="Symbol" w:hint="default"/>
        <w:b w:val="0"/>
        <w:i w:val="0"/>
        <w:caps w:val="0"/>
        <w:strike w:val="0"/>
        <w:dstrike w:val="0"/>
        <w:vanish w:val="0"/>
        <w:sz w:val="22"/>
        <w:vertAlign w:val="baseline"/>
      </w:rPr>
    </w:lvl>
    <w:lvl w:ilvl="1" w:tplc="B2CCF2FE">
      <w:numFmt w:val="bullet"/>
      <w:lvlText w:val="•"/>
      <w:lvlJc w:val="left"/>
      <w:pPr>
        <w:ind w:left="1800" w:hanging="720"/>
      </w:pPr>
      <w:rPr>
        <w:rFonts w:ascii="Garamond" w:eastAsia="Arial Unicode MS" w:hAnsi="Garamond"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96D4DB5"/>
    <w:multiLevelType w:val="hybridMultilevel"/>
    <w:tmpl w:val="AA1EEC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3DE65EAC"/>
    <w:multiLevelType w:val="hybridMultilevel"/>
    <w:tmpl w:val="8DC687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4B10316"/>
    <w:multiLevelType w:val="hybridMultilevel"/>
    <w:tmpl w:val="223C9B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59702BD"/>
    <w:multiLevelType w:val="hybridMultilevel"/>
    <w:tmpl w:val="46B60B44"/>
    <w:lvl w:ilvl="0" w:tplc="74C89156">
      <w:start w:val="1"/>
      <w:numFmt w:val="bullet"/>
      <w:lvlText w:val=""/>
      <w:lvlJc w:val="left"/>
      <w:pPr>
        <w:ind w:left="720" w:hanging="360"/>
      </w:pPr>
      <w:rPr>
        <w:rFonts w:ascii="Wingdings" w:hAnsi="Wingdings" w:hint="default"/>
        <w:b w:val="0"/>
        <w:i w:val="0"/>
        <w:caps w:val="0"/>
        <w:strike w:val="0"/>
        <w:dstrike w:val="0"/>
        <w:vanish w:val="0"/>
        <w:color w:val="000000" w:themeColor="text1"/>
        <w:sz w:val="22"/>
        <w:vertAlign w:val="baseli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99B0257"/>
    <w:multiLevelType w:val="hybridMultilevel"/>
    <w:tmpl w:val="DA9C3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nsid w:val="4A2E1738"/>
    <w:multiLevelType w:val="hybridMultilevel"/>
    <w:tmpl w:val="35AC52F2"/>
    <w:lvl w:ilvl="0" w:tplc="2CC02D6E">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nsid w:val="5AC75F0A"/>
    <w:multiLevelType w:val="multilevel"/>
    <w:tmpl w:val="46884F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5BB2185C"/>
    <w:multiLevelType w:val="hybridMultilevel"/>
    <w:tmpl w:val="756AC1F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nsid w:val="5EC275F6"/>
    <w:multiLevelType w:val="hybridMultilevel"/>
    <w:tmpl w:val="E5F6CD6C"/>
    <w:lvl w:ilvl="0" w:tplc="04090001">
      <w:start w:val="1"/>
      <w:numFmt w:val="bullet"/>
      <w:lvlText w:val=""/>
      <w:lvlJc w:val="left"/>
      <w:pPr>
        <w:ind w:left="720" w:hanging="360"/>
      </w:pPr>
      <w:rPr>
        <w:rFonts w:ascii="Symbol" w:hAnsi="Symbol" w:hint="default"/>
      </w:rPr>
    </w:lvl>
    <w:lvl w:ilvl="1" w:tplc="04090017">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08C1B50"/>
    <w:multiLevelType w:val="hybridMultilevel"/>
    <w:tmpl w:val="12BE890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nsid w:val="63810C1D"/>
    <w:multiLevelType w:val="hybridMultilevel"/>
    <w:tmpl w:val="5DFE67F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nsid w:val="63BB3BF2"/>
    <w:multiLevelType w:val="hybridMultilevel"/>
    <w:tmpl w:val="CB923832"/>
    <w:lvl w:ilvl="0" w:tplc="8F206894">
      <w:start w:val="1"/>
      <w:numFmt w:val="decimal"/>
      <w:lvlText w:val="(%1)"/>
      <w:lvlJc w:val="left"/>
      <w:pPr>
        <w:ind w:left="720" w:hanging="360"/>
      </w:pPr>
      <w:rPr>
        <w:rFonts w:hint="default"/>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nsid w:val="64EE5808"/>
    <w:multiLevelType w:val="hybridMultilevel"/>
    <w:tmpl w:val="E9BC5010"/>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nsid w:val="66272CAC"/>
    <w:multiLevelType w:val="hybridMultilevel"/>
    <w:tmpl w:val="1B48F3D0"/>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nsid w:val="66F50430"/>
    <w:multiLevelType w:val="hybridMultilevel"/>
    <w:tmpl w:val="CA524B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791614A"/>
    <w:multiLevelType w:val="hybridMultilevel"/>
    <w:tmpl w:val="4AFC0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80A248F"/>
    <w:multiLevelType w:val="hybridMultilevel"/>
    <w:tmpl w:val="72302AD2"/>
    <w:lvl w:ilvl="0" w:tplc="2132F56C">
      <w:start w:val="1"/>
      <w:numFmt w:val="bullet"/>
      <w:lvlText w:val="―"/>
      <w:lvlJc w:val="left"/>
      <w:pPr>
        <w:ind w:left="720" w:hanging="360"/>
      </w:pPr>
      <w:rPr>
        <w:rFonts w:ascii="Garamond" w:hAnsi="Garamond" w:hint="default"/>
        <w:b w:val="0"/>
        <w:i w:val="0"/>
        <w:caps w:val="0"/>
        <w:strike w:val="0"/>
        <w:dstrike w:val="0"/>
        <w:vanish w:val="0"/>
        <w:sz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F2367CB"/>
    <w:multiLevelType w:val="hybridMultilevel"/>
    <w:tmpl w:val="27180988"/>
    <w:lvl w:ilvl="0" w:tplc="8F206894">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nsid w:val="6FB121EA"/>
    <w:multiLevelType w:val="hybridMultilevel"/>
    <w:tmpl w:val="9218288C"/>
    <w:lvl w:ilvl="0" w:tplc="85A0DBE0">
      <w:start w:val="1"/>
      <w:numFmt w:val="low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5">
    <w:nsid w:val="6FF42F04"/>
    <w:multiLevelType w:val="hybridMultilevel"/>
    <w:tmpl w:val="4DD2CCEC"/>
    <w:lvl w:ilvl="0" w:tplc="92DC6486">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12039E6"/>
    <w:multiLevelType w:val="hybridMultilevel"/>
    <w:tmpl w:val="B2F6FDF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nsid w:val="72FB69CE"/>
    <w:multiLevelType w:val="hybridMultilevel"/>
    <w:tmpl w:val="978C8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5B90ABF"/>
    <w:multiLevelType w:val="hybridMultilevel"/>
    <w:tmpl w:val="290E7D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nsid w:val="7A5D0393"/>
    <w:multiLevelType w:val="hybridMultilevel"/>
    <w:tmpl w:val="D6E82DEC"/>
    <w:lvl w:ilvl="0" w:tplc="F91A19FA">
      <w:start w:val="1"/>
      <w:numFmt w:val="decimal"/>
      <w:lvlText w:val="(%1)"/>
      <w:lvlJc w:val="left"/>
      <w:pPr>
        <w:ind w:left="360" w:hanging="360"/>
      </w:pPr>
      <w:rPr>
        <w:rFonts w:ascii="Garamond" w:hAnsi="Garamond"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nsid w:val="7C471502"/>
    <w:multiLevelType w:val="hybridMultilevel"/>
    <w:tmpl w:val="2626D1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nsid w:val="7E5377DF"/>
    <w:multiLevelType w:val="hybridMultilevel"/>
    <w:tmpl w:val="248A139E"/>
    <w:lvl w:ilvl="0" w:tplc="0407000F">
      <w:start w:val="1"/>
      <w:numFmt w:val="decimal"/>
      <w:lvlText w:val="%1."/>
      <w:lvlJc w:val="left"/>
      <w:pPr>
        <w:ind w:left="360" w:hanging="360"/>
      </w:p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6"/>
  </w:num>
  <w:num w:numId="2">
    <w:abstractNumId w:val="34"/>
  </w:num>
  <w:num w:numId="3">
    <w:abstractNumId w:val="7"/>
  </w:num>
  <w:num w:numId="4">
    <w:abstractNumId w:val="18"/>
  </w:num>
  <w:num w:numId="5">
    <w:abstractNumId w:val="5"/>
  </w:num>
  <w:num w:numId="6">
    <w:abstractNumId w:val="21"/>
  </w:num>
  <w:num w:numId="7">
    <w:abstractNumId w:val="2"/>
  </w:num>
  <w:num w:numId="8">
    <w:abstractNumId w:val="10"/>
  </w:num>
  <w:num w:numId="9">
    <w:abstractNumId w:val="41"/>
  </w:num>
  <w:num w:numId="10">
    <w:abstractNumId w:val="30"/>
  </w:num>
  <w:num w:numId="11">
    <w:abstractNumId w:val="28"/>
  </w:num>
  <w:num w:numId="12">
    <w:abstractNumId w:val="37"/>
  </w:num>
  <w:num w:numId="13">
    <w:abstractNumId w:val="31"/>
  </w:num>
  <w:num w:numId="14">
    <w:abstractNumId w:val="12"/>
  </w:num>
  <w:num w:numId="15">
    <w:abstractNumId w:val="24"/>
  </w:num>
  <w:num w:numId="16">
    <w:abstractNumId w:val="25"/>
  </w:num>
  <w:num w:numId="17">
    <w:abstractNumId w:val="20"/>
  </w:num>
  <w:num w:numId="18">
    <w:abstractNumId w:val="19"/>
  </w:num>
  <w:num w:numId="19">
    <w:abstractNumId w:val="1"/>
  </w:num>
  <w:num w:numId="20">
    <w:abstractNumId w:val="15"/>
  </w:num>
  <w:num w:numId="21">
    <w:abstractNumId w:val="32"/>
  </w:num>
  <w:num w:numId="22">
    <w:abstractNumId w:val="27"/>
  </w:num>
  <w:num w:numId="23">
    <w:abstractNumId w:val="8"/>
  </w:num>
  <w:num w:numId="24">
    <w:abstractNumId w:val="33"/>
  </w:num>
  <w:num w:numId="25">
    <w:abstractNumId w:val="29"/>
  </w:num>
  <w:num w:numId="26">
    <w:abstractNumId w:val="14"/>
  </w:num>
  <w:num w:numId="27">
    <w:abstractNumId w:val="16"/>
  </w:num>
  <w:num w:numId="28">
    <w:abstractNumId w:val="11"/>
  </w:num>
  <w:num w:numId="29">
    <w:abstractNumId w:val="0"/>
  </w:num>
  <w:num w:numId="30">
    <w:abstractNumId w:val="40"/>
  </w:num>
  <w:num w:numId="31">
    <w:abstractNumId w:val="36"/>
  </w:num>
  <w:num w:numId="32">
    <w:abstractNumId w:val="3"/>
  </w:num>
  <w:num w:numId="33">
    <w:abstractNumId w:val="23"/>
  </w:num>
  <w:num w:numId="34">
    <w:abstractNumId w:val="13"/>
  </w:num>
  <w:num w:numId="35">
    <w:abstractNumId w:val="26"/>
  </w:num>
  <w:num w:numId="36">
    <w:abstractNumId w:val="17"/>
  </w:num>
  <w:num w:numId="37">
    <w:abstractNumId w:val="22"/>
  </w:num>
  <w:num w:numId="38">
    <w:abstractNumId w:val="9"/>
  </w:num>
  <w:num w:numId="39">
    <w:abstractNumId w:val="4"/>
  </w:num>
  <w:num w:numId="40">
    <w:abstractNumId w:val="38"/>
  </w:num>
  <w:num w:numId="41">
    <w:abstractNumId w:val="39"/>
  </w:num>
  <w:num w:numId="4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696"/>
    <w:rsid w:val="00080A42"/>
    <w:rsid w:val="00114D2A"/>
    <w:rsid w:val="00292C98"/>
    <w:rsid w:val="002A024D"/>
    <w:rsid w:val="003046F5"/>
    <w:rsid w:val="00310A1B"/>
    <w:rsid w:val="004C5696"/>
    <w:rsid w:val="004E2BA0"/>
    <w:rsid w:val="004E5A4F"/>
    <w:rsid w:val="005114D4"/>
    <w:rsid w:val="0054506D"/>
    <w:rsid w:val="005854DA"/>
    <w:rsid w:val="005D1A9F"/>
    <w:rsid w:val="005F3629"/>
    <w:rsid w:val="006801D1"/>
    <w:rsid w:val="00710DE6"/>
    <w:rsid w:val="00846215"/>
    <w:rsid w:val="00852969"/>
    <w:rsid w:val="008A7C6B"/>
    <w:rsid w:val="008B3CBF"/>
    <w:rsid w:val="008D0986"/>
    <w:rsid w:val="008E6F1C"/>
    <w:rsid w:val="009066DE"/>
    <w:rsid w:val="009C6117"/>
    <w:rsid w:val="00AC7CA3"/>
    <w:rsid w:val="00CF6D8E"/>
    <w:rsid w:val="00D40B5C"/>
    <w:rsid w:val="00DD290C"/>
    <w:rsid w:val="00E35113"/>
    <w:rsid w:val="00FB55AF"/>
    <w:rsid w:val="00FD0E2C"/>
    <w:rsid w:val="00FD7744"/>
    <w:rsid w:val="00FE095F"/>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696"/>
    <w:pPr>
      <w:jc w:val="both"/>
    </w:pPr>
    <w:rPr>
      <w:rFonts w:ascii="Times New Roman" w:hAnsi="Times New Roman"/>
      <w:sz w:val="24"/>
      <w:szCs w:val="24"/>
      <w:lang w:eastAsia="de-DE"/>
    </w:rPr>
  </w:style>
  <w:style w:type="paragraph" w:styleId="Heading1">
    <w:name w:val="heading 1"/>
    <w:basedOn w:val="Normal"/>
    <w:next w:val="Normal"/>
    <w:link w:val="Heading1Char"/>
    <w:qFormat/>
    <w:rsid w:val="004C5696"/>
    <w:pPr>
      <w:keepNext/>
      <w:keepLines/>
      <w:numPr>
        <w:numId w:val="1"/>
      </w:numPr>
      <w:pBdr>
        <w:bottom w:val="single" w:sz="4" w:space="1" w:color="595959" w:themeColor="text1" w:themeTint="A6"/>
      </w:pBdr>
      <w:spacing w:before="240" w:after="160" w:line="259" w:lineRule="auto"/>
      <w:outlineLvl w:val="0"/>
    </w:pPr>
    <w:rPr>
      <w:rFonts w:eastAsiaTheme="majorEastAsia" w:cs="Times New Roman"/>
      <w:bCs/>
      <w:noProof/>
      <w:color w:val="000000" w:themeColor="text1"/>
      <w:sz w:val="32"/>
      <w:szCs w:val="32"/>
      <w:lang w:val="en-GB" w:eastAsia="en-CA"/>
    </w:rPr>
  </w:style>
  <w:style w:type="paragraph" w:styleId="Heading2">
    <w:name w:val="heading 2"/>
    <w:basedOn w:val="Normal"/>
    <w:next w:val="Normal"/>
    <w:link w:val="Heading2Char"/>
    <w:unhideWhenUsed/>
    <w:qFormat/>
    <w:rsid w:val="004C5696"/>
    <w:pPr>
      <w:keepNext/>
      <w:keepLines/>
      <w:numPr>
        <w:ilvl w:val="1"/>
        <w:numId w:val="1"/>
      </w:numPr>
      <w:spacing w:before="360" w:after="0" w:line="259" w:lineRule="auto"/>
      <w:outlineLvl w:val="1"/>
    </w:pPr>
    <w:rPr>
      <w:rFonts w:eastAsiaTheme="majorEastAsia" w:cs="Times New Roman"/>
      <w:b/>
      <w:bCs/>
      <w:noProof/>
      <w:color w:val="000000" w:themeColor="text1"/>
      <w:lang w:val="en-GB" w:eastAsia="en-CA"/>
    </w:rPr>
  </w:style>
  <w:style w:type="paragraph" w:styleId="Heading3">
    <w:name w:val="heading 3"/>
    <w:basedOn w:val="Normal"/>
    <w:next w:val="Normal"/>
    <w:link w:val="Heading3Char"/>
    <w:unhideWhenUsed/>
    <w:qFormat/>
    <w:rsid w:val="004C5696"/>
    <w:pPr>
      <w:keepNext/>
      <w:keepLines/>
      <w:numPr>
        <w:ilvl w:val="2"/>
        <w:numId w:val="1"/>
      </w:numPr>
      <w:spacing w:before="200" w:after="0" w:line="259" w:lineRule="auto"/>
      <w:outlineLvl w:val="2"/>
    </w:pPr>
    <w:rPr>
      <w:rFonts w:eastAsiaTheme="majorEastAsia" w:cs="Times New Roman"/>
      <w:b/>
      <w:bCs/>
      <w:noProof/>
      <w:color w:val="000000" w:themeColor="text1"/>
      <w:lang w:val="en-GB" w:eastAsia="en-CA"/>
    </w:rPr>
  </w:style>
  <w:style w:type="paragraph" w:styleId="Heading4">
    <w:name w:val="heading 4"/>
    <w:basedOn w:val="Normal"/>
    <w:next w:val="Normal"/>
    <w:link w:val="Heading4Char"/>
    <w:uiPriority w:val="9"/>
    <w:unhideWhenUsed/>
    <w:qFormat/>
    <w:rsid w:val="004C5696"/>
    <w:pPr>
      <w:keepNext/>
      <w:keepLines/>
      <w:numPr>
        <w:ilvl w:val="3"/>
        <w:numId w:val="1"/>
      </w:numPr>
      <w:spacing w:before="200" w:after="0" w:line="259" w:lineRule="auto"/>
      <w:outlineLvl w:val="3"/>
    </w:pPr>
    <w:rPr>
      <w:rFonts w:asciiTheme="majorHAnsi" w:eastAsiaTheme="majorEastAsia" w:hAnsiTheme="majorHAnsi" w:cstheme="majorBidi"/>
      <w:b/>
      <w:bCs/>
      <w:i/>
      <w:iCs/>
      <w:noProof/>
      <w:color w:val="000000" w:themeColor="text1"/>
      <w:lang w:val="en-GB" w:eastAsia="en-CA"/>
    </w:rPr>
  </w:style>
  <w:style w:type="paragraph" w:styleId="Heading5">
    <w:name w:val="heading 5"/>
    <w:basedOn w:val="Normal"/>
    <w:next w:val="Normal"/>
    <w:link w:val="Heading5Char"/>
    <w:unhideWhenUsed/>
    <w:qFormat/>
    <w:rsid w:val="004C5696"/>
    <w:pPr>
      <w:keepNext/>
      <w:keepLines/>
      <w:numPr>
        <w:ilvl w:val="4"/>
        <w:numId w:val="1"/>
      </w:numPr>
      <w:spacing w:before="200" w:after="0" w:line="259" w:lineRule="auto"/>
      <w:outlineLvl w:val="4"/>
    </w:pPr>
    <w:rPr>
      <w:rFonts w:asciiTheme="majorHAnsi" w:eastAsiaTheme="majorEastAsia" w:hAnsiTheme="majorHAnsi" w:cstheme="majorBidi"/>
      <w:noProof/>
      <w:color w:val="17365D" w:themeColor="text2" w:themeShade="BF"/>
      <w:lang w:val="en-GB" w:eastAsia="en-CA"/>
    </w:rPr>
  </w:style>
  <w:style w:type="paragraph" w:styleId="Heading6">
    <w:name w:val="heading 6"/>
    <w:basedOn w:val="Normal"/>
    <w:next w:val="Normal"/>
    <w:link w:val="Heading6Char"/>
    <w:unhideWhenUsed/>
    <w:qFormat/>
    <w:rsid w:val="004C5696"/>
    <w:pPr>
      <w:keepNext/>
      <w:keepLines/>
      <w:numPr>
        <w:ilvl w:val="5"/>
        <w:numId w:val="1"/>
      </w:numPr>
      <w:spacing w:before="200" w:after="0" w:line="259" w:lineRule="auto"/>
      <w:outlineLvl w:val="5"/>
    </w:pPr>
    <w:rPr>
      <w:rFonts w:asciiTheme="majorHAnsi" w:eastAsiaTheme="majorEastAsia" w:hAnsiTheme="majorHAnsi" w:cstheme="majorBidi"/>
      <w:i/>
      <w:iCs/>
      <w:noProof/>
      <w:color w:val="17365D" w:themeColor="text2" w:themeShade="BF"/>
      <w:lang w:val="en-GB" w:eastAsia="en-CA"/>
    </w:rPr>
  </w:style>
  <w:style w:type="paragraph" w:styleId="Heading7">
    <w:name w:val="heading 7"/>
    <w:basedOn w:val="Normal"/>
    <w:next w:val="Normal"/>
    <w:link w:val="Heading7Char"/>
    <w:unhideWhenUsed/>
    <w:qFormat/>
    <w:rsid w:val="004C5696"/>
    <w:pPr>
      <w:keepNext/>
      <w:keepLines/>
      <w:numPr>
        <w:ilvl w:val="6"/>
        <w:numId w:val="1"/>
      </w:numPr>
      <w:spacing w:before="200" w:after="0" w:line="259" w:lineRule="auto"/>
      <w:outlineLvl w:val="6"/>
    </w:pPr>
    <w:rPr>
      <w:rFonts w:asciiTheme="majorHAnsi" w:eastAsiaTheme="majorEastAsia" w:hAnsiTheme="majorHAnsi" w:cstheme="majorBidi"/>
      <w:i/>
      <w:iCs/>
      <w:noProof/>
      <w:color w:val="404040" w:themeColor="text1" w:themeTint="BF"/>
      <w:lang w:val="en-GB" w:eastAsia="en-CA"/>
    </w:rPr>
  </w:style>
  <w:style w:type="paragraph" w:styleId="Heading8">
    <w:name w:val="heading 8"/>
    <w:basedOn w:val="Normal"/>
    <w:next w:val="Normal"/>
    <w:link w:val="Heading8Char"/>
    <w:unhideWhenUsed/>
    <w:qFormat/>
    <w:rsid w:val="004C5696"/>
    <w:pPr>
      <w:keepNext/>
      <w:keepLines/>
      <w:numPr>
        <w:ilvl w:val="7"/>
        <w:numId w:val="1"/>
      </w:numPr>
      <w:spacing w:before="200" w:after="0" w:line="259" w:lineRule="auto"/>
      <w:outlineLvl w:val="7"/>
    </w:pPr>
    <w:rPr>
      <w:rFonts w:asciiTheme="majorHAnsi" w:eastAsiaTheme="majorEastAsia" w:hAnsiTheme="majorHAnsi" w:cstheme="majorBidi"/>
      <w:noProof/>
      <w:color w:val="404040" w:themeColor="text1" w:themeTint="BF"/>
      <w:sz w:val="20"/>
      <w:szCs w:val="20"/>
      <w:lang w:val="en-GB" w:eastAsia="en-CA"/>
    </w:rPr>
  </w:style>
  <w:style w:type="paragraph" w:styleId="Heading9">
    <w:name w:val="heading 9"/>
    <w:basedOn w:val="Normal"/>
    <w:next w:val="Normal"/>
    <w:link w:val="Heading9Char"/>
    <w:unhideWhenUsed/>
    <w:qFormat/>
    <w:rsid w:val="004C5696"/>
    <w:pPr>
      <w:keepNext/>
      <w:keepLines/>
      <w:numPr>
        <w:ilvl w:val="8"/>
        <w:numId w:val="1"/>
      </w:numPr>
      <w:spacing w:before="200" w:after="0" w:line="259" w:lineRule="auto"/>
      <w:outlineLvl w:val="8"/>
    </w:pPr>
    <w:rPr>
      <w:rFonts w:asciiTheme="majorHAnsi" w:eastAsiaTheme="majorEastAsia" w:hAnsiTheme="majorHAnsi" w:cstheme="majorBidi"/>
      <w:i/>
      <w:iCs/>
      <w:noProof/>
      <w:color w:val="404040" w:themeColor="text1" w:themeTint="BF"/>
      <w:sz w:val="20"/>
      <w:szCs w:val="20"/>
      <w:lang w:val="en-GB"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5696"/>
    <w:rPr>
      <w:rFonts w:ascii="Times New Roman" w:eastAsiaTheme="majorEastAsia" w:hAnsi="Times New Roman" w:cs="Times New Roman"/>
      <w:bCs/>
      <w:noProof/>
      <w:color w:val="000000" w:themeColor="text1"/>
      <w:sz w:val="32"/>
      <w:szCs w:val="32"/>
      <w:lang w:val="en-GB" w:eastAsia="en-CA"/>
    </w:rPr>
  </w:style>
  <w:style w:type="character" w:customStyle="1" w:styleId="Heading2Char">
    <w:name w:val="Heading 2 Char"/>
    <w:basedOn w:val="DefaultParagraphFont"/>
    <w:link w:val="Heading2"/>
    <w:rsid w:val="004C5696"/>
    <w:rPr>
      <w:rFonts w:ascii="Times New Roman" w:eastAsiaTheme="majorEastAsia" w:hAnsi="Times New Roman" w:cs="Times New Roman"/>
      <w:b/>
      <w:bCs/>
      <w:noProof/>
      <w:color w:val="000000" w:themeColor="text1"/>
      <w:sz w:val="24"/>
      <w:szCs w:val="24"/>
      <w:lang w:val="en-GB" w:eastAsia="en-CA"/>
    </w:rPr>
  </w:style>
  <w:style w:type="character" w:customStyle="1" w:styleId="Heading3Char">
    <w:name w:val="Heading 3 Char"/>
    <w:basedOn w:val="DefaultParagraphFont"/>
    <w:link w:val="Heading3"/>
    <w:rsid w:val="004C5696"/>
    <w:rPr>
      <w:rFonts w:ascii="Times New Roman" w:eastAsiaTheme="majorEastAsia" w:hAnsi="Times New Roman" w:cs="Times New Roman"/>
      <w:b/>
      <w:bCs/>
      <w:noProof/>
      <w:color w:val="000000" w:themeColor="text1"/>
      <w:sz w:val="24"/>
      <w:szCs w:val="24"/>
      <w:lang w:val="en-GB" w:eastAsia="en-CA"/>
    </w:rPr>
  </w:style>
  <w:style w:type="character" w:customStyle="1" w:styleId="Heading4Char">
    <w:name w:val="Heading 4 Char"/>
    <w:basedOn w:val="DefaultParagraphFont"/>
    <w:link w:val="Heading4"/>
    <w:uiPriority w:val="9"/>
    <w:rsid w:val="004C5696"/>
    <w:rPr>
      <w:rFonts w:asciiTheme="majorHAnsi" w:eastAsiaTheme="majorEastAsia" w:hAnsiTheme="majorHAnsi" w:cstheme="majorBidi"/>
      <w:b/>
      <w:bCs/>
      <w:i/>
      <w:iCs/>
      <w:noProof/>
      <w:color w:val="000000" w:themeColor="text1"/>
      <w:sz w:val="24"/>
      <w:szCs w:val="24"/>
      <w:lang w:val="en-GB" w:eastAsia="en-CA"/>
    </w:rPr>
  </w:style>
  <w:style w:type="character" w:customStyle="1" w:styleId="Heading5Char">
    <w:name w:val="Heading 5 Char"/>
    <w:basedOn w:val="DefaultParagraphFont"/>
    <w:link w:val="Heading5"/>
    <w:rsid w:val="004C5696"/>
    <w:rPr>
      <w:rFonts w:asciiTheme="majorHAnsi" w:eastAsiaTheme="majorEastAsia" w:hAnsiTheme="majorHAnsi" w:cstheme="majorBidi"/>
      <w:noProof/>
      <w:color w:val="17365D" w:themeColor="text2" w:themeShade="BF"/>
      <w:sz w:val="24"/>
      <w:szCs w:val="24"/>
      <w:lang w:val="en-GB" w:eastAsia="en-CA"/>
    </w:rPr>
  </w:style>
  <w:style w:type="character" w:customStyle="1" w:styleId="Heading6Char">
    <w:name w:val="Heading 6 Char"/>
    <w:basedOn w:val="DefaultParagraphFont"/>
    <w:link w:val="Heading6"/>
    <w:rsid w:val="004C5696"/>
    <w:rPr>
      <w:rFonts w:asciiTheme="majorHAnsi" w:eastAsiaTheme="majorEastAsia" w:hAnsiTheme="majorHAnsi" w:cstheme="majorBidi"/>
      <w:i/>
      <w:iCs/>
      <w:noProof/>
      <w:color w:val="17365D" w:themeColor="text2" w:themeShade="BF"/>
      <w:sz w:val="24"/>
      <w:szCs w:val="24"/>
      <w:lang w:val="en-GB" w:eastAsia="en-CA"/>
    </w:rPr>
  </w:style>
  <w:style w:type="character" w:customStyle="1" w:styleId="Heading7Char">
    <w:name w:val="Heading 7 Char"/>
    <w:basedOn w:val="DefaultParagraphFont"/>
    <w:link w:val="Heading7"/>
    <w:rsid w:val="004C5696"/>
    <w:rPr>
      <w:rFonts w:asciiTheme="majorHAnsi" w:eastAsiaTheme="majorEastAsia" w:hAnsiTheme="majorHAnsi" w:cstheme="majorBidi"/>
      <w:i/>
      <w:iCs/>
      <w:noProof/>
      <w:color w:val="404040" w:themeColor="text1" w:themeTint="BF"/>
      <w:sz w:val="24"/>
      <w:szCs w:val="24"/>
      <w:lang w:val="en-GB" w:eastAsia="en-CA"/>
    </w:rPr>
  </w:style>
  <w:style w:type="character" w:customStyle="1" w:styleId="Heading8Char">
    <w:name w:val="Heading 8 Char"/>
    <w:basedOn w:val="DefaultParagraphFont"/>
    <w:link w:val="Heading8"/>
    <w:rsid w:val="004C5696"/>
    <w:rPr>
      <w:rFonts w:asciiTheme="majorHAnsi" w:eastAsiaTheme="majorEastAsia" w:hAnsiTheme="majorHAnsi" w:cstheme="majorBidi"/>
      <w:noProof/>
      <w:color w:val="404040" w:themeColor="text1" w:themeTint="BF"/>
      <w:sz w:val="20"/>
      <w:szCs w:val="20"/>
      <w:lang w:val="en-GB" w:eastAsia="en-CA"/>
    </w:rPr>
  </w:style>
  <w:style w:type="character" w:customStyle="1" w:styleId="Heading9Char">
    <w:name w:val="Heading 9 Char"/>
    <w:basedOn w:val="DefaultParagraphFont"/>
    <w:link w:val="Heading9"/>
    <w:rsid w:val="004C5696"/>
    <w:rPr>
      <w:rFonts w:asciiTheme="majorHAnsi" w:eastAsiaTheme="majorEastAsia" w:hAnsiTheme="majorHAnsi" w:cstheme="majorBidi"/>
      <w:i/>
      <w:iCs/>
      <w:noProof/>
      <w:color w:val="404040" w:themeColor="text1" w:themeTint="BF"/>
      <w:sz w:val="20"/>
      <w:szCs w:val="20"/>
      <w:lang w:val="en-GB" w:eastAsia="en-CA"/>
    </w:rPr>
  </w:style>
  <w:style w:type="paragraph" w:styleId="FootnoteText">
    <w:name w:val="footnote text"/>
    <w:aliases w:val="fn,footnote text,FOOTNOTES,single space,Footnotes,ft,Footnote ak,fn cafc,Footnotes Char,Footnote ak Char,Footnotes Char Char,Footnote Text Char Char,fn Char Char,footnote text Char Char Char Ch,footnote text Char Char Char C,f,F"/>
    <w:basedOn w:val="Normal"/>
    <w:link w:val="FootnoteTextChar"/>
    <w:unhideWhenUsed/>
    <w:rsid w:val="004C5696"/>
    <w:pPr>
      <w:spacing w:after="0"/>
    </w:pPr>
    <w:rPr>
      <w:lang w:val="en-US" w:eastAsia="en-US"/>
    </w:rPr>
  </w:style>
  <w:style w:type="character" w:customStyle="1" w:styleId="FootnoteTextChar">
    <w:name w:val="Footnote Text Char"/>
    <w:aliases w:val="fn Char,footnote text Char,FOOTNOTES Char,single space Char,Footnotes Char1,ft Char,Footnote ak Char1,fn cafc Char,Footnotes Char Char1,Footnote ak Char Char,Footnotes Char Char Char,Footnote Text Char Char Char,fn Char Char Char"/>
    <w:basedOn w:val="DefaultParagraphFont"/>
    <w:link w:val="FootnoteText"/>
    <w:rsid w:val="004C5696"/>
    <w:rPr>
      <w:rFonts w:ascii="Times New Roman" w:hAnsi="Times New Roman"/>
      <w:sz w:val="24"/>
      <w:szCs w:val="24"/>
      <w:lang w:val="en-US" w:eastAsia="en-US"/>
    </w:rPr>
  </w:style>
  <w:style w:type="character" w:styleId="FootnoteReference">
    <w:name w:val="footnote reference"/>
    <w:aliases w:val="Ref,de nota al pie,註腳內容,Footnote Reference1,Ref1,de nota al pie1,de nota al pie + (Asian) MS Mincho,11 pt,Footnote symbol,Footnote,BVI fnr,Voetnootverwijzing,Times 10 Point,Exposant 3 Point,Appel note de bas de p,Footnote sign,fr,o"/>
    <w:basedOn w:val="DefaultParagraphFont"/>
    <w:unhideWhenUsed/>
    <w:rsid w:val="004C5696"/>
    <w:rPr>
      <w:vertAlign w:val="superscript"/>
    </w:rPr>
  </w:style>
  <w:style w:type="paragraph" w:styleId="ListParagraph">
    <w:name w:val="List Paragraph"/>
    <w:aliases w:val="Bullet Point,Bullet Points,Listenabsatz1,Bullet List Paragraph,List Paragraph1,Level 1 Bullet,Bullet List,Table of contents numbered,Liststycke SKL,Normal bullet 2,Bullet list,PROVERE 1,Bullet OFM"/>
    <w:basedOn w:val="Normal"/>
    <w:link w:val="ListParagraphChar"/>
    <w:uiPriority w:val="34"/>
    <w:qFormat/>
    <w:rsid w:val="004C5696"/>
    <w:pPr>
      <w:ind w:left="720"/>
      <w:contextualSpacing/>
    </w:pPr>
  </w:style>
  <w:style w:type="character" w:customStyle="1" w:styleId="ListParagraphChar">
    <w:name w:val="List Paragraph Char"/>
    <w:aliases w:val="Bullet Point Char,Bullet Points Char,Listenabsatz1 Char,Bullet List Paragraph Char,List Paragraph1 Char,Level 1 Bullet Char,Bullet List Char,Table of contents numbered Char,Liststycke SKL Char,Normal bullet 2 Char,Bullet list Char"/>
    <w:basedOn w:val="DefaultParagraphFont"/>
    <w:link w:val="ListParagraph"/>
    <w:uiPriority w:val="34"/>
    <w:locked/>
    <w:rsid w:val="004C5696"/>
    <w:rPr>
      <w:rFonts w:ascii="Times New Roman" w:hAnsi="Times New Roman"/>
      <w:sz w:val="24"/>
      <w:szCs w:val="24"/>
      <w:lang w:eastAsia="de-DE"/>
    </w:rPr>
  </w:style>
  <w:style w:type="character" w:styleId="Hyperlink">
    <w:name w:val="Hyperlink"/>
    <w:basedOn w:val="DefaultParagraphFont"/>
    <w:uiPriority w:val="99"/>
    <w:unhideWhenUsed/>
    <w:rsid w:val="004C5696"/>
    <w:rPr>
      <w:color w:val="0000FF" w:themeColor="hyperlink"/>
      <w:u w:val="single"/>
    </w:rPr>
  </w:style>
  <w:style w:type="character" w:styleId="FollowedHyperlink">
    <w:name w:val="FollowedHyperlink"/>
    <w:basedOn w:val="DefaultParagraphFont"/>
    <w:unhideWhenUsed/>
    <w:rsid w:val="004C5696"/>
    <w:rPr>
      <w:color w:val="800080" w:themeColor="followedHyperlink"/>
      <w:u w:val="single"/>
    </w:rPr>
  </w:style>
  <w:style w:type="character" w:customStyle="1" w:styleId="CommentTextChar">
    <w:name w:val="Comment Text Char"/>
    <w:basedOn w:val="DefaultParagraphFont"/>
    <w:link w:val="CommentText"/>
    <w:uiPriority w:val="99"/>
    <w:semiHidden/>
    <w:rsid w:val="004C5696"/>
    <w:rPr>
      <w:rFonts w:ascii="Times New Roman" w:hAnsi="Times New Roman"/>
      <w:sz w:val="24"/>
      <w:szCs w:val="24"/>
      <w:lang w:eastAsia="de-DE"/>
    </w:rPr>
  </w:style>
  <w:style w:type="paragraph" w:styleId="CommentText">
    <w:name w:val="annotation text"/>
    <w:basedOn w:val="Normal"/>
    <w:link w:val="CommentTextChar"/>
    <w:uiPriority w:val="99"/>
    <w:semiHidden/>
    <w:unhideWhenUsed/>
    <w:rsid w:val="004C5696"/>
    <w:pPr>
      <w:spacing w:line="240" w:lineRule="auto"/>
    </w:pPr>
  </w:style>
  <w:style w:type="character" w:customStyle="1" w:styleId="CommentSubjectChar">
    <w:name w:val="Comment Subject Char"/>
    <w:basedOn w:val="CommentTextChar"/>
    <w:link w:val="CommentSubject"/>
    <w:uiPriority w:val="99"/>
    <w:semiHidden/>
    <w:rsid w:val="004C5696"/>
    <w:rPr>
      <w:rFonts w:ascii="Times New Roman" w:hAnsi="Times New Roman"/>
      <w:b/>
      <w:bCs/>
      <w:sz w:val="20"/>
      <w:szCs w:val="20"/>
      <w:lang w:eastAsia="de-DE"/>
    </w:rPr>
  </w:style>
  <w:style w:type="paragraph" w:styleId="CommentSubject">
    <w:name w:val="annotation subject"/>
    <w:basedOn w:val="CommentText"/>
    <w:next w:val="CommentText"/>
    <w:link w:val="CommentSubjectChar"/>
    <w:uiPriority w:val="99"/>
    <w:semiHidden/>
    <w:unhideWhenUsed/>
    <w:rsid w:val="004C5696"/>
    <w:rPr>
      <w:b/>
      <w:bCs/>
      <w:sz w:val="20"/>
      <w:szCs w:val="20"/>
    </w:rPr>
  </w:style>
  <w:style w:type="paragraph" w:styleId="BalloonText">
    <w:name w:val="Balloon Text"/>
    <w:basedOn w:val="Normal"/>
    <w:link w:val="BalloonTextChar"/>
    <w:uiPriority w:val="99"/>
    <w:semiHidden/>
    <w:unhideWhenUsed/>
    <w:rsid w:val="004C569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5696"/>
    <w:rPr>
      <w:rFonts w:ascii="Lucida Grande" w:hAnsi="Lucida Grande" w:cs="Lucida Grande"/>
      <w:sz w:val="18"/>
      <w:szCs w:val="18"/>
      <w:lang w:eastAsia="de-DE"/>
    </w:rPr>
  </w:style>
  <w:style w:type="paragraph" w:customStyle="1" w:styleId="Body">
    <w:name w:val="Body"/>
    <w:basedOn w:val="Normal"/>
    <w:link w:val="BodyChar"/>
    <w:rsid w:val="004C5696"/>
    <w:pPr>
      <w:spacing w:after="240" w:line="240" w:lineRule="auto"/>
      <w:jc w:val="left"/>
    </w:pPr>
    <w:rPr>
      <w:rFonts w:ascii="Verdana" w:eastAsia="Times New Roman" w:hAnsi="Verdana" w:cs="Times New Roman"/>
      <w:sz w:val="18"/>
      <w:szCs w:val="20"/>
      <w:lang w:val="fr-FR" w:eastAsia="en-US"/>
    </w:rPr>
  </w:style>
  <w:style w:type="character" w:customStyle="1" w:styleId="BodyChar">
    <w:name w:val="Body Char"/>
    <w:link w:val="Body"/>
    <w:rsid w:val="004C5696"/>
    <w:rPr>
      <w:rFonts w:ascii="Verdana" w:eastAsia="Times New Roman" w:hAnsi="Verdana" w:cs="Times New Roman"/>
      <w:sz w:val="18"/>
      <w:szCs w:val="20"/>
      <w:lang w:val="fr-FR" w:eastAsia="en-US"/>
    </w:rPr>
  </w:style>
  <w:style w:type="character" w:styleId="SubtleEmphasis">
    <w:name w:val="Subtle Emphasis"/>
    <w:basedOn w:val="DefaultParagraphFont"/>
    <w:uiPriority w:val="19"/>
    <w:qFormat/>
    <w:rsid w:val="004C5696"/>
    <w:rPr>
      <w:i/>
      <w:iCs/>
      <w:color w:val="404040" w:themeColor="text1" w:themeTint="BF"/>
    </w:rPr>
  </w:style>
  <w:style w:type="paragraph" w:styleId="Footer">
    <w:name w:val="footer"/>
    <w:basedOn w:val="Normal"/>
    <w:link w:val="FooterChar"/>
    <w:uiPriority w:val="99"/>
    <w:rsid w:val="004C5696"/>
    <w:pPr>
      <w:tabs>
        <w:tab w:val="center" w:pos="4320"/>
        <w:tab w:val="right" w:pos="8640"/>
      </w:tabs>
      <w:spacing w:after="0" w:line="240" w:lineRule="auto"/>
      <w:jc w:val="left"/>
    </w:pPr>
    <w:rPr>
      <w:rFonts w:eastAsia="Times New Roman" w:cs="Times New Roman"/>
      <w:lang w:eastAsia="en-US"/>
    </w:rPr>
  </w:style>
  <w:style w:type="character" w:customStyle="1" w:styleId="FooterChar">
    <w:name w:val="Footer Char"/>
    <w:basedOn w:val="DefaultParagraphFont"/>
    <w:link w:val="Footer"/>
    <w:uiPriority w:val="99"/>
    <w:rsid w:val="004C5696"/>
    <w:rPr>
      <w:rFonts w:ascii="Times New Roman" w:eastAsia="Times New Roman" w:hAnsi="Times New Roman" w:cs="Times New Roman"/>
      <w:sz w:val="24"/>
      <w:szCs w:val="24"/>
      <w:lang w:eastAsia="en-US"/>
    </w:rPr>
  </w:style>
  <w:style w:type="character" w:styleId="PageNumber">
    <w:name w:val="page number"/>
    <w:basedOn w:val="DefaultParagraphFont"/>
    <w:rsid w:val="004C5696"/>
  </w:style>
  <w:style w:type="paragraph" w:styleId="BodyText">
    <w:name w:val="Body Text"/>
    <w:basedOn w:val="Normal"/>
    <w:link w:val="BodyTextChar"/>
    <w:rsid w:val="004C5696"/>
    <w:pPr>
      <w:spacing w:after="0" w:line="240" w:lineRule="exact"/>
    </w:pPr>
    <w:rPr>
      <w:rFonts w:eastAsia="Times New Roman" w:cs="Times New Roman"/>
      <w:lang w:val="en-US" w:eastAsia="en-US"/>
    </w:rPr>
  </w:style>
  <w:style w:type="character" w:customStyle="1" w:styleId="BodyTextChar">
    <w:name w:val="Body Text Char"/>
    <w:basedOn w:val="DefaultParagraphFont"/>
    <w:link w:val="BodyText"/>
    <w:rsid w:val="004C5696"/>
    <w:rPr>
      <w:rFonts w:ascii="Times New Roman" w:eastAsia="Times New Roman" w:hAnsi="Times New Roman" w:cs="Times New Roman"/>
      <w:sz w:val="24"/>
      <w:szCs w:val="24"/>
      <w:lang w:val="en-US" w:eastAsia="en-US"/>
    </w:rPr>
  </w:style>
  <w:style w:type="paragraph" w:styleId="Header">
    <w:name w:val="header"/>
    <w:basedOn w:val="Normal"/>
    <w:link w:val="HeaderChar"/>
    <w:uiPriority w:val="99"/>
    <w:rsid w:val="004C5696"/>
    <w:pPr>
      <w:tabs>
        <w:tab w:val="center" w:pos="4320"/>
        <w:tab w:val="right" w:pos="8640"/>
      </w:tabs>
      <w:spacing w:after="0" w:line="240" w:lineRule="auto"/>
      <w:jc w:val="left"/>
    </w:pPr>
    <w:rPr>
      <w:rFonts w:eastAsia="Times New Roman" w:cs="Times New Roman"/>
      <w:lang w:eastAsia="en-US"/>
    </w:rPr>
  </w:style>
  <w:style w:type="character" w:customStyle="1" w:styleId="HeaderChar">
    <w:name w:val="Header Char"/>
    <w:basedOn w:val="DefaultParagraphFont"/>
    <w:link w:val="Header"/>
    <w:uiPriority w:val="99"/>
    <w:rsid w:val="004C5696"/>
    <w:rPr>
      <w:rFonts w:ascii="Times New Roman" w:eastAsia="Times New Roman" w:hAnsi="Times New Roman" w:cs="Times New Roman"/>
      <w:sz w:val="24"/>
      <w:szCs w:val="24"/>
      <w:lang w:eastAsia="en-US"/>
    </w:rPr>
  </w:style>
  <w:style w:type="character" w:customStyle="1" w:styleId="st">
    <w:name w:val="st"/>
    <w:basedOn w:val="DefaultParagraphFont"/>
    <w:rsid w:val="004C5696"/>
  </w:style>
  <w:style w:type="character" w:styleId="Emphasis">
    <w:name w:val="Emphasis"/>
    <w:basedOn w:val="DefaultParagraphFont"/>
    <w:uiPriority w:val="20"/>
    <w:qFormat/>
    <w:rsid w:val="004C5696"/>
    <w:rPr>
      <w:i/>
      <w:iCs/>
    </w:rPr>
  </w:style>
  <w:style w:type="paragraph" w:styleId="Caption">
    <w:name w:val="caption"/>
    <w:basedOn w:val="Normal"/>
    <w:next w:val="Normal"/>
    <w:link w:val="CaptionChar"/>
    <w:unhideWhenUsed/>
    <w:qFormat/>
    <w:rsid w:val="004C5696"/>
    <w:pPr>
      <w:spacing w:after="0" w:line="240" w:lineRule="auto"/>
    </w:pPr>
    <w:rPr>
      <w:rFonts w:eastAsiaTheme="minorHAnsi" w:cs="Times New Roman"/>
      <w:b/>
      <w:iCs/>
      <w:color w:val="000000" w:themeColor="text1"/>
      <w:lang w:eastAsia="en-US"/>
    </w:rPr>
  </w:style>
  <w:style w:type="character" w:customStyle="1" w:styleId="CaptionChar">
    <w:name w:val="Caption Char"/>
    <w:link w:val="Caption"/>
    <w:rsid w:val="004C5696"/>
    <w:rPr>
      <w:rFonts w:ascii="Times New Roman" w:eastAsiaTheme="minorHAnsi" w:hAnsi="Times New Roman" w:cs="Times New Roman"/>
      <w:b/>
      <w:iCs/>
      <w:color w:val="000000" w:themeColor="text1"/>
      <w:sz w:val="24"/>
      <w:szCs w:val="24"/>
      <w:lang w:eastAsia="en-US"/>
    </w:rPr>
  </w:style>
  <w:style w:type="table" w:customStyle="1" w:styleId="GridTable1LightAccent1">
    <w:name w:val="Grid Table 1 Light Accent 1"/>
    <w:basedOn w:val="TableNormal"/>
    <w:uiPriority w:val="46"/>
    <w:rsid w:val="004C5696"/>
    <w:pPr>
      <w:spacing w:after="0" w:line="240" w:lineRule="auto"/>
    </w:pPr>
    <w:rPr>
      <w:rFonts w:eastAsiaTheme="minorHAnsi"/>
      <w:lang w:val="en-US"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Bulletpoint1">
    <w:name w:val="Bullet point1"/>
    <w:basedOn w:val="NormalIndent"/>
    <w:link w:val="Bulletpoint1Char"/>
    <w:rsid w:val="004C5696"/>
    <w:pPr>
      <w:numPr>
        <w:numId w:val="7"/>
      </w:numPr>
      <w:spacing w:after="120" w:line="240" w:lineRule="auto"/>
      <w:jc w:val="left"/>
    </w:pPr>
    <w:rPr>
      <w:rFonts w:ascii="Verdana" w:eastAsia="Times New Roman" w:hAnsi="Verdana" w:cs="Times New Roman"/>
      <w:sz w:val="18"/>
      <w:szCs w:val="20"/>
      <w:lang w:val="fr-FR" w:eastAsia="en-US"/>
    </w:rPr>
  </w:style>
  <w:style w:type="paragraph" w:styleId="NormalIndent">
    <w:name w:val="Normal Indent"/>
    <w:basedOn w:val="Normal"/>
    <w:uiPriority w:val="99"/>
    <w:semiHidden/>
    <w:unhideWhenUsed/>
    <w:rsid w:val="004C5696"/>
    <w:pPr>
      <w:ind w:left="720"/>
    </w:pPr>
  </w:style>
  <w:style w:type="character" w:customStyle="1" w:styleId="Bulletpoint1Char">
    <w:name w:val="Bullet point1 Char"/>
    <w:basedOn w:val="DefaultParagraphFont"/>
    <w:link w:val="Bulletpoint1"/>
    <w:rsid w:val="004C5696"/>
    <w:rPr>
      <w:rFonts w:ascii="Verdana" w:eastAsia="Times New Roman" w:hAnsi="Verdana" w:cs="Times New Roman"/>
      <w:sz w:val="18"/>
      <w:szCs w:val="20"/>
      <w:lang w:val="fr-FR" w:eastAsia="en-US"/>
    </w:rPr>
  </w:style>
  <w:style w:type="paragraph" w:styleId="TOCHeading">
    <w:name w:val="TOC Heading"/>
    <w:basedOn w:val="Heading1"/>
    <w:next w:val="Normal"/>
    <w:uiPriority w:val="39"/>
    <w:unhideWhenUsed/>
    <w:qFormat/>
    <w:rsid w:val="004C5696"/>
    <w:pPr>
      <w:numPr>
        <w:numId w:val="0"/>
      </w:numPr>
      <w:pBdr>
        <w:bottom w:val="none" w:sz="0" w:space="0" w:color="auto"/>
      </w:pBdr>
      <w:spacing w:after="0"/>
      <w:jc w:val="left"/>
      <w:outlineLvl w:val="9"/>
    </w:pPr>
    <w:rPr>
      <w:rFonts w:asciiTheme="majorHAnsi" w:hAnsiTheme="majorHAnsi" w:cstheme="majorBidi"/>
      <w:bCs w:val="0"/>
      <w:noProof w:val="0"/>
      <w:color w:val="365F91" w:themeColor="accent1" w:themeShade="BF"/>
      <w:lang w:val="en-US" w:eastAsia="en-US"/>
    </w:rPr>
  </w:style>
  <w:style w:type="paragraph" w:styleId="TOC1">
    <w:name w:val="toc 1"/>
    <w:basedOn w:val="Normal"/>
    <w:next w:val="Normal"/>
    <w:autoRedefine/>
    <w:uiPriority w:val="39"/>
    <w:unhideWhenUsed/>
    <w:rsid w:val="004C5696"/>
    <w:pPr>
      <w:spacing w:after="100"/>
    </w:pPr>
  </w:style>
  <w:style w:type="paragraph" w:styleId="TOC2">
    <w:name w:val="toc 2"/>
    <w:basedOn w:val="Normal"/>
    <w:next w:val="Normal"/>
    <w:autoRedefine/>
    <w:uiPriority w:val="39"/>
    <w:unhideWhenUsed/>
    <w:rsid w:val="004C5696"/>
    <w:pPr>
      <w:spacing w:after="100"/>
      <w:ind w:left="240"/>
    </w:pPr>
  </w:style>
  <w:style w:type="table" w:customStyle="1" w:styleId="GridTable1LightAccent5">
    <w:name w:val="Grid Table 1 Light Accent 5"/>
    <w:basedOn w:val="TableNormal"/>
    <w:uiPriority w:val="46"/>
    <w:rsid w:val="004C5696"/>
    <w:pPr>
      <w:spacing w:after="0" w:line="240" w:lineRule="auto"/>
    </w:pPr>
    <w:rPr>
      <w:rFonts w:eastAsiaTheme="minorHAnsi"/>
      <w:lang w:val="en-US"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Default">
    <w:name w:val="Default"/>
    <w:rsid w:val="004C5696"/>
    <w:pPr>
      <w:widowControl w:val="0"/>
      <w:autoSpaceDE w:val="0"/>
      <w:autoSpaceDN w:val="0"/>
      <w:adjustRightInd w:val="0"/>
      <w:spacing w:after="0" w:line="240" w:lineRule="auto"/>
    </w:pPr>
    <w:rPr>
      <w:rFonts w:ascii="Bookman Old Style" w:hAnsi="Bookman Old Style" w:cs="Bookman Old Style"/>
      <w:color w:val="000000"/>
      <w:sz w:val="24"/>
      <w:szCs w:val="24"/>
      <w:lang w:val="en-US" w:eastAsia="en-US"/>
    </w:rPr>
  </w:style>
  <w:style w:type="character" w:customStyle="1" w:styleId="apple-converted-space">
    <w:name w:val="apple-converted-space"/>
    <w:basedOn w:val="DefaultParagraphFont"/>
    <w:rsid w:val="002A024D"/>
  </w:style>
  <w:style w:type="character" w:customStyle="1" w:styleId="FootnoteChar">
    <w:name w:val="Footnote Char"/>
    <w:rsid w:val="002A024D"/>
    <w:rPr>
      <w:rFonts w:ascii="Times New Roman" w:eastAsia="SimSun" w:hAnsi="Times New Roman" w:cs="Times New Roman"/>
      <w:sz w:val="20"/>
      <w:szCs w:val="20"/>
      <w:lang w:val="en-AU"/>
    </w:rPr>
  </w:style>
  <w:style w:type="paragraph" w:styleId="NoSpacing">
    <w:name w:val="No Spacing"/>
    <w:link w:val="NoSpacingChar"/>
    <w:uiPriority w:val="1"/>
    <w:qFormat/>
    <w:rsid w:val="002A024D"/>
    <w:pPr>
      <w:spacing w:after="0" w:line="240" w:lineRule="auto"/>
    </w:pPr>
    <w:rPr>
      <w:lang w:val="en-US" w:eastAsia="en-US"/>
    </w:rPr>
  </w:style>
  <w:style w:type="character" w:customStyle="1" w:styleId="NoSpacingChar">
    <w:name w:val="No Spacing Char"/>
    <w:basedOn w:val="DefaultParagraphFont"/>
    <w:link w:val="NoSpacing"/>
    <w:uiPriority w:val="1"/>
    <w:rsid w:val="002A024D"/>
    <w:rPr>
      <w:lang w:val="en-US" w:eastAsia="en-US"/>
    </w:rPr>
  </w:style>
  <w:style w:type="table" w:styleId="TableGrid">
    <w:name w:val="Table Grid"/>
    <w:basedOn w:val="TableNormal"/>
    <w:uiPriority w:val="39"/>
    <w:rsid w:val="002A024D"/>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o">
    <w:name w:val="Tablo"/>
    <w:basedOn w:val="Normal"/>
    <w:rsid w:val="002A024D"/>
    <w:pPr>
      <w:spacing w:before="40" w:after="40" w:line="240" w:lineRule="auto"/>
      <w:ind w:left="142"/>
      <w:jc w:val="left"/>
    </w:pPr>
    <w:rPr>
      <w:rFonts w:ascii="Courier New" w:eastAsia="Times New Roman" w:hAnsi="Courier New" w:cs="Times New Roman"/>
      <w:noProof/>
      <w:snapToGrid w:val="0"/>
      <w:color w:val="000000"/>
      <w:sz w:val="20"/>
      <w:szCs w:val="20"/>
      <w:lang w:val="en-AU" w:eastAsia="zh-CN"/>
    </w:rPr>
  </w:style>
  <w:style w:type="paragraph" w:customStyle="1" w:styleId="figtit">
    <w:name w:val="figtit"/>
    <w:basedOn w:val="Normal"/>
    <w:rsid w:val="002A024D"/>
    <w:pPr>
      <w:spacing w:before="40" w:after="40" w:line="240" w:lineRule="auto"/>
      <w:jc w:val="center"/>
    </w:pPr>
    <w:rPr>
      <w:rFonts w:ascii="Arial" w:eastAsia="Times New Roman" w:hAnsi="Arial" w:cs="Times New Roman"/>
      <w:b/>
      <w:szCs w:val="20"/>
      <w:lang w:val="en-AU" w:eastAsia="zh-CN"/>
    </w:rPr>
  </w:style>
  <w:style w:type="paragraph" w:customStyle="1" w:styleId="indent">
    <w:name w:val="indent"/>
    <w:basedOn w:val="Normal"/>
    <w:rsid w:val="002A024D"/>
    <w:pPr>
      <w:spacing w:before="120" w:after="0" w:line="360" w:lineRule="auto"/>
      <w:ind w:left="567" w:hanging="567"/>
    </w:pPr>
    <w:rPr>
      <w:rFonts w:cs="Times New Roman"/>
      <w:color w:val="000000"/>
      <w:sz w:val="22"/>
      <w:szCs w:val="20"/>
      <w:lang w:val="en-US" w:eastAsia="en-US"/>
    </w:rPr>
  </w:style>
  <w:style w:type="paragraph" w:customStyle="1" w:styleId="Equation">
    <w:name w:val="Equation"/>
    <w:basedOn w:val="Normal"/>
    <w:rsid w:val="002A024D"/>
    <w:pPr>
      <w:tabs>
        <w:tab w:val="left" w:pos="567"/>
        <w:tab w:val="center" w:pos="3969"/>
        <w:tab w:val="right" w:pos="8364"/>
      </w:tabs>
      <w:spacing w:before="120" w:after="120" w:line="240" w:lineRule="atLeast"/>
    </w:pPr>
    <w:rPr>
      <w:rFonts w:cs="Times New Roman"/>
      <w:color w:val="000000"/>
      <w:sz w:val="22"/>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696"/>
    <w:pPr>
      <w:jc w:val="both"/>
    </w:pPr>
    <w:rPr>
      <w:rFonts w:ascii="Times New Roman" w:hAnsi="Times New Roman"/>
      <w:sz w:val="24"/>
      <w:szCs w:val="24"/>
      <w:lang w:eastAsia="de-DE"/>
    </w:rPr>
  </w:style>
  <w:style w:type="paragraph" w:styleId="Heading1">
    <w:name w:val="heading 1"/>
    <w:basedOn w:val="Normal"/>
    <w:next w:val="Normal"/>
    <w:link w:val="Heading1Char"/>
    <w:qFormat/>
    <w:rsid w:val="004C5696"/>
    <w:pPr>
      <w:keepNext/>
      <w:keepLines/>
      <w:numPr>
        <w:numId w:val="1"/>
      </w:numPr>
      <w:pBdr>
        <w:bottom w:val="single" w:sz="4" w:space="1" w:color="595959" w:themeColor="text1" w:themeTint="A6"/>
      </w:pBdr>
      <w:spacing w:before="240" w:after="160" w:line="259" w:lineRule="auto"/>
      <w:outlineLvl w:val="0"/>
    </w:pPr>
    <w:rPr>
      <w:rFonts w:eastAsiaTheme="majorEastAsia" w:cs="Times New Roman"/>
      <w:bCs/>
      <w:noProof/>
      <w:color w:val="000000" w:themeColor="text1"/>
      <w:sz w:val="32"/>
      <w:szCs w:val="32"/>
      <w:lang w:val="en-GB" w:eastAsia="en-CA"/>
    </w:rPr>
  </w:style>
  <w:style w:type="paragraph" w:styleId="Heading2">
    <w:name w:val="heading 2"/>
    <w:basedOn w:val="Normal"/>
    <w:next w:val="Normal"/>
    <w:link w:val="Heading2Char"/>
    <w:unhideWhenUsed/>
    <w:qFormat/>
    <w:rsid w:val="004C5696"/>
    <w:pPr>
      <w:keepNext/>
      <w:keepLines/>
      <w:numPr>
        <w:ilvl w:val="1"/>
        <w:numId w:val="1"/>
      </w:numPr>
      <w:spacing w:before="360" w:after="0" w:line="259" w:lineRule="auto"/>
      <w:outlineLvl w:val="1"/>
    </w:pPr>
    <w:rPr>
      <w:rFonts w:eastAsiaTheme="majorEastAsia" w:cs="Times New Roman"/>
      <w:b/>
      <w:bCs/>
      <w:noProof/>
      <w:color w:val="000000" w:themeColor="text1"/>
      <w:lang w:val="en-GB" w:eastAsia="en-CA"/>
    </w:rPr>
  </w:style>
  <w:style w:type="paragraph" w:styleId="Heading3">
    <w:name w:val="heading 3"/>
    <w:basedOn w:val="Normal"/>
    <w:next w:val="Normal"/>
    <w:link w:val="Heading3Char"/>
    <w:unhideWhenUsed/>
    <w:qFormat/>
    <w:rsid w:val="004C5696"/>
    <w:pPr>
      <w:keepNext/>
      <w:keepLines/>
      <w:numPr>
        <w:ilvl w:val="2"/>
        <w:numId w:val="1"/>
      </w:numPr>
      <w:spacing w:before="200" w:after="0" w:line="259" w:lineRule="auto"/>
      <w:outlineLvl w:val="2"/>
    </w:pPr>
    <w:rPr>
      <w:rFonts w:eastAsiaTheme="majorEastAsia" w:cs="Times New Roman"/>
      <w:b/>
      <w:bCs/>
      <w:noProof/>
      <w:color w:val="000000" w:themeColor="text1"/>
      <w:lang w:val="en-GB" w:eastAsia="en-CA"/>
    </w:rPr>
  </w:style>
  <w:style w:type="paragraph" w:styleId="Heading4">
    <w:name w:val="heading 4"/>
    <w:basedOn w:val="Normal"/>
    <w:next w:val="Normal"/>
    <w:link w:val="Heading4Char"/>
    <w:uiPriority w:val="9"/>
    <w:unhideWhenUsed/>
    <w:qFormat/>
    <w:rsid w:val="004C5696"/>
    <w:pPr>
      <w:keepNext/>
      <w:keepLines/>
      <w:numPr>
        <w:ilvl w:val="3"/>
        <w:numId w:val="1"/>
      </w:numPr>
      <w:spacing w:before="200" w:after="0" w:line="259" w:lineRule="auto"/>
      <w:outlineLvl w:val="3"/>
    </w:pPr>
    <w:rPr>
      <w:rFonts w:asciiTheme="majorHAnsi" w:eastAsiaTheme="majorEastAsia" w:hAnsiTheme="majorHAnsi" w:cstheme="majorBidi"/>
      <w:b/>
      <w:bCs/>
      <w:i/>
      <w:iCs/>
      <w:noProof/>
      <w:color w:val="000000" w:themeColor="text1"/>
      <w:lang w:val="en-GB" w:eastAsia="en-CA"/>
    </w:rPr>
  </w:style>
  <w:style w:type="paragraph" w:styleId="Heading5">
    <w:name w:val="heading 5"/>
    <w:basedOn w:val="Normal"/>
    <w:next w:val="Normal"/>
    <w:link w:val="Heading5Char"/>
    <w:unhideWhenUsed/>
    <w:qFormat/>
    <w:rsid w:val="004C5696"/>
    <w:pPr>
      <w:keepNext/>
      <w:keepLines/>
      <w:numPr>
        <w:ilvl w:val="4"/>
        <w:numId w:val="1"/>
      </w:numPr>
      <w:spacing w:before="200" w:after="0" w:line="259" w:lineRule="auto"/>
      <w:outlineLvl w:val="4"/>
    </w:pPr>
    <w:rPr>
      <w:rFonts w:asciiTheme="majorHAnsi" w:eastAsiaTheme="majorEastAsia" w:hAnsiTheme="majorHAnsi" w:cstheme="majorBidi"/>
      <w:noProof/>
      <w:color w:val="17365D" w:themeColor="text2" w:themeShade="BF"/>
      <w:lang w:val="en-GB" w:eastAsia="en-CA"/>
    </w:rPr>
  </w:style>
  <w:style w:type="paragraph" w:styleId="Heading6">
    <w:name w:val="heading 6"/>
    <w:basedOn w:val="Normal"/>
    <w:next w:val="Normal"/>
    <w:link w:val="Heading6Char"/>
    <w:unhideWhenUsed/>
    <w:qFormat/>
    <w:rsid w:val="004C5696"/>
    <w:pPr>
      <w:keepNext/>
      <w:keepLines/>
      <w:numPr>
        <w:ilvl w:val="5"/>
        <w:numId w:val="1"/>
      </w:numPr>
      <w:spacing w:before="200" w:after="0" w:line="259" w:lineRule="auto"/>
      <w:outlineLvl w:val="5"/>
    </w:pPr>
    <w:rPr>
      <w:rFonts w:asciiTheme="majorHAnsi" w:eastAsiaTheme="majorEastAsia" w:hAnsiTheme="majorHAnsi" w:cstheme="majorBidi"/>
      <w:i/>
      <w:iCs/>
      <w:noProof/>
      <w:color w:val="17365D" w:themeColor="text2" w:themeShade="BF"/>
      <w:lang w:val="en-GB" w:eastAsia="en-CA"/>
    </w:rPr>
  </w:style>
  <w:style w:type="paragraph" w:styleId="Heading7">
    <w:name w:val="heading 7"/>
    <w:basedOn w:val="Normal"/>
    <w:next w:val="Normal"/>
    <w:link w:val="Heading7Char"/>
    <w:unhideWhenUsed/>
    <w:qFormat/>
    <w:rsid w:val="004C5696"/>
    <w:pPr>
      <w:keepNext/>
      <w:keepLines/>
      <w:numPr>
        <w:ilvl w:val="6"/>
        <w:numId w:val="1"/>
      </w:numPr>
      <w:spacing w:before="200" w:after="0" w:line="259" w:lineRule="auto"/>
      <w:outlineLvl w:val="6"/>
    </w:pPr>
    <w:rPr>
      <w:rFonts w:asciiTheme="majorHAnsi" w:eastAsiaTheme="majorEastAsia" w:hAnsiTheme="majorHAnsi" w:cstheme="majorBidi"/>
      <w:i/>
      <w:iCs/>
      <w:noProof/>
      <w:color w:val="404040" w:themeColor="text1" w:themeTint="BF"/>
      <w:lang w:val="en-GB" w:eastAsia="en-CA"/>
    </w:rPr>
  </w:style>
  <w:style w:type="paragraph" w:styleId="Heading8">
    <w:name w:val="heading 8"/>
    <w:basedOn w:val="Normal"/>
    <w:next w:val="Normal"/>
    <w:link w:val="Heading8Char"/>
    <w:unhideWhenUsed/>
    <w:qFormat/>
    <w:rsid w:val="004C5696"/>
    <w:pPr>
      <w:keepNext/>
      <w:keepLines/>
      <w:numPr>
        <w:ilvl w:val="7"/>
        <w:numId w:val="1"/>
      </w:numPr>
      <w:spacing w:before="200" w:after="0" w:line="259" w:lineRule="auto"/>
      <w:outlineLvl w:val="7"/>
    </w:pPr>
    <w:rPr>
      <w:rFonts w:asciiTheme="majorHAnsi" w:eastAsiaTheme="majorEastAsia" w:hAnsiTheme="majorHAnsi" w:cstheme="majorBidi"/>
      <w:noProof/>
      <w:color w:val="404040" w:themeColor="text1" w:themeTint="BF"/>
      <w:sz w:val="20"/>
      <w:szCs w:val="20"/>
      <w:lang w:val="en-GB" w:eastAsia="en-CA"/>
    </w:rPr>
  </w:style>
  <w:style w:type="paragraph" w:styleId="Heading9">
    <w:name w:val="heading 9"/>
    <w:basedOn w:val="Normal"/>
    <w:next w:val="Normal"/>
    <w:link w:val="Heading9Char"/>
    <w:unhideWhenUsed/>
    <w:qFormat/>
    <w:rsid w:val="004C5696"/>
    <w:pPr>
      <w:keepNext/>
      <w:keepLines/>
      <w:numPr>
        <w:ilvl w:val="8"/>
        <w:numId w:val="1"/>
      </w:numPr>
      <w:spacing w:before="200" w:after="0" w:line="259" w:lineRule="auto"/>
      <w:outlineLvl w:val="8"/>
    </w:pPr>
    <w:rPr>
      <w:rFonts w:asciiTheme="majorHAnsi" w:eastAsiaTheme="majorEastAsia" w:hAnsiTheme="majorHAnsi" w:cstheme="majorBidi"/>
      <w:i/>
      <w:iCs/>
      <w:noProof/>
      <w:color w:val="404040" w:themeColor="text1" w:themeTint="BF"/>
      <w:sz w:val="20"/>
      <w:szCs w:val="20"/>
      <w:lang w:val="en-GB"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C5696"/>
    <w:rPr>
      <w:rFonts w:ascii="Times New Roman" w:eastAsiaTheme="majorEastAsia" w:hAnsi="Times New Roman" w:cs="Times New Roman"/>
      <w:bCs/>
      <w:noProof/>
      <w:color w:val="000000" w:themeColor="text1"/>
      <w:sz w:val="32"/>
      <w:szCs w:val="32"/>
      <w:lang w:val="en-GB" w:eastAsia="en-CA"/>
    </w:rPr>
  </w:style>
  <w:style w:type="character" w:customStyle="1" w:styleId="Heading2Char">
    <w:name w:val="Heading 2 Char"/>
    <w:basedOn w:val="DefaultParagraphFont"/>
    <w:link w:val="Heading2"/>
    <w:rsid w:val="004C5696"/>
    <w:rPr>
      <w:rFonts w:ascii="Times New Roman" w:eastAsiaTheme="majorEastAsia" w:hAnsi="Times New Roman" w:cs="Times New Roman"/>
      <w:b/>
      <w:bCs/>
      <w:noProof/>
      <w:color w:val="000000" w:themeColor="text1"/>
      <w:sz w:val="24"/>
      <w:szCs w:val="24"/>
      <w:lang w:val="en-GB" w:eastAsia="en-CA"/>
    </w:rPr>
  </w:style>
  <w:style w:type="character" w:customStyle="1" w:styleId="Heading3Char">
    <w:name w:val="Heading 3 Char"/>
    <w:basedOn w:val="DefaultParagraphFont"/>
    <w:link w:val="Heading3"/>
    <w:rsid w:val="004C5696"/>
    <w:rPr>
      <w:rFonts w:ascii="Times New Roman" w:eastAsiaTheme="majorEastAsia" w:hAnsi="Times New Roman" w:cs="Times New Roman"/>
      <w:b/>
      <w:bCs/>
      <w:noProof/>
      <w:color w:val="000000" w:themeColor="text1"/>
      <w:sz w:val="24"/>
      <w:szCs w:val="24"/>
      <w:lang w:val="en-GB" w:eastAsia="en-CA"/>
    </w:rPr>
  </w:style>
  <w:style w:type="character" w:customStyle="1" w:styleId="Heading4Char">
    <w:name w:val="Heading 4 Char"/>
    <w:basedOn w:val="DefaultParagraphFont"/>
    <w:link w:val="Heading4"/>
    <w:uiPriority w:val="9"/>
    <w:rsid w:val="004C5696"/>
    <w:rPr>
      <w:rFonts w:asciiTheme="majorHAnsi" w:eastAsiaTheme="majorEastAsia" w:hAnsiTheme="majorHAnsi" w:cstheme="majorBidi"/>
      <w:b/>
      <w:bCs/>
      <w:i/>
      <w:iCs/>
      <w:noProof/>
      <w:color w:val="000000" w:themeColor="text1"/>
      <w:sz w:val="24"/>
      <w:szCs w:val="24"/>
      <w:lang w:val="en-GB" w:eastAsia="en-CA"/>
    </w:rPr>
  </w:style>
  <w:style w:type="character" w:customStyle="1" w:styleId="Heading5Char">
    <w:name w:val="Heading 5 Char"/>
    <w:basedOn w:val="DefaultParagraphFont"/>
    <w:link w:val="Heading5"/>
    <w:rsid w:val="004C5696"/>
    <w:rPr>
      <w:rFonts w:asciiTheme="majorHAnsi" w:eastAsiaTheme="majorEastAsia" w:hAnsiTheme="majorHAnsi" w:cstheme="majorBidi"/>
      <w:noProof/>
      <w:color w:val="17365D" w:themeColor="text2" w:themeShade="BF"/>
      <w:sz w:val="24"/>
      <w:szCs w:val="24"/>
      <w:lang w:val="en-GB" w:eastAsia="en-CA"/>
    </w:rPr>
  </w:style>
  <w:style w:type="character" w:customStyle="1" w:styleId="Heading6Char">
    <w:name w:val="Heading 6 Char"/>
    <w:basedOn w:val="DefaultParagraphFont"/>
    <w:link w:val="Heading6"/>
    <w:rsid w:val="004C5696"/>
    <w:rPr>
      <w:rFonts w:asciiTheme="majorHAnsi" w:eastAsiaTheme="majorEastAsia" w:hAnsiTheme="majorHAnsi" w:cstheme="majorBidi"/>
      <w:i/>
      <w:iCs/>
      <w:noProof/>
      <w:color w:val="17365D" w:themeColor="text2" w:themeShade="BF"/>
      <w:sz w:val="24"/>
      <w:szCs w:val="24"/>
      <w:lang w:val="en-GB" w:eastAsia="en-CA"/>
    </w:rPr>
  </w:style>
  <w:style w:type="character" w:customStyle="1" w:styleId="Heading7Char">
    <w:name w:val="Heading 7 Char"/>
    <w:basedOn w:val="DefaultParagraphFont"/>
    <w:link w:val="Heading7"/>
    <w:rsid w:val="004C5696"/>
    <w:rPr>
      <w:rFonts w:asciiTheme="majorHAnsi" w:eastAsiaTheme="majorEastAsia" w:hAnsiTheme="majorHAnsi" w:cstheme="majorBidi"/>
      <w:i/>
      <w:iCs/>
      <w:noProof/>
      <w:color w:val="404040" w:themeColor="text1" w:themeTint="BF"/>
      <w:sz w:val="24"/>
      <w:szCs w:val="24"/>
      <w:lang w:val="en-GB" w:eastAsia="en-CA"/>
    </w:rPr>
  </w:style>
  <w:style w:type="character" w:customStyle="1" w:styleId="Heading8Char">
    <w:name w:val="Heading 8 Char"/>
    <w:basedOn w:val="DefaultParagraphFont"/>
    <w:link w:val="Heading8"/>
    <w:rsid w:val="004C5696"/>
    <w:rPr>
      <w:rFonts w:asciiTheme="majorHAnsi" w:eastAsiaTheme="majorEastAsia" w:hAnsiTheme="majorHAnsi" w:cstheme="majorBidi"/>
      <w:noProof/>
      <w:color w:val="404040" w:themeColor="text1" w:themeTint="BF"/>
      <w:sz w:val="20"/>
      <w:szCs w:val="20"/>
      <w:lang w:val="en-GB" w:eastAsia="en-CA"/>
    </w:rPr>
  </w:style>
  <w:style w:type="character" w:customStyle="1" w:styleId="Heading9Char">
    <w:name w:val="Heading 9 Char"/>
    <w:basedOn w:val="DefaultParagraphFont"/>
    <w:link w:val="Heading9"/>
    <w:rsid w:val="004C5696"/>
    <w:rPr>
      <w:rFonts w:asciiTheme="majorHAnsi" w:eastAsiaTheme="majorEastAsia" w:hAnsiTheme="majorHAnsi" w:cstheme="majorBidi"/>
      <w:i/>
      <w:iCs/>
      <w:noProof/>
      <w:color w:val="404040" w:themeColor="text1" w:themeTint="BF"/>
      <w:sz w:val="20"/>
      <w:szCs w:val="20"/>
      <w:lang w:val="en-GB" w:eastAsia="en-CA"/>
    </w:rPr>
  </w:style>
  <w:style w:type="paragraph" w:styleId="FootnoteText">
    <w:name w:val="footnote text"/>
    <w:aliases w:val="fn,footnote text,FOOTNOTES,single space,Footnotes,ft,Footnote ak,fn cafc,Footnotes Char,Footnote ak Char,Footnotes Char Char,Footnote Text Char Char,fn Char Char,footnote text Char Char Char Ch,footnote text Char Char Char C,f,F"/>
    <w:basedOn w:val="Normal"/>
    <w:link w:val="FootnoteTextChar"/>
    <w:unhideWhenUsed/>
    <w:rsid w:val="004C5696"/>
    <w:pPr>
      <w:spacing w:after="0"/>
    </w:pPr>
    <w:rPr>
      <w:lang w:val="en-US" w:eastAsia="en-US"/>
    </w:rPr>
  </w:style>
  <w:style w:type="character" w:customStyle="1" w:styleId="FootnoteTextChar">
    <w:name w:val="Footnote Text Char"/>
    <w:aliases w:val="fn Char,footnote text Char,FOOTNOTES Char,single space Char,Footnotes Char1,ft Char,Footnote ak Char1,fn cafc Char,Footnotes Char Char1,Footnote ak Char Char,Footnotes Char Char Char,Footnote Text Char Char Char,fn Char Char Char"/>
    <w:basedOn w:val="DefaultParagraphFont"/>
    <w:link w:val="FootnoteText"/>
    <w:rsid w:val="004C5696"/>
    <w:rPr>
      <w:rFonts w:ascii="Times New Roman" w:hAnsi="Times New Roman"/>
      <w:sz w:val="24"/>
      <w:szCs w:val="24"/>
      <w:lang w:val="en-US" w:eastAsia="en-US"/>
    </w:rPr>
  </w:style>
  <w:style w:type="character" w:styleId="FootnoteReference">
    <w:name w:val="footnote reference"/>
    <w:aliases w:val="Ref,de nota al pie,註腳內容,Footnote Reference1,Ref1,de nota al pie1,de nota al pie + (Asian) MS Mincho,11 pt,Footnote symbol,Footnote,BVI fnr,Voetnootverwijzing,Times 10 Point,Exposant 3 Point,Appel note de bas de p,Footnote sign,fr,o"/>
    <w:basedOn w:val="DefaultParagraphFont"/>
    <w:unhideWhenUsed/>
    <w:rsid w:val="004C5696"/>
    <w:rPr>
      <w:vertAlign w:val="superscript"/>
    </w:rPr>
  </w:style>
  <w:style w:type="paragraph" w:styleId="ListParagraph">
    <w:name w:val="List Paragraph"/>
    <w:aliases w:val="Bullet Point,Bullet Points,Listenabsatz1,Bullet List Paragraph,List Paragraph1,Level 1 Bullet,Bullet List,Table of contents numbered,Liststycke SKL,Normal bullet 2,Bullet list,PROVERE 1,Bullet OFM"/>
    <w:basedOn w:val="Normal"/>
    <w:link w:val="ListParagraphChar"/>
    <w:uiPriority w:val="34"/>
    <w:qFormat/>
    <w:rsid w:val="004C5696"/>
    <w:pPr>
      <w:ind w:left="720"/>
      <w:contextualSpacing/>
    </w:pPr>
  </w:style>
  <w:style w:type="character" w:customStyle="1" w:styleId="ListParagraphChar">
    <w:name w:val="List Paragraph Char"/>
    <w:aliases w:val="Bullet Point Char,Bullet Points Char,Listenabsatz1 Char,Bullet List Paragraph Char,List Paragraph1 Char,Level 1 Bullet Char,Bullet List Char,Table of contents numbered Char,Liststycke SKL Char,Normal bullet 2 Char,Bullet list Char"/>
    <w:basedOn w:val="DefaultParagraphFont"/>
    <w:link w:val="ListParagraph"/>
    <w:uiPriority w:val="34"/>
    <w:locked/>
    <w:rsid w:val="004C5696"/>
    <w:rPr>
      <w:rFonts w:ascii="Times New Roman" w:hAnsi="Times New Roman"/>
      <w:sz w:val="24"/>
      <w:szCs w:val="24"/>
      <w:lang w:eastAsia="de-DE"/>
    </w:rPr>
  </w:style>
  <w:style w:type="character" w:styleId="Hyperlink">
    <w:name w:val="Hyperlink"/>
    <w:basedOn w:val="DefaultParagraphFont"/>
    <w:uiPriority w:val="99"/>
    <w:unhideWhenUsed/>
    <w:rsid w:val="004C5696"/>
    <w:rPr>
      <w:color w:val="0000FF" w:themeColor="hyperlink"/>
      <w:u w:val="single"/>
    </w:rPr>
  </w:style>
  <w:style w:type="character" w:styleId="FollowedHyperlink">
    <w:name w:val="FollowedHyperlink"/>
    <w:basedOn w:val="DefaultParagraphFont"/>
    <w:unhideWhenUsed/>
    <w:rsid w:val="004C5696"/>
    <w:rPr>
      <w:color w:val="800080" w:themeColor="followedHyperlink"/>
      <w:u w:val="single"/>
    </w:rPr>
  </w:style>
  <w:style w:type="character" w:customStyle="1" w:styleId="CommentTextChar">
    <w:name w:val="Comment Text Char"/>
    <w:basedOn w:val="DefaultParagraphFont"/>
    <w:link w:val="CommentText"/>
    <w:uiPriority w:val="99"/>
    <w:semiHidden/>
    <w:rsid w:val="004C5696"/>
    <w:rPr>
      <w:rFonts w:ascii="Times New Roman" w:hAnsi="Times New Roman"/>
      <w:sz w:val="24"/>
      <w:szCs w:val="24"/>
      <w:lang w:eastAsia="de-DE"/>
    </w:rPr>
  </w:style>
  <w:style w:type="paragraph" w:styleId="CommentText">
    <w:name w:val="annotation text"/>
    <w:basedOn w:val="Normal"/>
    <w:link w:val="CommentTextChar"/>
    <w:uiPriority w:val="99"/>
    <w:semiHidden/>
    <w:unhideWhenUsed/>
    <w:rsid w:val="004C5696"/>
    <w:pPr>
      <w:spacing w:line="240" w:lineRule="auto"/>
    </w:pPr>
  </w:style>
  <w:style w:type="character" w:customStyle="1" w:styleId="CommentSubjectChar">
    <w:name w:val="Comment Subject Char"/>
    <w:basedOn w:val="CommentTextChar"/>
    <w:link w:val="CommentSubject"/>
    <w:uiPriority w:val="99"/>
    <w:semiHidden/>
    <w:rsid w:val="004C5696"/>
    <w:rPr>
      <w:rFonts w:ascii="Times New Roman" w:hAnsi="Times New Roman"/>
      <w:b/>
      <w:bCs/>
      <w:sz w:val="20"/>
      <w:szCs w:val="20"/>
      <w:lang w:eastAsia="de-DE"/>
    </w:rPr>
  </w:style>
  <w:style w:type="paragraph" w:styleId="CommentSubject">
    <w:name w:val="annotation subject"/>
    <w:basedOn w:val="CommentText"/>
    <w:next w:val="CommentText"/>
    <w:link w:val="CommentSubjectChar"/>
    <w:uiPriority w:val="99"/>
    <w:semiHidden/>
    <w:unhideWhenUsed/>
    <w:rsid w:val="004C5696"/>
    <w:rPr>
      <w:b/>
      <w:bCs/>
      <w:sz w:val="20"/>
      <w:szCs w:val="20"/>
    </w:rPr>
  </w:style>
  <w:style w:type="paragraph" w:styleId="BalloonText">
    <w:name w:val="Balloon Text"/>
    <w:basedOn w:val="Normal"/>
    <w:link w:val="BalloonTextChar"/>
    <w:uiPriority w:val="99"/>
    <w:semiHidden/>
    <w:unhideWhenUsed/>
    <w:rsid w:val="004C569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C5696"/>
    <w:rPr>
      <w:rFonts w:ascii="Lucida Grande" w:hAnsi="Lucida Grande" w:cs="Lucida Grande"/>
      <w:sz w:val="18"/>
      <w:szCs w:val="18"/>
      <w:lang w:eastAsia="de-DE"/>
    </w:rPr>
  </w:style>
  <w:style w:type="paragraph" w:customStyle="1" w:styleId="Body">
    <w:name w:val="Body"/>
    <w:basedOn w:val="Normal"/>
    <w:link w:val="BodyChar"/>
    <w:rsid w:val="004C5696"/>
    <w:pPr>
      <w:spacing w:after="240" w:line="240" w:lineRule="auto"/>
      <w:jc w:val="left"/>
    </w:pPr>
    <w:rPr>
      <w:rFonts w:ascii="Verdana" w:eastAsia="Times New Roman" w:hAnsi="Verdana" w:cs="Times New Roman"/>
      <w:sz w:val="18"/>
      <w:szCs w:val="20"/>
      <w:lang w:val="fr-FR" w:eastAsia="en-US"/>
    </w:rPr>
  </w:style>
  <w:style w:type="character" w:customStyle="1" w:styleId="BodyChar">
    <w:name w:val="Body Char"/>
    <w:link w:val="Body"/>
    <w:rsid w:val="004C5696"/>
    <w:rPr>
      <w:rFonts w:ascii="Verdana" w:eastAsia="Times New Roman" w:hAnsi="Verdana" w:cs="Times New Roman"/>
      <w:sz w:val="18"/>
      <w:szCs w:val="20"/>
      <w:lang w:val="fr-FR" w:eastAsia="en-US"/>
    </w:rPr>
  </w:style>
  <w:style w:type="character" w:styleId="SubtleEmphasis">
    <w:name w:val="Subtle Emphasis"/>
    <w:basedOn w:val="DefaultParagraphFont"/>
    <w:uiPriority w:val="19"/>
    <w:qFormat/>
    <w:rsid w:val="004C5696"/>
    <w:rPr>
      <w:i/>
      <w:iCs/>
      <w:color w:val="404040" w:themeColor="text1" w:themeTint="BF"/>
    </w:rPr>
  </w:style>
  <w:style w:type="paragraph" w:styleId="Footer">
    <w:name w:val="footer"/>
    <w:basedOn w:val="Normal"/>
    <w:link w:val="FooterChar"/>
    <w:uiPriority w:val="99"/>
    <w:rsid w:val="004C5696"/>
    <w:pPr>
      <w:tabs>
        <w:tab w:val="center" w:pos="4320"/>
        <w:tab w:val="right" w:pos="8640"/>
      </w:tabs>
      <w:spacing w:after="0" w:line="240" w:lineRule="auto"/>
      <w:jc w:val="left"/>
    </w:pPr>
    <w:rPr>
      <w:rFonts w:eastAsia="Times New Roman" w:cs="Times New Roman"/>
      <w:lang w:eastAsia="en-US"/>
    </w:rPr>
  </w:style>
  <w:style w:type="character" w:customStyle="1" w:styleId="FooterChar">
    <w:name w:val="Footer Char"/>
    <w:basedOn w:val="DefaultParagraphFont"/>
    <w:link w:val="Footer"/>
    <w:uiPriority w:val="99"/>
    <w:rsid w:val="004C5696"/>
    <w:rPr>
      <w:rFonts w:ascii="Times New Roman" w:eastAsia="Times New Roman" w:hAnsi="Times New Roman" w:cs="Times New Roman"/>
      <w:sz w:val="24"/>
      <w:szCs w:val="24"/>
      <w:lang w:eastAsia="en-US"/>
    </w:rPr>
  </w:style>
  <w:style w:type="character" w:styleId="PageNumber">
    <w:name w:val="page number"/>
    <w:basedOn w:val="DefaultParagraphFont"/>
    <w:rsid w:val="004C5696"/>
  </w:style>
  <w:style w:type="paragraph" w:styleId="BodyText">
    <w:name w:val="Body Text"/>
    <w:basedOn w:val="Normal"/>
    <w:link w:val="BodyTextChar"/>
    <w:rsid w:val="004C5696"/>
    <w:pPr>
      <w:spacing w:after="0" w:line="240" w:lineRule="exact"/>
    </w:pPr>
    <w:rPr>
      <w:rFonts w:eastAsia="Times New Roman" w:cs="Times New Roman"/>
      <w:lang w:val="en-US" w:eastAsia="en-US"/>
    </w:rPr>
  </w:style>
  <w:style w:type="character" w:customStyle="1" w:styleId="BodyTextChar">
    <w:name w:val="Body Text Char"/>
    <w:basedOn w:val="DefaultParagraphFont"/>
    <w:link w:val="BodyText"/>
    <w:rsid w:val="004C5696"/>
    <w:rPr>
      <w:rFonts w:ascii="Times New Roman" w:eastAsia="Times New Roman" w:hAnsi="Times New Roman" w:cs="Times New Roman"/>
      <w:sz w:val="24"/>
      <w:szCs w:val="24"/>
      <w:lang w:val="en-US" w:eastAsia="en-US"/>
    </w:rPr>
  </w:style>
  <w:style w:type="paragraph" w:styleId="Header">
    <w:name w:val="header"/>
    <w:basedOn w:val="Normal"/>
    <w:link w:val="HeaderChar"/>
    <w:uiPriority w:val="99"/>
    <w:rsid w:val="004C5696"/>
    <w:pPr>
      <w:tabs>
        <w:tab w:val="center" w:pos="4320"/>
        <w:tab w:val="right" w:pos="8640"/>
      </w:tabs>
      <w:spacing w:after="0" w:line="240" w:lineRule="auto"/>
      <w:jc w:val="left"/>
    </w:pPr>
    <w:rPr>
      <w:rFonts w:eastAsia="Times New Roman" w:cs="Times New Roman"/>
      <w:lang w:eastAsia="en-US"/>
    </w:rPr>
  </w:style>
  <w:style w:type="character" w:customStyle="1" w:styleId="HeaderChar">
    <w:name w:val="Header Char"/>
    <w:basedOn w:val="DefaultParagraphFont"/>
    <w:link w:val="Header"/>
    <w:uiPriority w:val="99"/>
    <w:rsid w:val="004C5696"/>
    <w:rPr>
      <w:rFonts w:ascii="Times New Roman" w:eastAsia="Times New Roman" w:hAnsi="Times New Roman" w:cs="Times New Roman"/>
      <w:sz w:val="24"/>
      <w:szCs w:val="24"/>
      <w:lang w:eastAsia="en-US"/>
    </w:rPr>
  </w:style>
  <w:style w:type="character" w:customStyle="1" w:styleId="st">
    <w:name w:val="st"/>
    <w:basedOn w:val="DefaultParagraphFont"/>
    <w:rsid w:val="004C5696"/>
  </w:style>
  <w:style w:type="character" w:styleId="Emphasis">
    <w:name w:val="Emphasis"/>
    <w:basedOn w:val="DefaultParagraphFont"/>
    <w:uiPriority w:val="20"/>
    <w:qFormat/>
    <w:rsid w:val="004C5696"/>
    <w:rPr>
      <w:i/>
      <w:iCs/>
    </w:rPr>
  </w:style>
  <w:style w:type="paragraph" w:styleId="Caption">
    <w:name w:val="caption"/>
    <w:basedOn w:val="Normal"/>
    <w:next w:val="Normal"/>
    <w:link w:val="CaptionChar"/>
    <w:unhideWhenUsed/>
    <w:qFormat/>
    <w:rsid w:val="004C5696"/>
    <w:pPr>
      <w:spacing w:after="0" w:line="240" w:lineRule="auto"/>
    </w:pPr>
    <w:rPr>
      <w:rFonts w:eastAsiaTheme="minorHAnsi" w:cs="Times New Roman"/>
      <w:b/>
      <w:iCs/>
      <w:color w:val="000000" w:themeColor="text1"/>
      <w:lang w:eastAsia="en-US"/>
    </w:rPr>
  </w:style>
  <w:style w:type="character" w:customStyle="1" w:styleId="CaptionChar">
    <w:name w:val="Caption Char"/>
    <w:link w:val="Caption"/>
    <w:rsid w:val="004C5696"/>
    <w:rPr>
      <w:rFonts w:ascii="Times New Roman" w:eastAsiaTheme="minorHAnsi" w:hAnsi="Times New Roman" w:cs="Times New Roman"/>
      <w:b/>
      <w:iCs/>
      <w:color w:val="000000" w:themeColor="text1"/>
      <w:sz w:val="24"/>
      <w:szCs w:val="24"/>
      <w:lang w:eastAsia="en-US"/>
    </w:rPr>
  </w:style>
  <w:style w:type="table" w:customStyle="1" w:styleId="GridTable1LightAccent1">
    <w:name w:val="Grid Table 1 Light Accent 1"/>
    <w:basedOn w:val="TableNormal"/>
    <w:uiPriority w:val="46"/>
    <w:rsid w:val="004C5696"/>
    <w:pPr>
      <w:spacing w:after="0" w:line="240" w:lineRule="auto"/>
    </w:pPr>
    <w:rPr>
      <w:rFonts w:eastAsiaTheme="minorHAnsi"/>
      <w:lang w:val="en-US"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Bulletpoint1">
    <w:name w:val="Bullet point1"/>
    <w:basedOn w:val="NormalIndent"/>
    <w:link w:val="Bulletpoint1Char"/>
    <w:rsid w:val="004C5696"/>
    <w:pPr>
      <w:numPr>
        <w:numId w:val="7"/>
      </w:numPr>
      <w:spacing w:after="120" w:line="240" w:lineRule="auto"/>
      <w:jc w:val="left"/>
    </w:pPr>
    <w:rPr>
      <w:rFonts w:ascii="Verdana" w:eastAsia="Times New Roman" w:hAnsi="Verdana" w:cs="Times New Roman"/>
      <w:sz w:val="18"/>
      <w:szCs w:val="20"/>
      <w:lang w:val="fr-FR" w:eastAsia="en-US"/>
    </w:rPr>
  </w:style>
  <w:style w:type="paragraph" w:styleId="NormalIndent">
    <w:name w:val="Normal Indent"/>
    <w:basedOn w:val="Normal"/>
    <w:uiPriority w:val="99"/>
    <w:semiHidden/>
    <w:unhideWhenUsed/>
    <w:rsid w:val="004C5696"/>
    <w:pPr>
      <w:ind w:left="720"/>
    </w:pPr>
  </w:style>
  <w:style w:type="character" w:customStyle="1" w:styleId="Bulletpoint1Char">
    <w:name w:val="Bullet point1 Char"/>
    <w:basedOn w:val="DefaultParagraphFont"/>
    <w:link w:val="Bulletpoint1"/>
    <w:rsid w:val="004C5696"/>
    <w:rPr>
      <w:rFonts w:ascii="Verdana" w:eastAsia="Times New Roman" w:hAnsi="Verdana" w:cs="Times New Roman"/>
      <w:sz w:val="18"/>
      <w:szCs w:val="20"/>
      <w:lang w:val="fr-FR" w:eastAsia="en-US"/>
    </w:rPr>
  </w:style>
  <w:style w:type="paragraph" w:styleId="TOCHeading">
    <w:name w:val="TOC Heading"/>
    <w:basedOn w:val="Heading1"/>
    <w:next w:val="Normal"/>
    <w:uiPriority w:val="39"/>
    <w:unhideWhenUsed/>
    <w:qFormat/>
    <w:rsid w:val="004C5696"/>
    <w:pPr>
      <w:numPr>
        <w:numId w:val="0"/>
      </w:numPr>
      <w:pBdr>
        <w:bottom w:val="none" w:sz="0" w:space="0" w:color="auto"/>
      </w:pBdr>
      <w:spacing w:after="0"/>
      <w:jc w:val="left"/>
      <w:outlineLvl w:val="9"/>
    </w:pPr>
    <w:rPr>
      <w:rFonts w:asciiTheme="majorHAnsi" w:hAnsiTheme="majorHAnsi" w:cstheme="majorBidi"/>
      <w:bCs w:val="0"/>
      <w:noProof w:val="0"/>
      <w:color w:val="365F91" w:themeColor="accent1" w:themeShade="BF"/>
      <w:lang w:val="en-US" w:eastAsia="en-US"/>
    </w:rPr>
  </w:style>
  <w:style w:type="paragraph" w:styleId="TOC1">
    <w:name w:val="toc 1"/>
    <w:basedOn w:val="Normal"/>
    <w:next w:val="Normal"/>
    <w:autoRedefine/>
    <w:uiPriority w:val="39"/>
    <w:unhideWhenUsed/>
    <w:rsid w:val="004C5696"/>
    <w:pPr>
      <w:spacing w:after="100"/>
    </w:pPr>
  </w:style>
  <w:style w:type="paragraph" w:styleId="TOC2">
    <w:name w:val="toc 2"/>
    <w:basedOn w:val="Normal"/>
    <w:next w:val="Normal"/>
    <w:autoRedefine/>
    <w:uiPriority w:val="39"/>
    <w:unhideWhenUsed/>
    <w:rsid w:val="004C5696"/>
    <w:pPr>
      <w:spacing w:after="100"/>
      <w:ind w:left="240"/>
    </w:pPr>
  </w:style>
  <w:style w:type="table" w:customStyle="1" w:styleId="GridTable1LightAccent5">
    <w:name w:val="Grid Table 1 Light Accent 5"/>
    <w:basedOn w:val="TableNormal"/>
    <w:uiPriority w:val="46"/>
    <w:rsid w:val="004C5696"/>
    <w:pPr>
      <w:spacing w:after="0" w:line="240" w:lineRule="auto"/>
    </w:pPr>
    <w:rPr>
      <w:rFonts w:eastAsiaTheme="minorHAnsi"/>
      <w:lang w:val="en-US" w:eastAsia="en-US"/>
    </w:r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paragraph" w:customStyle="1" w:styleId="Default">
    <w:name w:val="Default"/>
    <w:rsid w:val="004C5696"/>
    <w:pPr>
      <w:widowControl w:val="0"/>
      <w:autoSpaceDE w:val="0"/>
      <w:autoSpaceDN w:val="0"/>
      <w:adjustRightInd w:val="0"/>
      <w:spacing w:after="0" w:line="240" w:lineRule="auto"/>
    </w:pPr>
    <w:rPr>
      <w:rFonts w:ascii="Bookman Old Style" w:hAnsi="Bookman Old Style" w:cs="Bookman Old Style"/>
      <w:color w:val="000000"/>
      <w:sz w:val="24"/>
      <w:szCs w:val="24"/>
      <w:lang w:val="en-US" w:eastAsia="en-US"/>
    </w:rPr>
  </w:style>
  <w:style w:type="character" w:customStyle="1" w:styleId="apple-converted-space">
    <w:name w:val="apple-converted-space"/>
    <w:basedOn w:val="DefaultParagraphFont"/>
    <w:rsid w:val="002A024D"/>
  </w:style>
  <w:style w:type="character" w:customStyle="1" w:styleId="FootnoteChar">
    <w:name w:val="Footnote Char"/>
    <w:rsid w:val="002A024D"/>
    <w:rPr>
      <w:rFonts w:ascii="Times New Roman" w:eastAsia="SimSun" w:hAnsi="Times New Roman" w:cs="Times New Roman"/>
      <w:sz w:val="20"/>
      <w:szCs w:val="20"/>
      <w:lang w:val="en-AU"/>
    </w:rPr>
  </w:style>
  <w:style w:type="paragraph" w:styleId="NoSpacing">
    <w:name w:val="No Spacing"/>
    <w:link w:val="NoSpacingChar"/>
    <w:uiPriority w:val="1"/>
    <w:qFormat/>
    <w:rsid w:val="002A024D"/>
    <w:pPr>
      <w:spacing w:after="0" w:line="240" w:lineRule="auto"/>
    </w:pPr>
    <w:rPr>
      <w:lang w:val="en-US" w:eastAsia="en-US"/>
    </w:rPr>
  </w:style>
  <w:style w:type="character" w:customStyle="1" w:styleId="NoSpacingChar">
    <w:name w:val="No Spacing Char"/>
    <w:basedOn w:val="DefaultParagraphFont"/>
    <w:link w:val="NoSpacing"/>
    <w:uiPriority w:val="1"/>
    <w:rsid w:val="002A024D"/>
    <w:rPr>
      <w:lang w:val="en-US" w:eastAsia="en-US"/>
    </w:rPr>
  </w:style>
  <w:style w:type="table" w:styleId="TableGrid">
    <w:name w:val="Table Grid"/>
    <w:basedOn w:val="TableNormal"/>
    <w:uiPriority w:val="39"/>
    <w:rsid w:val="002A024D"/>
    <w:pPr>
      <w:spacing w:after="0" w:line="240" w:lineRule="auto"/>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o">
    <w:name w:val="Tablo"/>
    <w:basedOn w:val="Normal"/>
    <w:rsid w:val="002A024D"/>
    <w:pPr>
      <w:spacing w:before="40" w:after="40" w:line="240" w:lineRule="auto"/>
      <w:ind w:left="142"/>
      <w:jc w:val="left"/>
    </w:pPr>
    <w:rPr>
      <w:rFonts w:ascii="Courier New" w:eastAsia="Times New Roman" w:hAnsi="Courier New" w:cs="Times New Roman"/>
      <w:noProof/>
      <w:snapToGrid w:val="0"/>
      <w:color w:val="000000"/>
      <w:sz w:val="20"/>
      <w:szCs w:val="20"/>
      <w:lang w:val="en-AU" w:eastAsia="zh-CN"/>
    </w:rPr>
  </w:style>
  <w:style w:type="paragraph" w:customStyle="1" w:styleId="figtit">
    <w:name w:val="figtit"/>
    <w:basedOn w:val="Normal"/>
    <w:rsid w:val="002A024D"/>
    <w:pPr>
      <w:spacing w:before="40" w:after="40" w:line="240" w:lineRule="auto"/>
      <w:jc w:val="center"/>
    </w:pPr>
    <w:rPr>
      <w:rFonts w:ascii="Arial" w:eastAsia="Times New Roman" w:hAnsi="Arial" w:cs="Times New Roman"/>
      <w:b/>
      <w:szCs w:val="20"/>
      <w:lang w:val="en-AU" w:eastAsia="zh-CN"/>
    </w:rPr>
  </w:style>
  <w:style w:type="paragraph" w:customStyle="1" w:styleId="indent">
    <w:name w:val="indent"/>
    <w:basedOn w:val="Normal"/>
    <w:rsid w:val="002A024D"/>
    <w:pPr>
      <w:spacing w:before="120" w:after="0" w:line="360" w:lineRule="auto"/>
      <w:ind w:left="567" w:hanging="567"/>
    </w:pPr>
    <w:rPr>
      <w:rFonts w:cs="Times New Roman"/>
      <w:color w:val="000000"/>
      <w:sz w:val="22"/>
      <w:szCs w:val="20"/>
      <w:lang w:val="en-US" w:eastAsia="en-US"/>
    </w:rPr>
  </w:style>
  <w:style w:type="paragraph" w:customStyle="1" w:styleId="Equation">
    <w:name w:val="Equation"/>
    <w:basedOn w:val="Normal"/>
    <w:rsid w:val="002A024D"/>
    <w:pPr>
      <w:tabs>
        <w:tab w:val="left" w:pos="567"/>
        <w:tab w:val="center" w:pos="3969"/>
        <w:tab w:val="right" w:pos="8364"/>
      </w:tabs>
      <w:spacing w:before="120" w:after="120" w:line="240" w:lineRule="atLeast"/>
    </w:pPr>
    <w:rPr>
      <w:rFonts w:cs="Times New Roman"/>
      <w:color w:val="000000"/>
      <w:sz w:val="22"/>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0463543">
      <w:bodyDiv w:val="1"/>
      <w:marLeft w:val="0"/>
      <w:marRight w:val="0"/>
      <w:marTop w:val="0"/>
      <w:marBottom w:val="0"/>
      <w:divBdr>
        <w:top w:val="none" w:sz="0" w:space="0" w:color="auto"/>
        <w:left w:val="none" w:sz="0" w:space="0" w:color="auto"/>
        <w:bottom w:val="none" w:sz="0" w:space="0" w:color="auto"/>
        <w:right w:val="none" w:sz="0" w:space="0" w:color="auto"/>
      </w:divBdr>
    </w:div>
    <w:div w:id="900556529">
      <w:bodyDiv w:val="1"/>
      <w:marLeft w:val="0"/>
      <w:marRight w:val="0"/>
      <w:marTop w:val="0"/>
      <w:marBottom w:val="0"/>
      <w:divBdr>
        <w:top w:val="none" w:sz="0" w:space="0" w:color="auto"/>
        <w:left w:val="none" w:sz="0" w:space="0" w:color="auto"/>
        <w:bottom w:val="none" w:sz="0" w:space="0" w:color="auto"/>
        <w:right w:val="none" w:sz="0" w:space="0" w:color="auto"/>
      </w:divBdr>
    </w:div>
    <w:div w:id="1935939945">
      <w:bodyDiv w:val="1"/>
      <w:marLeft w:val="0"/>
      <w:marRight w:val="0"/>
      <w:marTop w:val="0"/>
      <w:marBottom w:val="0"/>
      <w:divBdr>
        <w:top w:val="none" w:sz="0" w:space="0" w:color="auto"/>
        <w:left w:val="none" w:sz="0" w:space="0" w:color="auto"/>
        <w:bottom w:val="none" w:sz="0" w:space="0" w:color="auto"/>
        <w:right w:val="none" w:sz="0" w:space="0" w:color="auto"/>
      </w:divBdr>
    </w:div>
    <w:div w:id="2015648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hart" Target="charts/chart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dan\OneDrive\Documents\___Live%20Projects\_GAC_PTA\Tables_CPTPP_DC.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dan\OneDrive\Documents\___Live%20Projects\_GAC_PTA\Tables_CPTPP_DC.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dan\OneDrive\Documents\___Live%20Projects\_GAC_PTA\Tables_CPTPP_DC.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 1: Demand and Real Wage Impacts by Occupation, 2030</a:t>
            </a:r>
          </a:p>
        </c:rich>
      </c:tx>
      <c:layout>
        <c:manualLayout>
          <c:xMode val="edge"/>
          <c:yMode val="edge"/>
          <c:x val="0.11553086947233497"/>
          <c:y val="2.6536930561698365E-2"/>
        </c:manualLayout>
      </c:layout>
      <c:overlay val="0"/>
      <c:spPr>
        <a:noFill/>
        <a:ln>
          <a:noFill/>
        </a:ln>
        <a:effectLst/>
      </c:spPr>
    </c:title>
    <c:autoTitleDeleted val="0"/>
    <c:plotArea>
      <c:layout>
        <c:manualLayout>
          <c:layoutTarget val="inner"/>
          <c:xMode val="edge"/>
          <c:yMode val="edge"/>
          <c:x val="8.928471101975316E-2"/>
          <c:y val="0.19057938965059712"/>
          <c:w val="0.88721603668372895"/>
          <c:h val="0.53501342517943773"/>
        </c:manualLayout>
      </c:layout>
      <c:barChart>
        <c:barDir val="col"/>
        <c:grouping val="clustered"/>
        <c:varyColors val="0"/>
        <c:ser>
          <c:idx val="0"/>
          <c:order val="0"/>
          <c:tx>
            <c:strRef>
              <c:f>'Labour Mkt Impacts'!$B$1</c:f>
              <c:strCache>
                <c:ptCount val="1"/>
                <c:pt idx="0">
                  <c:v>Demand</c:v>
                </c:pt>
              </c:strCache>
            </c:strRef>
          </c:tx>
          <c:spPr>
            <a:solidFill>
              <a:schemeClr val="accent1">
                <a:shade val="76000"/>
              </a:schemeClr>
            </a:solidFill>
            <a:ln>
              <a:noFill/>
            </a:ln>
            <a:effectLst/>
          </c:spPr>
          <c:invertIfNegative val="0"/>
          <c:cat>
            <c:strRef>
              <c:f>'Labour Mkt Impacts'!$A$2:$A$9</c:f>
              <c:strCache>
                <c:ptCount val="8"/>
                <c:pt idx="0">
                  <c:v>Managerial</c:v>
                </c:pt>
                <c:pt idx="1">
                  <c:v>Professional</c:v>
                </c:pt>
                <c:pt idx="2">
                  <c:v>Technical</c:v>
                </c:pt>
                <c:pt idx="3">
                  <c:v>Community &amp; Personal Services</c:v>
                </c:pt>
                <c:pt idx="4">
                  <c:v>Clerical</c:v>
                </c:pt>
                <c:pt idx="5">
                  <c:v>Sales</c:v>
                </c:pt>
                <c:pt idx="6">
                  <c:v>Machinery operators</c:v>
                </c:pt>
                <c:pt idx="7">
                  <c:v>Agricultural workers and labourers</c:v>
                </c:pt>
              </c:strCache>
            </c:strRef>
          </c:cat>
          <c:val>
            <c:numRef>
              <c:f>'Labour Mkt Impacts'!$B$2:$B$9</c:f>
              <c:numCache>
                <c:formatCode>0.00%</c:formatCode>
                <c:ptCount val="8"/>
                <c:pt idx="0">
                  <c:v>0</c:v>
                </c:pt>
                <c:pt idx="1">
                  <c:v>0</c:v>
                </c:pt>
                <c:pt idx="2">
                  <c:v>0</c:v>
                </c:pt>
                <c:pt idx="3">
                  <c:v>0</c:v>
                </c:pt>
                <c:pt idx="4">
                  <c:v>0</c:v>
                </c:pt>
                <c:pt idx="5">
                  <c:v>0</c:v>
                </c:pt>
                <c:pt idx="6">
                  <c:v>0</c:v>
                </c:pt>
                <c:pt idx="7">
                  <c:v>0</c:v>
                </c:pt>
              </c:numCache>
            </c:numRef>
          </c:val>
          <c:extLst xmlns:c16r2="http://schemas.microsoft.com/office/drawing/2015/06/chart">
            <c:ext xmlns:c16="http://schemas.microsoft.com/office/drawing/2014/chart" uri="{C3380CC4-5D6E-409C-BE32-E72D297353CC}">
              <c16:uniqueId val="{00000000-3BB0-43C3-8F9B-31C94D6F767C}"/>
            </c:ext>
          </c:extLst>
        </c:ser>
        <c:ser>
          <c:idx val="1"/>
          <c:order val="1"/>
          <c:tx>
            <c:strRef>
              <c:f>'Labour Mkt Impacts'!$C$1</c:f>
              <c:strCache>
                <c:ptCount val="1"/>
                <c:pt idx="0">
                  <c:v>Real wage</c:v>
                </c:pt>
              </c:strCache>
            </c:strRef>
          </c:tx>
          <c:spPr>
            <a:solidFill>
              <a:schemeClr val="accent1">
                <a:tint val="77000"/>
              </a:schemeClr>
            </a:solidFill>
            <a:ln>
              <a:noFill/>
            </a:ln>
            <a:effectLst/>
          </c:spPr>
          <c:invertIfNegative val="0"/>
          <c:cat>
            <c:strRef>
              <c:f>'Labour Mkt Impacts'!$A$2:$A$9</c:f>
              <c:strCache>
                <c:ptCount val="8"/>
                <c:pt idx="0">
                  <c:v>Managerial</c:v>
                </c:pt>
                <c:pt idx="1">
                  <c:v>Professional</c:v>
                </c:pt>
                <c:pt idx="2">
                  <c:v>Technical</c:v>
                </c:pt>
                <c:pt idx="3">
                  <c:v>Community &amp; Personal Services</c:v>
                </c:pt>
                <c:pt idx="4">
                  <c:v>Clerical</c:v>
                </c:pt>
                <c:pt idx="5">
                  <c:v>Sales</c:v>
                </c:pt>
                <c:pt idx="6">
                  <c:v>Machinery operators</c:v>
                </c:pt>
                <c:pt idx="7">
                  <c:v>Agricultural workers and labourers</c:v>
                </c:pt>
              </c:strCache>
            </c:strRef>
          </c:cat>
          <c:val>
            <c:numRef>
              <c:f>'Labour Mkt Impacts'!$C$2:$C$9</c:f>
              <c:numCache>
                <c:formatCode>0.00%</c:formatCode>
                <c:ptCount val="8"/>
                <c:pt idx="0">
                  <c:v>9.4793219999999997E-2</c:v>
                </c:pt>
                <c:pt idx="1">
                  <c:v>8.4933999999999996E-2</c:v>
                </c:pt>
                <c:pt idx="2">
                  <c:v>8.5075650000000003E-2</c:v>
                </c:pt>
                <c:pt idx="3">
                  <c:v>7.9011520000000002E-2</c:v>
                </c:pt>
                <c:pt idx="4">
                  <c:v>9.0422340000000004E-2</c:v>
                </c:pt>
                <c:pt idx="5">
                  <c:v>9.5612810000000006E-2</c:v>
                </c:pt>
                <c:pt idx="6">
                  <c:v>0.11423800000000001</c:v>
                </c:pt>
                <c:pt idx="7">
                  <c:v>0.14763799999999999</c:v>
                </c:pt>
              </c:numCache>
            </c:numRef>
          </c:val>
          <c:extLst xmlns:c16r2="http://schemas.microsoft.com/office/drawing/2015/06/chart">
            <c:ext xmlns:c16="http://schemas.microsoft.com/office/drawing/2014/chart" uri="{C3380CC4-5D6E-409C-BE32-E72D297353CC}">
              <c16:uniqueId val="{00000001-3BB0-43C3-8F9B-31C94D6F767C}"/>
            </c:ext>
          </c:extLst>
        </c:ser>
        <c:dLbls>
          <c:showLegendKey val="0"/>
          <c:showVal val="0"/>
          <c:showCatName val="0"/>
          <c:showSerName val="0"/>
          <c:showPercent val="0"/>
          <c:showBubbleSize val="0"/>
        </c:dLbls>
        <c:gapWidth val="219"/>
        <c:overlap val="-27"/>
        <c:axId val="45325696"/>
        <c:axId val="167187584"/>
      </c:barChart>
      <c:catAx>
        <c:axId val="45325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187584"/>
        <c:crosses val="autoZero"/>
        <c:auto val="1"/>
        <c:lblAlgn val="ctr"/>
        <c:lblOffset val="100"/>
        <c:noMultiLvlLbl val="0"/>
      </c:catAx>
      <c:valAx>
        <c:axId val="1671875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325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12700"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 2: Labour Market Dynamics by Occupation</a:t>
            </a:r>
          </a:p>
        </c:rich>
      </c:tx>
      <c:overlay val="0"/>
      <c:spPr>
        <a:noFill/>
        <a:ln>
          <a:noFill/>
        </a:ln>
        <a:effectLst/>
      </c:spPr>
    </c:title>
    <c:autoTitleDeleted val="0"/>
    <c:plotArea>
      <c:layout/>
      <c:lineChart>
        <c:grouping val="standard"/>
        <c:varyColors val="0"/>
        <c:ser>
          <c:idx val="0"/>
          <c:order val="0"/>
          <c:tx>
            <c:strRef>
              <c:f>'Labour Mkt Impacts'!$A$63</c:f>
              <c:strCache>
                <c:ptCount val="1"/>
                <c:pt idx="0">
                  <c:v>Managerial</c:v>
                </c:pt>
              </c:strCache>
            </c:strRef>
          </c:tx>
          <c:spPr>
            <a:ln w="28575" cap="rnd">
              <a:solidFill>
                <a:schemeClr val="accent1"/>
              </a:solidFill>
              <a:round/>
            </a:ln>
            <a:effectLst/>
          </c:spPr>
          <c:marker>
            <c:symbol val="none"/>
          </c:marker>
          <c:cat>
            <c:numRef>
              <c:f>'Labour Mkt Impacts'!$B$62:$R$62</c:f>
              <c:numCache>
                <c:formatCode>General</c:formatCode>
                <c:ptCount val="17"/>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pt idx="14">
                  <c:v>2031</c:v>
                </c:pt>
                <c:pt idx="15">
                  <c:v>2032</c:v>
                </c:pt>
                <c:pt idx="16">
                  <c:v>2033</c:v>
                </c:pt>
              </c:numCache>
            </c:numRef>
          </c:cat>
          <c:val>
            <c:numRef>
              <c:f>'Labour Mkt Impacts'!$B$63:$R$63</c:f>
              <c:numCache>
                <c:formatCode>0.00%</c:formatCode>
                <c:ptCount val="17"/>
                <c:pt idx="0">
                  <c:v>0</c:v>
                </c:pt>
                <c:pt idx="1">
                  <c:v>0</c:v>
                </c:pt>
                <c:pt idx="2">
                  <c:v>8.7195309999999998E-2</c:v>
                </c:pt>
                <c:pt idx="3">
                  <c:v>8.9385400000000004E-2</c:v>
                </c:pt>
                <c:pt idx="4">
                  <c:v>8.4425749999999994E-2</c:v>
                </c:pt>
                <c:pt idx="5">
                  <c:v>8.2003549999999995E-2</c:v>
                </c:pt>
                <c:pt idx="6">
                  <c:v>8.0506380000000002E-2</c:v>
                </c:pt>
                <c:pt idx="7">
                  <c:v>7.9657060000000002E-2</c:v>
                </c:pt>
                <c:pt idx="8">
                  <c:v>7.9267790000000005E-2</c:v>
                </c:pt>
                <c:pt idx="9">
                  <c:v>7.9316419999999999E-2</c:v>
                </c:pt>
                <c:pt idx="10">
                  <c:v>7.9820420000000003E-2</c:v>
                </c:pt>
                <c:pt idx="11">
                  <c:v>8.077811E-2</c:v>
                </c:pt>
                <c:pt idx="12">
                  <c:v>8.2177920000000002E-2</c:v>
                </c:pt>
                <c:pt idx="13">
                  <c:v>8.3950700000000003E-2</c:v>
                </c:pt>
                <c:pt idx="14">
                  <c:v>8.6125460000000001E-2</c:v>
                </c:pt>
                <c:pt idx="15">
                  <c:v>8.8681999999999997E-2</c:v>
                </c:pt>
                <c:pt idx="16">
                  <c:v>9.1580729999999999E-2</c:v>
                </c:pt>
              </c:numCache>
            </c:numRef>
          </c:val>
          <c:smooth val="0"/>
          <c:extLst xmlns:c16r2="http://schemas.microsoft.com/office/drawing/2015/06/chart">
            <c:ext xmlns:c16="http://schemas.microsoft.com/office/drawing/2014/chart" uri="{C3380CC4-5D6E-409C-BE32-E72D297353CC}">
              <c16:uniqueId val="{00000000-8FA3-459A-B586-BD25CB613636}"/>
            </c:ext>
          </c:extLst>
        </c:ser>
        <c:ser>
          <c:idx val="1"/>
          <c:order val="1"/>
          <c:tx>
            <c:strRef>
              <c:f>'Labour Mkt Impacts'!$A$64</c:f>
              <c:strCache>
                <c:ptCount val="1"/>
                <c:pt idx="0">
                  <c:v>Professional</c:v>
                </c:pt>
              </c:strCache>
            </c:strRef>
          </c:tx>
          <c:spPr>
            <a:ln w="28575" cap="rnd">
              <a:solidFill>
                <a:schemeClr val="accent2"/>
              </a:solidFill>
              <a:round/>
            </a:ln>
            <a:effectLst/>
          </c:spPr>
          <c:marker>
            <c:symbol val="none"/>
          </c:marker>
          <c:cat>
            <c:numRef>
              <c:f>'Labour Mkt Impacts'!$B$62:$R$62</c:f>
              <c:numCache>
                <c:formatCode>General</c:formatCode>
                <c:ptCount val="17"/>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pt idx="14">
                  <c:v>2031</c:v>
                </c:pt>
                <c:pt idx="15">
                  <c:v>2032</c:v>
                </c:pt>
                <c:pt idx="16">
                  <c:v>2033</c:v>
                </c:pt>
              </c:numCache>
            </c:numRef>
          </c:cat>
          <c:val>
            <c:numRef>
              <c:f>'Labour Mkt Impacts'!$B$64:$R$64</c:f>
              <c:numCache>
                <c:formatCode>0.00%</c:formatCode>
                <c:ptCount val="17"/>
                <c:pt idx="0">
                  <c:v>0</c:v>
                </c:pt>
                <c:pt idx="1">
                  <c:v>0</c:v>
                </c:pt>
                <c:pt idx="2">
                  <c:v>8.1240409999999999E-2</c:v>
                </c:pt>
                <c:pt idx="3">
                  <c:v>7.7404070000000005E-2</c:v>
                </c:pt>
                <c:pt idx="4">
                  <c:v>7.0645700000000006E-2</c:v>
                </c:pt>
                <c:pt idx="5">
                  <c:v>6.7701949999999997E-2</c:v>
                </c:pt>
                <c:pt idx="6">
                  <c:v>6.6180000000000003E-2</c:v>
                </c:pt>
                <c:pt idx="7">
                  <c:v>6.5440559999999995E-2</c:v>
                </c:pt>
                <c:pt idx="8">
                  <c:v>6.5304630000000002E-2</c:v>
                </c:pt>
                <c:pt idx="9">
                  <c:v>6.564304E-2</c:v>
                </c:pt>
                <c:pt idx="10">
                  <c:v>6.6472210000000004E-2</c:v>
                </c:pt>
                <c:pt idx="11">
                  <c:v>6.779926E-2</c:v>
                </c:pt>
                <c:pt idx="12">
                  <c:v>6.9622279999999995E-2</c:v>
                </c:pt>
                <c:pt idx="13">
                  <c:v>7.1881410000000007E-2</c:v>
                </c:pt>
                <c:pt idx="14">
                  <c:v>7.4586609999999998E-2</c:v>
                </c:pt>
                <c:pt idx="15">
                  <c:v>7.7708239999999998E-2</c:v>
                </c:pt>
                <c:pt idx="16">
                  <c:v>8.1179619999999994E-2</c:v>
                </c:pt>
              </c:numCache>
            </c:numRef>
          </c:val>
          <c:smooth val="0"/>
          <c:extLst xmlns:c16r2="http://schemas.microsoft.com/office/drawing/2015/06/chart">
            <c:ext xmlns:c16="http://schemas.microsoft.com/office/drawing/2014/chart" uri="{C3380CC4-5D6E-409C-BE32-E72D297353CC}">
              <c16:uniqueId val="{00000001-8FA3-459A-B586-BD25CB613636}"/>
            </c:ext>
          </c:extLst>
        </c:ser>
        <c:ser>
          <c:idx val="2"/>
          <c:order val="2"/>
          <c:tx>
            <c:strRef>
              <c:f>'Labour Mkt Impacts'!$A$65</c:f>
              <c:strCache>
                <c:ptCount val="1"/>
                <c:pt idx="0">
                  <c:v>Technical</c:v>
                </c:pt>
              </c:strCache>
            </c:strRef>
          </c:tx>
          <c:spPr>
            <a:ln w="28575" cap="rnd">
              <a:solidFill>
                <a:schemeClr val="accent3"/>
              </a:solidFill>
              <a:round/>
            </a:ln>
            <a:effectLst/>
          </c:spPr>
          <c:marker>
            <c:symbol val="none"/>
          </c:marker>
          <c:cat>
            <c:numRef>
              <c:f>'Labour Mkt Impacts'!$B$62:$R$62</c:f>
              <c:numCache>
                <c:formatCode>General</c:formatCode>
                <c:ptCount val="17"/>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pt idx="14">
                  <c:v>2031</c:v>
                </c:pt>
                <c:pt idx="15">
                  <c:v>2032</c:v>
                </c:pt>
                <c:pt idx="16">
                  <c:v>2033</c:v>
                </c:pt>
              </c:numCache>
            </c:numRef>
          </c:cat>
          <c:val>
            <c:numRef>
              <c:f>'Labour Mkt Impacts'!$B$65:$R$65</c:f>
              <c:numCache>
                <c:formatCode>0.00%</c:formatCode>
                <c:ptCount val="17"/>
                <c:pt idx="0">
                  <c:v>0</c:v>
                </c:pt>
                <c:pt idx="1">
                  <c:v>0</c:v>
                </c:pt>
                <c:pt idx="2">
                  <c:v>8.0576149999999999E-2</c:v>
                </c:pt>
                <c:pt idx="3">
                  <c:v>7.8177529999999995E-2</c:v>
                </c:pt>
                <c:pt idx="4">
                  <c:v>7.0659059999999996E-2</c:v>
                </c:pt>
                <c:pt idx="5">
                  <c:v>6.7025269999999998E-2</c:v>
                </c:pt>
                <c:pt idx="6">
                  <c:v>6.5077380000000004E-2</c:v>
                </c:pt>
                <c:pt idx="7">
                  <c:v>6.4193990000000006E-2</c:v>
                </c:pt>
                <c:pt idx="8">
                  <c:v>6.4135880000000006E-2</c:v>
                </c:pt>
                <c:pt idx="9">
                  <c:v>6.4637390000000003E-2</c:v>
                </c:pt>
                <c:pt idx="10">
                  <c:v>6.5676170000000006E-2</c:v>
                </c:pt>
                <c:pt idx="11">
                  <c:v>6.7220669999999996E-2</c:v>
                </c:pt>
                <c:pt idx="12">
                  <c:v>6.9250320000000004E-2</c:v>
                </c:pt>
                <c:pt idx="13">
                  <c:v>7.1696179999999998E-2</c:v>
                </c:pt>
                <c:pt idx="14">
                  <c:v>7.4549389999999993E-2</c:v>
                </c:pt>
                <c:pt idx="15">
                  <c:v>7.7771599999999996E-2</c:v>
                </c:pt>
                <c:pt idx="16">
                  <c:v>8.1296460000000001E-2</c:v>
                </c:pt>
              </c:numCache>
            </c:numRef>
          </c:val>
          <c:smooth val="0"/>
          <c:extLst xmlns:c16r2="http://schemas.microsoft.com/office/drawing/2015/06/chart">
            <c:ext xmlns:c16="http://schemas.microsoft.com/office/drawing/2014/chart" uri="{C3380CC4-5D6E-409C-BE32-E72D297353CC}">
              <c16:uniqueId val="{00000002-8FA3-459A-B586-BD25CB613636}"/>
            </c:ext>
          </c:extLst>
        </c:ser>
        <c:ser>
          <c:idx val="3"/>
          <c:order val="3"/>
          <c:tx>
            <c:strRef>
              <c:f>'Labour Mkt Impacts'!$A$66</c:f>
              <c:strCache>
                <c:ptCount val="1"/>
                <c:pt idx="0">
                  <c:v>Community &amp; Personal Services</c:v>
                </c:pt>
              </c:strCache>
            </c:strRef>
          </c:tx>
          <c:spPr>
            <a:ln w="28575" cap="rnd">
              <a:solidFill>
                <a:schemeClr val="accent4"/>
              </a:solidFill>
              <a:round/>
            </a:ln>
            <a:effectLst/>
          </c:spPr>
          <c:marker>
            <c:symbol val="none"/>
          </c:marker>
          <c:cat>
            <c:numRef>
              <c:f>'Labour Mkt Impacts'!$B$62:$R$62</c:f>
              <c:numCache>
                <c:formatCode>General</c:formatCode>
                <c:ptCount val="17"/>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pt idx="14">
                  <c:v>2031</c:v>
                </c:pt>
                <c:pt idx="15">
                  <c:v>2032</c:v>
                </c:pt>
                <c:pt idx="16">
                  <c:v>2033</c:v>
                </c:pt>
              </c:numCache>
            </c:numRef>
          </c:cat>
          <c:val>
            <c:numRef>
              <c:f>'Labour Mkt Impacts'!$B$66:$R$66</c:f>
              <c:numCache>
                <c:formatCode>0.00%</c:formatCode>
                <c:ptCount val="17"/>
                <c:pt idx="0">
                  <c:v>0</c:v>
                </c:pt>
                <c:pt idx="1">
                  <c:v>0</c:v>
                </c:pt>
                <c:pt idx="2">
                  <c:v>7.6186530000000002E-2</c:v>
                </c:pt>
                <c:pt idx="3">
                  <c:v>7.6957990000000004E-2</c:v>
                </c:pt>
                <c:pt idx="4">
                  <c:v>7.0077050000000002E-2</c:v>
                </c:pt>
                <c:pt idx="5">
                  <c:v>6.6828319999999997E-2</c:v>
                </c:pt>
                <c:pt idx="6">
                  <c:v>6.4991400000000005E-2</c:v>
                </c:pt>
                <c:pt idx="7">
                  <c:v>6.3948000000000005E-2</c:v>
                </c:pt>
                <c:pt idx="8">
                  <c:v>6.339359E-2</c:v>
                </c:pt>
                <c:pt idx="9">
                  <c:v>6.3383869999999995E-2</c:v>
                </c:pt>
                <c:pt idx="10">
                  <c:v>6.3858159999999997E-2</c:v>
                </c:pt>
                <c:pt idx="11">
                  <c:v>6.4804399999999998E-2</c:v>
                </c:pt>
                <c:pt idx="12">
                  <c:v>6.6210939999999996E-2</c:v>
                </c:pt>
                <c:pt idx="13">
                  <c:v>6.798854E-2</c:v>
                </c:pt>
                <c:pt idx="14">
                  <c:v>7.0194699999999999E-2</c:v>
                </c:pt>
                <c:pt idx="15">
                  <c:v>7.279998E-2</c:v>
                </c:pt>
                <c:pt idx="16">
                  <c:v>7.5754719999999998E-2</c:v>
                </c:pt>
              </c:numCache>
            </c:numRef>
          </c:val>
          <c:smooth val="0"/>
          <c:extLst xmlns:c16r2="http://schemas.microsoft.com/office/drawing/2015/06/chart">
            <c:ext xmlns:c16="http://schemas.microsoft.com/office/drawing/2014/chart" uri="{C3380CC4-5D6E-409C-BE32-E72D297353CC}">
              <c16:uniqueId val="{00000003-8FA3-459A-B586-BD25CB613636}"/>
            </c:ext>
          </c:extLst>
        </c:ser>
        <c:ser>
          <c:idx val="4"/>
          <c:order val="4"/>
          <c:tx>
            <c:strRef>
              <c:f>'Labour Mkt Impacts'!$A$67</c:f>
              <c:strCache>
                <c:ptCount val="1"/>
                <c:pt idx="0">
                  <c:v>Clerical</c:v>
                </c:pt>
              </c:strCache>
            </c:strRef>
          </c:tx>
          <c:spPr>
            <a:ln w="28575" cap="rnd">
              <a:solidFill>
                <a:schemeClr val="accent5"/>
              </a:solidFill>
              <a:round/>
            </a:ln>
            <a:effectLst/>
          </c:spPr>
          <c:marker>
            <c:symbol val="none"/>
          </c:marker>
          <c:cat>
            <c:numRef>
              <c:f>'Labour Mkt Impacts'!$B$62:$R$62</c:f>
              <c:numCache>
                <c:formatCode>General</c:formatCode>
                <c:ptCount val="17"/>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pt idx="14">
                  <c:v>2031</c:v>
                </c:pt>
                <c:pt idx="15">
                  <c:v>2032</c:v>
                </c:pt>
                <c:pt idx="16">
                  <c:v>2033</c:v>
                </c:pt>
              </c:numCache>
            </c:numRef>
          </c:cat>
          <c:val>
            <c:numRef>
              <c:f>'Labour Mkt Impacts'!$B$67:$R$67</c:f>
              <c:numCache>
                <c:formatCode>0.00%</c:formatCode>
                <c:ptCount val="17"/>
                <c:pt idx="0">
                  <c:v>0</c:v>
                </c:pt>
                <c:pt idx="1">
                  <c:v>0</c:v>
                </c:pt>
                <c:pt idx="2">
                  <c:v>8.0696519999999994E-2</c:v>
                </c:pt>
                <c:pt idx="3">
                  <c:v>7.9914650000000004E-2</c:v>
                </c:pt>
                <c:pt idx="4">
                  <c:v>7.445396E-2</c:v>
                </c:pt>
                <c:pt idx="5">
                  <c:v>7.2518260000000001E-2</c:v>
                </c:pt>
                <c:pt idx="6">
                  <c:v>7.1669549999999999E-2</c:v>
                </c:pt>
                <c:pt idx="7">
                  <c:v>7.1396979999999999E-2</c:v>
                </c:pt>
                <c:pt idx="8">
                  <c:v>7.1542430000000004E-2</c:v>
                </c:pt>
                <c:pt idx="9">
                  <c:v>7.2064649999999994E-2</c:v>
                </c:pt>
                <c:pt idx="10">
                  <c:v>7.2990890000000003E-2</c:v>
                </c:pt>
                <c:pt idx="11">
                  <c:v>7.4357859999999998E-2</c:v>
                </c:pt>
                <c:pt idx="12">
                  <c:v>7.6154280000000005E-2</c:v>
                </c:pt>
                <c:pt idx="13">
                  <c:v>7.8321089999999996E-2</c:v>
                </c:pt>
                <c:pt idx="14">
                  <c:v>8.0867980000000006E-2</c:v>
                </c:pt>
                <c:pt idx="15">
                  <c:v>8.3775459999999996E-2</c:v>
                </c:pt>
                <c:pt idx="16">
                  <c:v>8.6975869999999997E-2</c:v>
                </c:pt>
              </c:numCache>
            </c:numRef>
          </c:val>
          <c:smooth val="0"/>
          <c:extLst xmlns:c16r2="http://schemas.microsoft.com/office/drawing/2015/06/chart">
            <c:ext xmlns:c16="http://schemas.microsoft.com/office/drawing/2014/chart" uri="{C3380CC4-5D6E-409C-BE32-E72D297353CC}">
              <c16:uniqueId val="{00000004-8FA3-459A-B586-BD25CB613636}"/>
            </c:ext>
          </c:extLst>
        </c:ser>
        <c:ser>
          <c:idx val="5"/>
          <c:order val="5"/>
          <c:tx>
            <c:strRef>
              <c:f>'Labour Mkt Impacts'!$A$68</c:f>
              <c:strCache>
                <c:ptCount val="1"/>
                <c:pt idx="0">
                  <c:v>Sales</c:v>
                </c:pt>
              </c:strCache>
            </c:strRef>
          </c:tx>
          <c:spPr>
            <a:ln w="28575" cap="rnd">
              <a:solidFill>
                <a:schemeClr val="accent6"/>
              </a:solidFill>
              <a:round/>
            </a:ln>
            <a:effectLst/>
          </c:spPr>
          <c:marker>
            <c:symbol val="none"/>
          </c:marker>
          <c:cat>
            <c:numRef>
              <c:f>'Labour Mkt Impacts'!$B$62:$R$62</c:f>
              <c:numCache>
                <c:formatCode>General</c:formatCode>
                <c:ptCount val="17"/>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pt idx="14">
                  <c:v>2031</c:v>
                </c:pt>
                <c:pt idx="15">
                  <c:v>2032</c:v>
                </c:pt>
                <c:pt idx="16">
                  <c:v>2033</c:v>
                </c:pt>
              </c:numCache>
            </c:numRef>
          </c:cat>
          <c:val>
            <c:numRef>
              <c:f>'Labour Mkt Impacts'!$B$68:$R$68</c:f>
              <c:numCache>
                <c:formatCode>0.00%</c:formatCode>
                <c:ptCount val="17"/>
                <c:pt idx="0">
                  <c:v>0</c:v>
                </c:pt>
                <c:pt idx="1">
                  <c:v>0</c:v>
                </c:pt>
                <c:pt idx="2">
                  <c:v>8.9406899999999997E-2</c:v>
                </c:pt>
                <c:pt idx="3">
                  <c:v>8.3532999999999996E-2</c:v>
                </c:pt>
                <c:pt idx="4">
                  <c:v>7.6512839999999999E-2</c:v>
                </c:pt>
                <c:pt idx="5">
                  <c:v>7.4064340000000006E-2</c:v>
                </c:pt>
                <c:pt idx="6">
                  <c:v>7.3251640000000007E-2</c:v>
                </c:pt>
                <c:pt idx="7">
                  <c:v>7.3261290000000007E-2</c:v>
                </c:pt>
                <c:pt idx="8">
                  <c:v>7.3731660000000004E-2</c:v>
                </c:pt>
                <c:pt idx="9">
                  <c:v>7.4669089999999994E-2</c:v>
                </c:pt>
                <c:pt idx="10">
                  <c:v>7.6062350000000001E-2</c:v>
                </c:pt>
                <c:pt idx="11">
                  <c:v>7.7900159999999996E-2</c:v>
                </c:pt>
                <c:pt idx="12">
                  <c:v>8.0144789999999994E-2</c:v>
                </c:pt>
                <c:pt idx="13">
                  <c:v>8.2690860000000005E-2</c:v>
                </c:pt>
                <c:pt idx="14">
                  <c:v>8.5548819999999998E-2</c:v>
                </c:pt>
                <c:pt idx="15">
                  <c:v>8.8691500000000006E-2</c:v>
                </c:pt>
                <c:pt idx="16">
                  <c:v>9.2061859999999995E-2</c:v>
                </c:pt>
              </c:numCache>
            </c:numRef>
          </c:val>
          <c:smooth val="0"/>
          <c:extLst xmlns:c16r2="http://schemas.microsoft.com/office/drawing/2015/06/chart">
            <c:ext xmlns:c16="http://schemas.microsoft.com/office/drawing/2014/chart" uri="{C3380CC4-5D6E-409C-BE32-E72D297353CC}">
              <c16:uniqueId val="{00000005-8FA3-459A-B586-BD25CB613636}"/>
            </c:ext>
          </c:extLst>
        </c:ser>
        <c:ser>
          <c:idx val="6"/>
          <c:order val="6"/>
          <c:tx>
            <c:strRef>
              <c:f>'Labour Mkt Impacts'!$A$69</c:f>
              <c:strCache>
                <c:ptCount val="1"/>
                <c:pt idx="0">
                  <c:v>Machinery operators</c:v>
                </c:pt>
              </c:strCache>
            </c:strRef>
          </c:tx>
          <c:spPr>
            <a:ln w="28575" cap="rnd">
              <a:solidFill>
                <a:schemeClr val="accent1">
                  <a:lumMod val="60000"/>
                </a:schemeClr>
              </a:solidFill>
              <a:round/>
            </a:ln>
            <a:effectLst/>
          </c:spPr>
          <c:marker>
            <c:symbol val="none"/>
          </c:marker>
          <c:cat>
            <c:numRef>
              <c:f>'Labour Mkt Impacts'!$B$62:$R$62</c:f>
              <c:numCache>
                <c:formatCode>General</c:formatCode>
                <c:ptCount val="17"/>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pt idx="14">
                  <c:v>2031</c:v>
                </c:pt>
                <c:pt idx="15">
                  <c:v>2032</c:v>
                </c:pt>
                <c:pt idx="16">
                  <c:v>2033</c:v>
                </c:pt>
              </c:numCache>
            </c:numRef>
          </c:cat>
          <c:val>
            <c:numRef>
              <c:f>'Labour Mkt Impacts'!$B$69:$R$69</c:f>
              <c:numCache>
                <c:formatCode>0.00%</c:formatCode>
                <c:ptCount val="17"/>
                <c:pt idx="0">
                  <c:v>0</c:v>
                </c:pt>
                <c:pt idx="1">
                  <c:v>0</c:v>
                </c:pt>
                <c:pt idx="2">
                  <c:v>0.11069</c:v>
                </c:pt>
                <c:pt idx="3">
                  <c:v>0.105166</c:v>
                </c:pt>
                <c:pt idx="4">
                  <c:v>9.9509749999999994E-2</c:v>
                </c:pt>
                <c:pt idx="5">
                  <c:v>9.7457299999999997E-2</c:v>
                </c:pt>
                <c:pt idx="6">
                  <c:v>9.6540609999999999E-2</c:v>
                </c:pt>
                <c:pt idx="7">
                  <c:v>9.6297510000000003E-2</c:v>
                </c:pt>
                <c:pt idx="8">
                  <c:v>9.6374989999999994E-2</c:v>
                </c:pt>
                <c:pt idx="9">
                  <c:v>9.6800600000000001E-2</c:v>
                </c:pt>
                <c:pt idx="10">
                  <c:v>9.7640210000000005E-2</c:v>
                </c:pt>
                <c:pt idx="11">
                  <c:v>9.8901489999999995E-2</c:v>
                </c:pt>
                <c:pt idx="12">
                  <c:v>0.100582</c:v>
                </c:pt>
                <c:pt idx="13">
                  <c:v>0.102605</c:v>
                </c:pt>
                <c:pt idx="14">
                  <c:v>0.10499699999999999</c:v>
                </c:pt>
                <c:pt idx="15">
                  <c:v>0.107769</c:v>
                </c:pt>
                <c:pt idx="16">
                  <c:v>0.110862</c:v>
                </c:pt>
              </c:numCache>
            </c:numRef>
          </c:val>
          <c:smooth val="0"/>
          <c:extLst xmlns:c16r2="http://schemas.microsoft.com/office/drawing/2015/06/chart">
            <c:ext xmlns:c16="http://schemas.microsoft.com/office/drawing/2014/chart" uri="{C3380CC4-5D6E-409C-BE32-E72D297353CC}">
              <c16:uniqueId val="{00000006-8FA3-459A-B586-BD25CB613636}"/>
            </c:ext>
          </c:extLst>
        </c:ser>
        <c:ser>
          <c:idx val="7"/>
          <c:order val="7"/>
          <c:tx>
            <c:strRef>
              <c:f>'Labour Mkt Impacts'!$A$70</c:f>
              <c:strCache>
                <c:ptCount val="1"/>
                <c:pt idx="0">
                  <c:v>Agricultural workers and labourers</c:v>
                </c:pt>
              </c:strCache>
            </c:strRef>
          </c:tx>
          <c:spPr>
            <a:ln w="28575" cap="rnd">
              <a:solidFill>
                <a:schemeClr val="accent2">
                  <a:lumMod val="60000"/>
                </a:schemeClr>
              </a:solidFill>
              <a:round/>
            </a:ln>
            <a:effectLst/>
          </c:spPr>
          <c:marker>
            <c:symbol val="none"/>
          </c:marker>
          <c:cat>
            <c:numRef>
              <c:f>'Labour Mkt Impacts'!$B$62:$R$62</c:f>
              <c:numCache>
                <c:formatCode>General</c:formatCode>
                <c:ptCount val="17"/>
                <c:pt idx="1">
                  <c:v>2018</c:v>
                </c:pt>
                <c:pt idx="2">
                  <c:v>2019</c:v>
                </c:pt>
                <c:pt idx="3">
                  <c:v>2020</c:v>
                </c:pt>
                <c:pt idx="4">
                  <c:v>2021</c:v>
                </c:pt>
                <c:pt idx="5">
                  <c:v>2022</c:v>
                </c:pt>
                <c:pt idx="6">
                  <c:v>2023</c:v>
                </c:pt>
                <c:pt idx="7">
                  <c:v>2024</c:v>
                </c:pt>
                <c:pt idx="8">
                  <c:v>2025</c:v>
                </c:pt>
                <c:pt idx="9">
                  <c:v>2026</c:v>
                </c:pt>
                <c:pt idx="10">
                  <c:v>2027</c:v>
                </c:pt>
                <c:pt idx="11">
                  <c:v>2028</c:v>
                </c:pt>
                <c:pt idx="12">
                  <c:v>2029</c:v>
                </c:pt>
                <c:pt idx="13">
                  <c:v>2030</c:v>
                </c:pt>
                <c:pt idx="14">
                  <c:v>2031</c:v>
                </c:pt>
                <c:pt idx="15">
                  <c:v>2032</c:v>
                </c:pt>
                <c:pt idx="16">
                  <c:v>2033</c:v>
                </c:pt>
              </c:numCache>
            </c:numRef>
          </c:cat>
          <c:val>
            <c:numRef>
              <c:f>'Labour Mkt Impacts'!$B$70:$R$70</c:f>
              <c:numCache>
                <c:formatCode>0.00%</c:formatCode>
                <c:ptCount val="17"/>
                <c:pt idx="0">
                  <c:v>0</c:v>
                </c:pt>
                <c:pt idx="1">
                  <c:v>0</c:v>
                </c:pt>
                <c:pt idx="2">
                  <c:v>0.13882900000000001</c:v>
                </c:pt>
                <c:pt idx="3">
                  <c:v>0.141818</c:v>
                </c:pt>
                <c:pt idx="4">
                  <c:v>0.13713400000000001</c:v>
                </c:pt>
                <c:pt idx="5">
                  <c:v>0.135462</c:v>
                </c:pt>
                <c:pt idx="6">
                  <c:v>0.134662</c:v>
                </c:pt>
                <c:pt idx="7">
                  <c:v>0.13439000000000001</c:v>
                </c:pt>
                <c:pt idx="8">
                  <c:v>0.13439999999999999</c:v>
                </c:pt>
                <c:pt idx="9">
                  <c:v>0.134767</c:v>
                </c:pt>
                <c:pt idx="10">
                  <c:v>0.135461</c:v>
                </c:pt>
                <c:pt idx="11">
                  <c:v>0.13649</c:v>
                </c:pt>
                <c:pt idx="12">
                  <c:v>0.137823</c:v>
                </c:pt>
                <c:pt idx="13">
                  <c:v>0.13929800000000001</c:v>
                </c:pt>
                <c:pt idx="14">
                  <c:v>0.14102999999999999</c:v>
                </c:pt>
                <c:pt idx="15">
                  <c:v>0.14301700000000001</c:v>
                </c:pt>
                <c:pt idx="16">
                  <c:v>0.145233</c:v>
                </c:pt>
              </c:numCache>
            </c:numRef>
          </c:val>
          <c:smooth val="0"/>
          <c:extLst xmlns:c16r2="http://schemas.microsoft.com/office/drawing/2015/06/chart">
            <c:ext xmlns:c16="http://schemas.microsoft.com/office/drawing/2014/chart" uri="{C3380CC4-5D6E-409C-BE32-E72D297353CC}">
              <c16:uniqueId val="{00000007-8FA3-459A-B586-BD25CB613636}"/>
            </c:ext>
          </c:extLst>
        </c:ser>
        <c:dLbls>
          <c:showLegendKey val="0"/>
          <c:showVal val="0"/>
          <c:showCatName val="0"/>
          <c:showSerName val="0"/>
          <c:showPercent val="0"/>
          <c:showBubbleSize val="0"/>
        </c:dLbls>
        <c:marker val="1"/>
        <c:smooth val="0"/>
        <c:axId val="212478208"/>
        <c:axId val="212484096"/>
      </c:lineChart>
      <c:catAx>
        <c:axId val="21247820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484096"/>
        <c:crosses val="autoZero"/>
        <c:auto val="1"/>
        <c:lblAlgn val="ctr"/>
        <c:lblOffset val="100"/>
        <c:noMultiLvlLbl val="0"/>
      </c:catAx>
      <c:valAx>
        <c:axId val="21248409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478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Figure 3: Job Impacts by Sector and Sex</a:t>
            </a:r>
          </a:p>
        </c:rich>
      </c:tx>
      <c:overlay val="0"/>
      <c:spPr>
        <a:noFill/>
        <a:ln>
          <a:noFill/>
        </a:ln>
        <a:effectLst/>
      </c:spPr>
    </c:title>
    <c:autoTitleDeleted val="0"/>
    <c:plotArea>
      <c:layout/>
      <c:barChart>
        <c:barDir val="col"/>
        <c:grouping val="clustered"/>
        <c:varyColors val="0"/>
        <c:ser>
          <c:idx val="0"/>
          <c:order val="0"/>
          <c:tx>
            <c:strRef>
              <c:f>'Labour Mkt Impacts'!$B$19</c:f>
              <c:strCache>
                <c:ptCount val="1"/>
                <c:pt idx="0">
                  <c:v>Jobs (Male)</c:v>
                </c:pt>
              </c:strCache>
            </c:strRef>
          </c:tx>
          <c:spPr>
            <a:solidFill>
              <a:schemeClr val="accent1">
                <a:shade val="76000"/>
              </a:schemeClr>
            </a:solidFill>
            <a:ln>
              <a:noFill/>
            </a:ln>
            <a:effectLst/>
          </c:spPr>
          <c:invertIfNegative val="0"/>
          <c:cat>
            <c:strRef>
              <c:f>'Labour Mkt Impacts'!$A$20:$A$56</c:f>
              <c:strCache>
                <c:ptCount val="37"/>
                <c:pt idx="0">
                  <c:v>Grains</c:v>
                </c:pt>
                <c:pt idx="1">
                  <c:v>Fruit &amp; Vegetables</c:v>
                </c:pt>
                <c:pt idx="2">
                  <c:v>Oil Seeds</c:v>
                </c:pt>
                <c:pt idx="3">
                  <c:v>Other Agriculture</c:v>
                </c:pt>
                <c:pt idx="4">
                  <c:v>Vegetable Oil</c:v>
                </c:pt>
                <c:pt idx="5">
                  <c:v>Dairy</c:v>
                </c:pt>
                <c:pt idx="6">
                  <c:v>Beef</c:v>
                </c:pt>
                <c:pt idx="7">
                  <c:v>Pork &amp; Poultry</c:v>
                </c:pt>
                <c:pt idx="8">
                  <c:v>Sugar</c:v>
                </c:pt>
                <c:pt idx="9">
                  <c:v>Other Food Products</c:v>
                </c:pt>
                <c:pt idx="10">
                  <c:v>Beverages &amp; Tobacco</c:v>
                </c:pt>
                <c:pt idx="11">
                  <c:v>Fishing</c:v>
                </c:pt>
                <c:pt idx="12">
                  <c:v>Forestry &amp; Wood Products</c:v>
                </c:pt>
                <c:pt idx="13">
                  <c:v>Mining &amp; Mineral Products</c:v>
                </c:pt>
                <c:pt idx="14">
                  <c:v>Mineral Fuels</c:v>
                </c:pt>
                <c:pt idx="15">
                  <c:v>Chemicals, Rubber &amp; Plastics</c:v>
                </c:pt>
                <c:pt idx="16">
                  <c:v>Textiles</c:v>
                </c:pt>
                <c:pt idx="17">
                  <c:v>Apparel</c:v>
                </c:pt>
                <c:pt idx="18">
                  <c:v>Leather</c:v>
                </c:pt>
                <c:pt idx="19">
                  <c:v>Iron and Steel</c:v>
                </c:pt>
                <c:pt idx="20">
                  <c:v>Non-ferrous Metals</c:v>
                </c:pt>
                <c:pt idx="21">
                  <c:v>Metal Products</c:v>
                </c:pt>
                <c:pt idx="22">
                  <c:v>Motor Vehicles</c:v>
                </c:pt>
                <c:pt idx="23">
                  <c:v>Other Transportation Equipment</c:v>
                </c:pt>
                <c:pt idx="24">
                  <c:v>Electrical Equipment</c:v>
                </c:pt>
                <c:pt idx="25">
                  <c:v>Machinery &amp; Equipment</c:v>
                </c:pt>
                <c:pt idx="26">
                  <c:v>Other Manufacturing</c:v>
                </c:pt>
                <c:pt idx="27">
                  <c:v>Utilities</c:v>
                </c:pt>
                <c:pt idx="28">
                  <c:v>Construction</c:v>
                </c:pt>
                <c:pt idx="29">
                  <c:v>Trade</c:v>
                </c:pt>
                <c:pt idx="30">
                  <c:v>Transportation</c:v>
                </c:pt>
                <c:pt idx="31">
                  <c:v>Communications</c:v>
                </c:pt>
                <c:pt idx="32">
                  <c:v>Financial Services</c:v>
                </c:pt>
                <c:pt idx="33">
                  <c:v>Insurance</c:v>
                </c:pt>
                <c:pt idx="34">
                  <c:v>Business Services</c:v>
                </c:pt>
                <c:pt idx="35">
                  <c:v>Recreation</c:v>
                </c:pt>
                <c:pt idx="36">
                  <c:v>Other Services</c:v>
                </c:pt>
              </c:strCache>
            </c:strRef>
          </c:cat>
          <c:val>
            <c:numRef>
              <c:f>'Labour Mkt Impacts'!$B$20:$B$56</c:f>
              <c:numCache>
                <c:formatCode>#,##0</c:formatCode>
                <c:ptCount val="37"/>
                <c:pt idx="0">
                  <c:v>16.877043000003141</c:v>
                </c:pt>
                <c:pt idx="1">
                  <c:v>116.04665200000454</c:v>
                </c:pt>
                <c:pt idx="2">
                  <c:v>-70.56732099999499</c:v>
                </c:pt>
                <c:pt idx="3">
                  <c:v>309.82145600000325</c:v>
                </c:pt>
                <c:pt idx="4">
                  <c:v>34.655514000000949</c:v>
                </c:pt>
                <c:pt idx="5">
                  <c:v>-455.27813499999684</c:v>
                </c:pt>
                <c:pt idx="6">
                  <c:v>685.09967799999868</c:v>
                </c:pt>
                <c:pt idx="7">
                  <c:v>1204.2563579999987</c:v>
                </c:pt>
                <c:pt idx="8">
                  <c:v>106.0006999999996</c:v>
                </c:pt>
                <c:pt idx="9">
                  <c:v>221.9532990000007</c:v>
                </c:pt>
                <c:pt idx="10">
                  <c:v>65.67238499999803</c:v>
                </c:pt>
                <c:pt idx="11">
                  <c:v>26.349880000001576</c:v>
                </c:pt>
                <c:pt idx="12">
                  <c:v>149.77123399998527</c:v>
                </c:pt>
                <c:pt idx="13">
                  <c:v>53.93310000000929</c:v>
                </c:pt>
                <c:pt idx="14">
                  <c:v>45.630636999983835</c:v>
                </c:pt>
                <c:pt idx="15">
                  <c:v>-19.993493999994826</c:v>
                </c:pt>
                <c:pt idx="16">
                  <c:v>-62.631116999998994</c:v>
                </c:pt>
                <c:pt idx="17">
                  <c:v>-296.41205400000035</c:v>
                </c:pt>
                <c:pt idx="18">
                  <c:v>-41.976367000000209</c:v>
                </c:pt>
                <c:pt idx="19">
                  <c:v>18.180131999994046</c:v>
                </c:pt>
                <c:pt idx="20">
                  <c:v>-28.802304999997432</c:v>
                </c:pt>
                <c:pt idx="21">
                  <c:v>-93.419974000018556</c:v>
                </c:pt>
                <c:pt idx="22">
                  <c:v>1354.7050079999899</c:v>
                </c:pt>
                <c:pt idx="23">
                  <c:v>296.51497000000381</c:v>
                </c:pt>
                <c:pt idx="24">
                  <c:v>95.272607999999309</c:v>
                </c:pt>
                <c:pt idx="25">
                  <c:v>90.744078999996418</c:v>
                </c:pt>
                <c:pt idx="26">
                  <c:v>-551.01870000001509</c:v>
                </c:pt>
                <c:pt idx="27">
                  <c:v>42.528343999998469</c:v>
                </c:pt>
                <c:pt idx="28">
                  <c:v>2265.6359219998121</c:v>
                </c:pt>
                <c:pt idx="29">
                  <c:v>3359.6273190001957</c:v>
                </c:pt>
                <c:pt idx="30">
                  <c:v>1210.2007129999038</c:v>
                </c:pt>
                <c:pt idx="31">
                  <c:v>-33.462136000045575</c:v>
                </c:pt>
                <c:pt idx="32">
                  <c:v>161.21918899996672</c:v>
                </c:pt>
                <c:pt idx="33">
                  <c:v>5.8144809999794234</c:v>
                </c:pt>
                <c:pt idx="34">
                  <c:v>1745.8456349999178</c:v>
                </c:pt>
                <c:pt idx="35">
                  <c:v>564.39659100002609</c:v>
                </c:pt>
                <c:pt idx="36">
                  <c:v>1673.9065510000464</c:v>
                </c:pt>
              </c:numCache>
            </c:numRef>
          </c:val>
          <c:extLst xmlns:c16r2="http://schemas.microsoft.com/office/drawing/2015/06/chart">
            <c:ext xmlns:c16="http://schemas.microsoft.com/office/drawing/2014/chart" uri="{C3380CC4-5D6E-409C-BE32-E72D297353CC}">
              <c16:uniqueId val="{00000000-FD63-4F3C-A03C-1CE55255198E}"/>
            </c:ext>
          </c:extLst>
        </c:ser>
        <c:ser>
          <c:idx val="1"/>
          <c:order val="1"/>
          <c:tx>
            <c:strRef>
              <c:f>'Labour Mkt Impacts'!$C$19</c:f>
              <c:strCache>
                <c:ptCount val="1"/>
                <c:pt idx="0">
                  <c:v>Jobs (Female)</c:v>
                </c:pt>
              </c:strCache>
            </c:strRef>
          </c:tx>
          <c:spPr>
            <a:solidFill>
              <a:schemeClr val="accent1">
                <a:tint val="77000"/>
              </a:schemeClr>
            </a:solidFill>
            <a:ln>
              <a:noFill/>
            </a:ln>
            <a:effectLst/>
          </c:spPr>
          <c:invertIfNegative val="0"/>
          <c:cat>
            <c:strRef>
              <c:f>'Labour Mkt Impacts'!$A$20:$A$56</c:f>
              <c:strCache>
                <c:ptCount val="37"/>
                <c:pt idx="0">
                  <c:v>Grains</c:v>
                </c:pt>
                <c:pt idx="1">
                  <c:v>Fruit &amp; Vegetables</c:v>
                </c:pt>
                <c:pt idx="2">
                  <c:v>Oil Seeds</c:v>
                </c:pt>
                <c:pt idx="3">
                  <c:v>Other Agriculture</c:v>
                </c:pt>
                <c:pt idx="4">
                  <c:v>Vegetable Oil</c:v>
                </c:pt>
                <c:pt idx="5">
                  <c:v>Dairy</c:v>
                </c:pt>
                <c:pt idx="6">
                  <c:v>Beef</c:v>
                </c:pt>
                <c:pt idx="7">
                  <c:v>Pork &amp; Poultry</c:v>
                </c:pt>
                <c:pt idx="8">
                  <c:v>Sugar</c:v>
                </c:pt>
                <c:pt idx="9">
                  <c:v>Other Food Products</c:v>
                </c:pt>
                <c:pt idx="10">
                  <c:v>Beverages &amp; Tobacco</c:v>
                </c:pt>
                <c:pt idx="11">
                  <c:v>Fishing</c:v>
                </c:pt>
                <c:pt idx="12">
                  <c:v>Forestry &amp; Wood Products</c:v>
                </c:pt>
                <c:pt idx="13">
                  <c:v>Mining &amp; Mineral Products</c:v>
                </c:pt>
                <c:pt idx="14">
                  <c:v>Mineral Fuels</c:v>
                </c:pt>
                <c:pt idx="15">
                  <c:v>Chemicals, Rubber &amp; Plastics</c:v>
                </c:pt>
                <c:pt idx="16">
                  <c:v>Textiles</c:v>
                </c:pt>
                <c:pt idx="17">
                  <c:v>Apparel</c:v>
                </c:pt>
                <c:pt idx="18">
                  <c:v>Leather</c:v>
                </c:pt>
                <c:pt idx="19">
                  <c:v>Iron and Steel</c:v>
                </c:pt>
                <c:pt idx="20">
                  <c:v>Non-ferrous Metals</c:v>
                </c:pt>
                <c:pt idx="21">
                  <c:v>Metal Products</c:v>
                </c:pt>
                <c:pt idx="22">
                  <c:v>Motor Vehicles</c:v>
                </c:pt>
                <c:pt idx="23">
                  <c:v>Other Transportation Equipment</c:v>
                </c:pt>
                <c:pt idx="24">
                  <c:v>Electrical Equipment</c:v>
                </c:pt>
                <c:pt idx="25">
                  <c:v>Machinery &amp; Equipment</c:v>
                </c:pt>
                <c:pt idx="26">
                  <c:v>Other Manufacturing</c:v>
                </c:pt>
                <c:pt idx="27">
                  <c:v>Utilities</c:v>
                </c:pt>
                <c:pt idx="28">
                  <c:v>Construction</c:v>
                </c:pt>
                <c:pt idx="29">
                  <c:v>Trade</c:v>
                </c:pt>
                <c:pt idx="30">
                  <c:v>Transportation</c:v>
                </c:pt>
                <c:pt idx="31">
                  <c:v>Communications</c:v>
                </c:pt>
                <c:pt idx="32">
                  <c:v>Financial Services</c:v>
                </c:pt>
                <c:pt idx="33">
                  <c:v>Insurance</c:v>
                </c:pt>
                <c:pt idx="34">
                  <c:v>Business Services</c:v>
                </c:pt>
                <c:pt idx="35">
                  <c:v>Recreation</c:v>
                </c:pt>
                <c:pt idx="36">
                  <c:v>Other Services</c:v>
                </c:pt>
              </c:strCache>
            </c:strRef>
          </c:cat>
          <c:val>
            <c:numRef>
              <c:f>'Labour Mkt Impacts'!$C$20:$C$56</c:f>
              <c:numCache>
                <c:formatCode>#,##0</c:formatCode>
                <c:ptCount val="37"/>
                <c:pt idx="0">
                  <c:v>12.265019000005168</c:v>
                </c:pt>
                <c:pt idx="1">
                  <c:v>68.002252000002045</c:v>
                </c:pt>
                <c:pt idx="2">
                  <c:v>-38.342622000000119</c:v>
                </c:pt>
                <c:pt idx="3">
                  <c:v>179.46290500000055</c:v>
                </c:pt>
                <c:pt idx="4">
                  <c:v>31.426564000000326</c:v>
                </c:pt>
                <c:pt idx="5">
                  <c:v>-256.35769099999925</c:v>
                </c:pt>
                <c:pt idx="6">
                  <c:v>420.32300399999804</c:v>
                </c:pt>
                <c:pt idx="7">
                  <c:v>736.22084600000017</c:v>
                </c:pt>
                <c:pt idx="8">
                  <c:v>121.82093600000053</c:v>
                </c:pt>
                <c:pt idx="9">
                  <c:v>218.65429200000654</c:v>
                </c:pt>
                <c:pt idx="10">
                  <c:v>32.804506000000401</c:v>
                </c:pt>
                <c:pt idx="11">
                  <c:v>6.7504530000005616</c:v>
                </c:pt>
                <c:pt idx="12">
                  <c:v>46.017746999999872</c:v>
                </c:pt>
                <c:pt idx="13">
                  <c:v>32.824802000006457</c:v>
                </c:pt>
                <c:pt idx="14">
                  <c:v>32.551231000000143</c:v>
                </c:pt>
                <c:pt idx="15">
                  <c:v>25.904437000004691</c:v>
                </c:pt>
                <c:pt idx="16">
                  <c:v>-55.393997999999556</c:v>
                </c:pt>
                <c:pt idx="17">
                  <c:v>-773.94506199999887</c:v>
                </c:pt>
                <c:pt idx="18">
                  <c:v>-58.944579000000431</c:v>
                </c:pt>
                <c:pt idx="19">
                  <c:v>6.6526899999971647</c:v>
                </c:pt>
                <c:pt idx="20">
                  <c:v>-2.8606280000012703</c:v>
                </c:pt>
                <c:pt idx="21">
                  <c:v>-2.9069540000054985</c:v>
                </c:pt>
                <c:pt idx="22">
                  <c:v>504.20568299999286</c:v>
                </c:pt>
                <c:pt idx="23">
                  <c:v>92.682343000004039</c:v>
                </c:pt>
                <c:pt idx="24">
                  <c:v>63.792918999999529</c:v>
                </c:pt>
                <c:pt idx="25">
                  <c:v>34.319273999997677</c:v>
                </c:pt>
                <c:pt idx="26">
                  <c:v>-173.81681800000661</c:v>
                </c:pt>
                <c:pt idx="27">
                  <c:v>42.933316000000559</c:v>
                </c:pt>
                <c:pt idx="28">
                  <c:v>422.3246710000094</c:v>
                </c:pt>
                <c:pt idx="29">
                  <c:v>5210.7554620001465</c:v>
                </c:pt>
                <c:pt idx="30">
                  <c:v>621.21178699999473</c:v>
                </c:pt>
                <c:pt idx="31">
                  <c:v>105.2172159999609</c:v>
                </c:pt>
                <c:pt idx="32">
                  <c:v>442.78035200003069</c:v>
                </c:pt>
                <c:pt idx="33">
                  <c:v>181.55825600004755</c:v>
                </c:pt>
                <c:pt idx="34">
                  <c:v>1905.5830950001255</c:v>
                </c:pt>
                <c:pt idx="35">
                  <c:v>909.42442700010724</c:v>
                </c:pt>
                <c:pt idx="36">
                  <c:v>5419.8792560000275</c:v>
                </c:pt>
              </c:numCache>
            </c:numRef>
          </c:val>
          <c:extLst xmlns:c16r2="http://schemas.microsoft.com/office/drawing/2015/06/chart">
            <c:ext xmlns:c16="http://schemas.microsoft.com/office/drawing/2014/chart" uri="{C3380CC4-5D6E-409C-BE32-E72D297353CC}">
              <c16:uniqueId val="{00000001-FD63-4F3C-A03C-1CE55255198E}"/>
            </c:ext>
          </c:extLst>
        </c:ser>
        <c:dLbls>
          <c:showLegendKey val="0"/>
          <c:showVal val="0"/>
          <c:showCatName val="0"/>
          <c:showSerName val="0"/>
          <c:showPercent val="0"/>
          <c:showBubbleSize val="0"/>
        </c:dLbls>
        <c:gapWidth val="219"/>
        <c:overlap val="-27"/>
        <c:axId val="212510592"/>
        <c:axId val="212512128"/>
      </c:barChart>
      <c:catAx>
        <c:axId val="212510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512128"/>
        <c:crosses val="autoZero"/>
        <c:auto val="1"/>
        <c:lblAlgn val="ctr"/>
        <c:lblOffset val="100"/>
        <c:noMultiLvlLbl val="0"/>
      </c:catAx>
      <c:valAx>
        <c:axId val="2125121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2510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17</Pages>
  <Words>5258</Words>
  <Characters>29972</Characters>
  <Application>Microsoft Office Word</Application>
  <DocSecurity>4</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35160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chens</dc:creator>
  <cp:lastModifiedBy>Chen, Shenjie -BER</cp:lastModifiedBy>
  <cp:revision>2</cp:revision>
  <dcterms:created xsi:type="dcterms:W3CDTF">2019-04-15T17:57:00Z</dcterms:created>
  <dcterms:modified xsi:type="dcterms:W3CDTF">2019-04-15T17:57:00Z</dcterms:modified>
</cp:coreProperties>
</file>