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27134" w14:textId="774C9C22" w:rsidR="00082883" w:rsidRDefault="006F20E0" w:rsidP="00082883">
      <w:pPr>
        <w:pStyle w:val="Heading1"/>
        <w:rPr>
          <w:rFonts w:eastAsia="Times New Roman"/>
        </w:rPr>
      </w:pPr>
      <w:bookmarkStart w:id="0" w:name="_GoBack"/>
      <w:bookmarkEnd w:id="0"/>
      <w:r>
        <w:rPr>
          <w:rFonts w:eastAsia="Times New Roman"/>
        </w:rPr>
        <w:t>Price and quantity</w:t>
      </w:r>
      <w:r w:rsidR="00082883">
        <w:rPr>
          <w:rFonts w:eastAsia="Times New Roman"/>
        </w:rPr>
        <w:t xml:space="preserve"> effects of non-tariff measures: Exploring cge </w:t>
      </w:r>
      <w:r>
        <w:rPr>
          <w:rFonts w:eastAsia="Times New Roman"/>
        </w:rPr>
        <w:t>options</w:t>
      </w:r>
      <w:r w:rsidR="00DA4302">
        <w:rPr>
          <w:rFonts w:eastAsia="Times New Roman"/>
        </w:rPr>
        <w:t xml:space="preserve"> with OECD metro</w:t>
      </w:r>
    </w:p>
    <w:p w14:paraId="510ECC32" w14:textId="7721C55D" w:rsidR="00A43DF3" w:rsidRDefault="00A43DF3" w:rsidP="00A43DF3"/>
    <w:p w14:paraId="659D6E07" w14:textId="1415E181" w:rsidR="00A43DF3" w:rsidRPr="00A43DF3" w:rsidRDefault="00A43DF3" w:rsidP="001B4D8C">
      <w:pPr>
        <w:jc w:val="center"/>
      </w:pPr>
      <w:r>
        <w:t>By</w:t>
      </w:r>
    </w:p>
    <w:p w14:paraId="56F2C29B" w14:textId="4DE038AA" w:rsidR="00A43DF3" w:rsidRDefault="00A43DF3" w:rsidP="001B4D8C">
      <w:pPr>
        <w:jc w:val="center"/>
      </w:pPr>
      <w:r>
        <w:t>Christine Arriol</w:t>
      </w:r>
      <w:r w:rsidR="00E206ED">
        <w:t>a</w:t>
      </w:r>
      <w:r>
        <w:t>, Julien Gourdon, Susan Stone and Frank Van Tongeren</w:t>
      </w:r>
    </w:p>
    <w:p w14:paraId="43222F0F" w14:textId="14D2A9A0" w:rsidR="001B4D8C" w:rsidRPr="00A43DF3" w:rsidRDefault="001B4D8C" w:rsidP="001B4D8C">
      <w:pPr>
        <w:jc w:val="center"/>
      </w:pPr>
      <w:r>
        <w:t>OECD Trade and Agriculture</w:t>
      </w:r>
    </w:p>
    <w:p w14:paraId="1EDC6C4E" w14:textId="77777777" w:rsidR="003C095A" w:rsidRDefault="003C095A" w:rsidP="00636C53">
      <w:pPr>
        <w:pStyle w:val="Heading2"/>
      </w:pPr>
      <w:r>
        <w:t>Introduction</w:t>
      </w:r>
    </w:p>
    <w:p w14:paraId="09339CF8" w14:textId="7766FC6D" w:rsidR="00643811" w:rsidRDefault="00643811" w:rsidP="00F91799">
      <w:pPr>
        <w:autoSpaceDE w:val="0"/>
        <w:autoSpaceDN w:val="0"/>
        <w:rPr>
          <w:sz w:val="24"/>
          <w:szCs w:val="24"/>
          <w:lang w:eastAsia="en-US"/>
        </w:rPr>
      </w:pPr>
      <w:r>
        <w:rPr>
          <w:sz w:val="24"/>
          <w:szCs w:val="24"/>
        </w:rPr>
        <w:t xml:space="preserve">In the last decade, non-tariff measures (NTMs) have been the object of substantial academic and policy attention. </w:t>
      </w:r>
      <w:r w:rsidR="00F91799">
        <w:rPr>
          <w:sz w:val="24"/>
          <w:szCs w:val="24"/>
        </w:rPr>
        <w:t>In particular policy makers and economists ha</w:t>
      </w:r>
      <w:r w:rsidR="00A25522">
        <w:rPr>
          <w:sz w:val="24"/>
          <w:szCs w:val="24"/>
        </w:rPr>
        <w:t>ve</w:t>
      </w:r>
      <w:r w:rsidR="00F91799">
        <w:rPr>
          <w:sz w:val="24"/>
          <w:szCs w:val="24"/>
        </w:rPr>
        <w:t xml:space="preserve"> turned their attention to the role played by non-tariff method</w:t>
      </w:r>
      <w:r w:rsidR="00A25522">
        <w:rPr>
          <w:sz w:val="24"/>
          <w:szCs w:val="24"/>
        </w:rPr>
        <w:t>s</w:t>
      </w:r>
      <w:r w:rsidR="00F91799">
        <w:rPr>
          <w:sz w:val="24"/>
          <w:szCs w:val="24"/>
        </w:rPr>
        <w:t xml:space="preserve"> of protection. </w:t>
      </w:r>
      <w:r w:rsidR="005F3D3A">
        <w:rPr>
          <w:sz w:val="24"/>
          <w:szCs w:val="24"/>
        </w:rPr>
        <w:t xml:space="preserve">More recently, research has been looking into various types of regulatory compliance costs impacting on international trade – and ways to reducing them.  </w:t>
      </w:r>
      <w:r w:rsidR="00BC60DE">
        <w:rPr>
          <w:sz w:val="24"/>
          <w:szCs w:val="24"/>
        </w:rPr>
        <w:t>To support the</w:t>
      </w:r>
      <w:r w:rsidR="00E77FC4">
        <w:rPr>
          <w:sz w:val="24"/>
          <w:szCs w:val="24"/>
        </w:rPr>
        <w:t xml:space="preserve"> negotiations </w:t>
      </w:r>
      <w:r w:rsidR="00BC60DE">
        <w:rPr>
          <w:sz w:val="24"/>
          <w:szCs w:val="24"/>
        </w:rPr>
        <w:t xml:space="preserve">needed </w:t>
      </w:r>
      <w:r w:rsidR="00E77FC4">
        <w:rPr>
          <w:sz w:val="24"/>
          <w:szCs w:val="24"/>
        </w:rPr>
        <w:t>to address trade impacts of NTMs, it is important to identify those me</w:t>
      </w:r>
      <w:r w:rsidR="00DA4302">
        <w:rPr>
          <w:sz w:val="24"/>
          <w:szCs w:val="24"/>
        </w:rPr>
        <w:t>a</w:t>
      </w:r>
      <w:r w:rsidR="00E77FC4">
        <w:rPr>
          <w:sz w:val="24"/>
          <w:szCs w:val="24"/>
        </w:rPr>
        <w:t xml:space="preserve">sures that merely raise trade costs or create rents, from those that also create a positive benefit by addressing a regulatory problem. </w:t>
      </w:r>
      <w:r w:rsidR="00F91799">
        <w:rPr>
          <w:sz w:val="24"/>
          <w:szCs w:val="24"/>
        </w:rPr>
        <w:t xml:space="preserve">The </w:t>
      </w:r>
      <w:r w:rsidR="00BC60DE">
        <w:rPr>
          <w:sz w:val="24"/>
          <w:szCs w:val="24"/>
        </w:rPr>
        <w:t xml:space="preserve">diverse </w:t>
      </w:r>
      <w:r w:rsidR="00F91799">
        <w:rPr>
          <w:sz w:val="24"/>
          <w:szCs w:val="24"/>
        </w:rPr>
        <w:t xml:space="preserve">and complex nature of NTMs makes </w:t>
      </w:r>
      <w:r w:rsidR="00BC60DE">
        <w:rPr>
          <w:sz w:val="24"/>
          <w:szCs w:val="24"/>
        </w:rPr>
        <w:t>their quantification within a computable general equilbirum (CGE) framework both necessary and challenging</w:t>
      </w:r>
      <w:r w:rsidR="00F91799">
        <w:rPr>
          <w:sz w:val="24"/>
          <w:szCs w:val="24"/>
        </w:rPr>
        <w:t>.</w:t>
      </w:r>
    </w:p>
    <w:p w14:paraId="1C198527" w14:textId="77777777" w:rsidR="00643811" w:rsidRDefault="00643811" w:rsidP="00643811">
      <w:pPr>
        <w:autoSpaceDE w:val="0"/>
        <w:autoSpaceDN w:val="0"/>
        <w:rPr>
          <w:sz w:val="24"/>
          <w:szCs w:val="24"/>
        </w:rPr>
      </w:pPr>
    </w:p>
    <w:p w14:paraId="1A15DF58" w14:textId="77777777" w:rsidR="00A91409" w:rsidRDefault="00325540" w:rsidP="00636C53">
      <w:pPr>
        <w:pStyle w:val="Heading2"/>
      </w:pPr>
      <w:r>
        <w:t>Objective</w:t>
      </w:r>
    </w:p>
    <w:p w14:paraId="5425F2F5" w14:textId="20FF04A6" w:rsidR="00643811" w:rsidRPr="00643811" w:rsidRDefault="00643811" w:rsidP="00082883">
      <w:pPr>
        <w:tabs>
          <w:tab w:val="clear" w:pos="850"/>
          <w:tab w:val="clear" w:pos="1191"/>
          <w:tab w:val="clear" w:pos="1531"/>
        </w:tabs>
        <w:autoSpaceDE w:val="0"/>
        <w:autoSpaceDN w:val="0"/>
        <w:adjustRightInd w:val="0"/>
        <w:rPr>
          <w:sz w:val="24"/>
          <w:szCs w:val="24"/>
        </w:rPr>
      </w:pPr>
      <w:r w:rsidRPr="00643811">
        <w:rPr>
          <w:sz w:val="24"/>
          <w:szCs w:val="24"/>
        </w:rPr>
        <w:t>In order to disentangle the different forms and objectives of NTMs, this research distinguishes “non-technical”</w:t>
      </w:r>
      <w:r w:rsidR="00A658D1">
        <w:rPr>
          <w:sz w:val="24"/>
          <w:szCs w:val="24"/>
        </w:rPr>
        <w:t xml:space="preserve"> </w:t>
      </w:r>
      <w:r w:rsidRPr="00643811">
        <w:rPr>
          <w:sz w:val="24"/>
          <w:szCs w:val="24"/>
        </w:rPr>
        <w:t xml:space="preserve">and </w:t>
      </w:r>
      <w:r w:rsidR="007366DC">
        <w:rPr>
          <w:sz w:val="24"/>
          <w:szCs w:val="24"/>
        </w:rPr>
        <w:t>“</w:t>
      </w:r>
      <w:r w:rsidRPr="00643811">
        <w:rPr>
          <w:sz w:val="24"/>
          <w:szCs w:val="24"/>
        </w:rPr>
        <w:t>technical</w:t>
      </w:r>
      <w:r w:rsidR="007366DC">
        <w:rPr>
          <w:sz w:val="24"/>
          <w:szCs w:val="24"/>
        </w:rPr>
        <w:t>”</w:t>
      </w:r>
      <w:r w:rsidRPr="00643811">
        <w:rPr>
          <w:sz w:val="24"/>
          <w:szCs w:val="24"/>
        </w:rPr>
        <w:t> measures</w:t>
      </w:r>
      <w:r w:rsidR="005F3D3A">
        <w:rPr>
          <w:sz w:val="24"/>
          <w:szCs w:val="24"/>
        </w:rPr>
        <w:t>, the latter type typically falling in to the SPS and TB</w:t>
      </w:r>
      <w:r w:rsidR="00BC60DE">
        <w:rPr>
          <w:sz w:val="24"/>
          <w:szCs w:val="24"/>
        </w:rPr>
        <w:t>T</w:t>
      </w:r>
      <w:r w:rsidR="005F3D3A">
        <w:rPr>
          <w:sz w:val="24"/>
          <w:szCs w:val="24"/>
        </w:rPr>
        <w:t xml:space="preserve"> categories</w:t>
      </w:r>
      <w:r w:rsidR="00A658D1">
        <w:rPr>
          <w:sz w:val="24"/>
          <w:szCs w:val="24"/>
        </w:rPr>
        <w:t xml:space="preserve"> and the former including quatitative restrictions like </w:t>
      </w:r>
      <w:r w:rsidR="003E5485">
        <w:rPr>
          <w:sz w:val="24"/>
          <w:szCs w:val="24"/>
        </w:rPr>
        <w:t>, non automatic import licensing or</w:t>
      </w:r>
      <w:r w:rsidR="00A658D1">
        <w:rPr>
          <w:sz w:val="24"/>
          <w:szCs w:val="24"/>
        </w:rPr>
        <w:t xml:space="preserve"> quot</w:t>
      </w:r>
      <w:r w:rsidR="00203462">
        <w:rPr>
          <w:sz w:val="24"/>
          <w:szCs w:val="24"/>
        </w:rPr>
        <w:t>a</w:t>
      </w:r>
      <w:r w:rsidR="00A658D1">
        <w:rPr>
          <w:sz w:val="24"/>
          <w:szCs w:val="24"/>
        </w:rPr>
        <w:t>s</w:t>
      </w:r>
      <w:r w:rsidRPr="00643811">
        <w:rPr>
          <w:sz w:val="24"/>
          <w:szCs w:val="24"/>
        </w:rPr>
        <w:t xml:space="preserve">. </w:t>
      </w:r>
      <w:r w:rsidR="00550E90">
        <w:rPr>
          <w:sz w:val="24"/>
          <w:szCs w:val="24"/>
        </w:rPr>
        <w:t>E</w:t>
      </w:r>
      <w:r w:rsidR="00E70A6F">
        <w:rPr>
          <w:sz w:val="24"/>
          <w:szCs w:val="24"/>
        </w:rPr>
        <w:t>stimated price and quantity effects of the</w:t>
      </w:r>
      <w:r w:rsidR="00550E90">
        <w:rPr>
          <w:sz w:val="24"/>
          <w:szCs w:val="24"/>
        </w:rPr>
        <w:t>se</w:t>
      </w:r>
      <w:r w:rsidR="00E70A6F">
        <w:rPr>
          <w:sz w:val="24"/>
          <w:szCs w:val="24"/>
        </w:rPr>
        <w:t xml:space="preserve"> two types of </w:t>
      </w:r>
      <w:r w:rsidR="00550E90">
        <w:rPr>
          <w:sz w:val="24"/>
          <w:szCs w:val="24"/>
        </w:rPr>
        <w:t xml:space="preserve">NTMs are used to </w:t>
      </w:r>
      <w:r w:rsidRPr="00643811">
        <w:rPr>
          <w:sz w:val="24"/>
          <w:szCs w:val="24"/>
        </w:rPr>
        <w:t>disentangle demand-</w:t>
      </w:r>
      <w:r w:rsidR="005F3D3A">
        <w:rPr>
          <w:sz w:val="24"/>
          <w:szCs w:val="24"/>
        </w:rPr>
        <w:t xml:space="preserve">shifting </w:t>
      </w:r>
      <w:r w:rsidRPr="00643811">
        <w:rPr>
          <w:sz w:val="24"/>
          <w:szCs w:val="24"/>
        </w:rPr>
        <w:t xml:space="preserve">effects from </w:t>
      </w:r>
      <w:r w:rsidR="005F3D3A">
        <w:rPr>
          <w:sz w:val="24"/>
          <w:szCs w:val="24"/>
        </w:rPr>
        <w:t xml:space="preserve">pure </w:t>
      </w:r>
      <w:r w:rsidRPr="00643811">
        <w:rPr>
          <w:sz w:val="24"/>
          <w:szCs w:val="24"/>
        </w:rPr>
        <w:t>trade costs</w:t>
      </w:r>
      <w:r w:rsidR="005F3D3A">
        <w:rPr>
          <w:sz w:val="24"/>
          <w:szCs w:val="24"/>
        </w:rPr>
        <w:t xml:space="preserve">. This opens the way </w:t>
      </w:r>
      <w:r w:rsidRPr="00643811">
        <w:rPr>
          <w:sz w:val="24"/>
          <w:szCs w:val="24"/>
        </w:rPr>
        <w:t xml:space="preserve">to </w:t>
      </w:r>
      <w:r w:rsidR="00A658D1">
        <w:rPr>
          <w:sz w:val="24"/>
          <w:szCs w:val="24"/>
        </w:rPr>
        <w:t>accounting for</w:t>
      </w:r>
      <w:r w:rsidRPr="00643811">
        <w:rPr>
          <w:sz w:val="24"/>
          <w:szCs w:val="24"/>
        </w:rPr>
        <w:t xml:space="preserve"> trade-enhancing effects of regulations (and their concomitant NTMs)</w:t>
      </w:r>
      <w:r w:rsidR="00CE78D9">
        <w:rPr>
          <w:sz w:val="24"/>
          <w:szCs w:val="24"/>
        </w:rPr>
        <w:t xml:space="preserve"> </w:t>
      </w:r>
      <w:r w:rsidR="00CE78D9" w:rsidRPr="00082883">
        <w:rPr>
          <w:sz w:val="24"/>
          <w:szCs w:val="24"/>
        </w:rPr>
        <w:t>that come from reducing</w:t>
      </w:r>
      <w:r w:rsidR="00CE78D9">
        <w:rPr>
          <w:sz w:val="24"/>
          <w:szCs w:val="24"/>
        </w:rPr>
        <w:t xml:space="preserve"> </w:t>
      </w:r>
      <w:r w:rsidR="00CE78D9" w:rsidRPr="00082883">
        <w:rPr>
          <w:sz w:val="24"/>
          <w:szCs w:val="24"/>
        </w:rPr>
        <w:t>information asymmetries and strengthening consumer confidence in imported products</w:t>
      </w:r>
      <w:r w:rsidR="005F3D3A">
        <w:rPr>
          <w:sz w:val="24"/>
          <w:szCs w:val="24"/>
        </w:rPr>
        <w:t xml:space="preserve">. </w:t>
      </w:r>
      <w:r w:rsidRPr="00643811">
        <w:rPr>
          <w:sz w:val="24"/>
          <w:szCs w:val="24"/>
        </w:rPr>
        <w:t xml:space="preserve">These estimates are then applied in a CGE model where the different impacts on costs and utility are assessed. </w:t>
      </w:r>
    </w:p>
    <w:p w14:paraId="4EE67F7D" w14:textId="77777777" w:rsidR="00643811" w:rsidRPr="00643811" w:rsidRDefault="00643811" w:rsidP="00566143">
      <w:pPr>
        <w:autoSpaceDE w:val="0"/>
        <w:autoSpaceDN w:val="0"/>
        <w:ind w:right="-29"/>
        <w:rPr>
          <w:sz w:val="24"/>
          <w:szCs w:val="24"/>
        </w:rPr>
      </w:pPr>
    </w:p>
    <w:p w14:paraId="7BB5BA1E" w14:textId="6D2E2620" w:rsidR="00643811" w:rsidRPr="00643811" w:rsidRDefault="00643811" w:rsidP="00566143">
      <w:pPr>
        <w:autoSpaceDE w:val="0"/>
        <w:autoSpaceDN w:val="0"/>
        <w:ind w:right="-29"/>
        <w:rPr>
          <w:sz w:val="24"/>
          <w:szCs w:val="24"/>
        </w:rPr>
      </w:pPr>
      <w:r w:rsidRPr="00643811">
        <w:rPr>
          <w:sz w:val="24"/>
          <w:szCs w:val="24"/>
        </w:rPr>
        <w:t>Th</w:t>
      </w:r>
      <w:r w:rsidR="007366DC">
        <w:rPr>
          <w:sz w:val="24"/>
          <w:szCs w:val="24"/>
        </w:rPr>
        <w:t>e paper builds</w:t>
      </w:r>
      <w:r w:rsidRPr="00643811">
        <w:rPr>
          <w:sz w:val="24"/>
          <w:szCs w:val="24"/>
        </w:rPr>
        <w:t xml:space="preserve"> on the novel quantification of the impact of NTMs on price and quantity</w:t>
      </w:r>
      <w:r w:rsidR="005F3D3A">
        <w:rPr>
          <w:sz w:val="24"/>
          <w:szCs w:val="24"/>
        </w:rPr>
        <w:t xml:space="preserve">, mapped to </w:t>
      </w:r>
      <w:r w:rsidR="001E12BF">
        <w:rPr>
          <w:sz w:val="24"/>
          <w:szCs w:val="24"/>
        </w:rPr>
        <w:t xml:space="preserve"> GTAP sec</w:t>
      </w:r>
      <w:r w:rsidR="00416C7C">
        <w:rPr>
          <w:sz w:val="24"/>
          <w:szCs w:val="24"/>
        </w:rPr>
        <w:t>tors</w:t>
      </w:r>
      <w:r w:rsidR="005F3D3A">
        <w:rPr>
          <w:sz w:val="24"/>
          <w:szCs w:val="24"/>
        </w:rPr>
        <w:t>,</w:t>
      </w:r>
      <w:r w:rsidR="00416C7C">
        <w:rPr>
          <w:sz w:val="24"/>
          <w:szCs w:val="24"/>
        </w:rPr>
        <w:t xml:space="preserve"> developed by Cadot </w:t>
      </w:r>
      <w:r w:rsidR="00416C7C" w:rsidRPr="00F36077">
        <w:rPr>
          <w:i/>
          <w:sz w:val="24"/>
          <w:szCs w:val="24"/>
        </w:rPr>
        <w:t>et al</w:t>
      </w:r>
      <w:r w:rsidR="00F36077" w:rsidRPr="00F36077">
        <w:rPr>
          <w:i/>
          <w:sz w:val="24"/>
          <w:szCs w:val="24"/>
        </w:rPr>
        <w:t>.</w:t>
      </w:r>
      <w:r w:rsidR="00416C7C">
        <w:rPr>
          <w:sz w:val="24"/>
          <w:szCs w:val="24"/>
        </w:rPr>
        <w:t xml:space="preserve"> (2018)</w:t>
      </w:r>
      <w:r w:rsidRPr="00643811">
        <w:rPr>
          <w:sz w:val="24"/>
          <w:szCs w:val="24"/>
        </w:rPr>
        <w:t>. It is well established that NTMs</w:t>
      </w:r>
      <w:r w:rsidR="00CE78D9">
        <w:rPr>
          <w:sz w:val="24"/>
          <w:szCs w:val="24"/>
        </w:rPr>
        <w:t xml:space="preserve"> </w:t>
      </w:r>
      <w:r w:rsidRPr="00643811">
        <w:rPr>
          <w:sz w:val="24"/>
          <w:szCs w:val="24"/>
        </w:rPr>
        <w:t xml:space="preserve"> </w:t>
      </w:r>
      <w:r w:rsidR="00CE78D9">
        <w:rPr>
          <w:sz w:val="24"/>
          <w:szCs w:val="24"/>
        </w:rPr>
        <w:t xml:space="preserve">lead to multiple effects on </w:t>
      </w:r>
      <w:r w:rsidRPr="00643811">
        <w:rPr>
          <w:sz w:val="24"/>
          <w:szCs w:val="24"/>
        </w:rPr>
        <w:t xml:space="preserve">international </w:t>
      </w:r>
      <w:r w:rsidR="00CE78D9">
        <w:rPr>
          <w:sz w:val="24"/>
          <w:szCs w:val="24"/>
        </w:rPr>
        <w:t xml:space="preserve">trade that go beyond </w:t>
      </w:r>
      <w:r w:rsidRPr="00643811">
        <w:rPr>
          <w:sz w:val="24"/>
          <w:szCs w:val="24"/>
        </w:rPr>
        <w:t>trade cost</w:t>
      </w:r>
      <w:r w:rsidR="00CE78D9">
        <w:rPr>
          <w:sz w:val="24"/>
          <w:szCs w:val="24"/>
        </w:rPr>
        <w:t>s</w:t>
      </w:r>
      <w:r w:rsidRPr="00643811">
        <w:rPr>
          <w:sz w:val="24"/>
          <w:szCs w:val="24"/>
        </w:rPr>
        <w:t> </w:t>
      </w:r>
      <w:r w:rsidR="00CE78D9">
        <w:rPr>
          <w:sz w:val="24"/>
          <w:szCs w:val="24"/>
        </w:rPr>
        <w:t>(see f</w:t>
      </w:r>
      <w:r w:rsidR="00EC5561">
        <w:rPr>
          <w:sz w:val="24"/>
          <w:szCs w:val="24"/>
        </w:rPr>
        <w:t>or</w:t>
      </w:r>
      <w:r w:rsidR="00CE78D9">
        <w:rPr>
          <w:sz w:val="24"/>
          <w:szCs w:val="24"/>
        </w:rPr>
        <w:t xml:space="preserve"> example, OECD, 2017)</w:t>
      </w:r>
      <w:r w:rsidR="00EC5561">
        <w:rPr>
          <w:sz w:val="24"/>
          <w:szCs w:val="24"/>
        </w:rPr>
        <w:t xml:space="preserve">. </w:t>
      </w:r>
      <w:r w:rsidRPr="00643811">
        <w:rPr>
          <w:sz w:val="24"/>
          <w:szCs w:val="24"/>
        </w:rPr>
        <w:t xml:space="preserve">Thus the paper begins with a discussion of the pros and cons of the various treatments of different NTMs in CGE models (iceberg cost, tax equivalent, demand/supply-shifting) and what it means for capturing a more complete picture of the impact of differential regulation on international trade. A more nuanced approach to capturing both the costs and benefits of these measures is illustrated through a </w:t>
      </w:r>
      <w:r w:rsidRPr="00643811">
        <w:rPr>
          <w:sz w:val="24"/>
          <w:szCs w:val="24"/>
        </w:rPr>
        <w:lastRenderedPageBreak/>
        <w:t>specific application of the METRO CGE model, developed by the OECD.</w:t>
      </w:r>
      <w:r w:rsidR="007366DC">
        <w:rPr>
          <w:rStyle w:val="FootnoteReference"/>
          <w:sz w:val="24"/>
          <w:szCs w:val="24"/>
        </w:rPr>
        <w:footnoteReference w:id="2"/>
      </w:r>
      <w:r w:rsidRPr="00643811">
        <w:rPr>
          <w:sz w:val="24"/>
          <w:szCs w:val="24"/>
        </w:rPr>
        <w:t xml:space="preserve"> The estimated price and quantity effects are used to </w:t>
      </w:r>
      <w:r w:rsidR="00CE78D9">
        <w:rPr>
          <w:sz w:val="24"/>
          <w:szCs w:val="24"/>
        </w:rPr>
        <w:t xml:space="preserve">perform </w:t>
      </w:r>
      <w:r w:rsidRPr="00643811">
        <w:rPr>
          <w:sz w:val="24"/>
          <w:szCs w:val="24"/>
        </w:rPr>
        <w:t>CGE simulation</w:t>
      </w:r>
      <w:r w:rsidR="00CE78D9">
        <w:rPr>
          <w:sz w:val="24"/>
          <w:szCs w:val="24"/>
        </w:rPr>
        <w:t>s</w:t>
      </w:r>
      <w:r w:rsidRPr="00643811">
        <w:rPr>
          <w:sz w:val="24"/>
          <w:szCs w:val="24"/>
        </w:rPr>
        <w:t xml:space="preserve"> in order to obtain estimates of trade and welfare effects</w:t>
      </w:r>
      <w:r w:rsidR="00166200">
        <w:rPr>
          <w:sz w:val="24"/>
          <w:szCs w:val="24"/>
        </w:rPr>
        <w:t xml:space="preserve"> of the removal of non-technical barriers </w:t>
      </w:r>
      <w:r w:rsidRPr="00643811">
        <w:rPr>
          <w:sz w:val="24"/>
          <w:szCs w:val="24"/>
        </w:rPr>
        <w:t>and of regulatory cooperation on technical-barriers</w:t>
      </w:r>
      <w:r w:rsidR="00166200">
        <w:rPr>
          <w:sz w:val="24"/>
          <w:szCs w:val="24"/>
        </w:rPr>
        <w:t xml:space="preserve"> (SPS and TBT)</w:t>
      </w:r>
      <w:r w:rsidRPr="00643811">
        <w:rPr>
          <w:sz w:val="24"/>
          <w:szCs w:val="24"/>
        </w:rPr>
        <w:t xml:space="preserve">. </w:t>
      </w:r>
    </w:p>
    <w:p w14:paraId="05B21DB1" w14:textId="77777777" w:rsidR="00A91409" w:rsidRDefault="00830D6C" w:rsidP="00636C53">
      <w:pPr>
        <w:pStyle w:val="Heading2"/>
      </w:pPr>
      <w:r>
        <w:t>Main contribution to the existing literature</w:t>
      </w:r>
    </w:p>
    <w:p w14:paraId="67E289CA" w14:textId="67D1CD8B" w:rsidR="00203AF1" w:rsidRDefault="00961425" w:rsidP="00636C53">
      <w:pPr>
        <w:rPr>
          <w:sz w:val="24"/>
        </w:rPr>
      </w:pPr>
      <w:r w:rsidRPr="00082883">
        <w:rPr>
          <w:sz w:val="24"/>
        </w:rPr>
        <w:t xml:space="preserve">Most of the </w:t>
      </w:r>
      <w:r w:rsidRPr="00DA4302">
        <w:rPr>
          <w:sz w:val="24"/>
          <w:szCs w:val="24"/>
        </w:rPr>
        <w:t>empirical evidence on the impact of non tariff measures on trade and welfare is done without distangling the different types of NTMs (technical barriers from non-technical barriers).</w:t>
      </w:r>
      <w:r>
        <w:rPr>
          <w:sz w:val="24"/>
          <w:szCs w:val="24"/>
        </w:rPr>
        <w:t xml:space="preserve"> </w:t>
      </w:r>
      <w:r w:rsidR="00EA7B87" w:rsidRPr="00082883">
        <w:rPr>
          <w:sz w:val="24"/>
        </w:rPr>
        <w:t>In</w:t>
      </w:r>
      <w:r w:rsidR="004376B7" w:rsidRPr="00082883">
        <w:rPr>
          <w:sz w:val="24"/>
        </w:rPr>
        <w:t xml:space="preserve"> </w:t>
      </w:r>
      <w:r w:rsidR="00EA7B87" w:rsidRPr="00082883">
        <w:rPr>
          <w:sz w:val="24"/>
        </w:rPr>
        <w:t>a pioneer</w:t>
      </w:r>
      <w:r w:rsidR="00CE78D9">
        <w:rPr>
          <w:sz w:val="24"/>
        </w:rPr>
        <w:t>ing</w:t>
      </w:r>
      <w:r w:rsidR="00EA7B87" w:rsidRPr="00082883">
        <w:rPr>
          <w:sz w:val="24"/>
        </w:rPr>
        <w:t xml:space="preserve"> work</w:t>
      </w:r>
      <w:r w:rsidR="00080C13" w:rsidRPr="00082883">
        <w:rPr>
          <w:sz w:val="24"/>
        </w:rPr>
        <w:t>,</w:t>
      </w:r>
      <w:r w:rsidR="00EA7B87" w:rsidRPr="00082883">
        <w:rPr>
          <w:sz w:val="24"/>
        </w:rPr>
        <w:t xml:space="preserve"> Adriamnajaraa </w:t>
      </w:r>
      <w:r w:rsidR="00EA7B87" w:rsidRPr="00852214">
        <w:rPr>
          <w:i/>
          <w:sz w:val="24"/>
        </w:rPr>
        <w:t>et al</w:t>
      </w:r>
      <w:r w:rsidR="00EA7B87" w:rsidRPr="00082883">
        <w:rPr>
          <w:sz w:val="24"/>
        </w:rPr>
        <w:t xml:space="preserve"> (2004) </w:t>
      </w:r>
      <w:r w:rsidR="004376B7" w:rsidRPr="00082883">
        <w:rPr>
          <w:sz w:val="24"/>
        </w:rPr>
        <w:t>estimated price effects of NTMs from different sources collected by WTO, US</w:t>
      </w:r>
      <w:r w:rsidR="00416C7C" w:rsidRPr="00082883">
        <w:rPr>
          <w:sz w:val="24"/>
        </w:rPr>
        <w:t>,</w:t>
      </w:r>
      <w:r w:rsidR="004376B7" w:rsidRPr="00082883">
        <w:rPr>
          <w:sz w:val="24"/>
        </w:rPr>
        <w:t xml:space="preserve"> EU and UNCTAD</w:t>
      </w:r>
      <w:r w:rsidR="00A658D1">
        <w:rPr>
          <w:sz w:val="24"/>
        </w:rPr>
        <w:t xml:space="preserve"> and, together with the</w:t>
      </w:r>
      <w:r w:rsidR="004376B7" w:rsidRPr="00082883">
        <w:rPr>
          <w:sz w:val="24"/>
        </w:rPr>
        <w:t xml:space="preserve"> EIU City d</w:t>
      </w:r>
      <w:r w:rsidR="00D10E53" w:rsidRPr="00082883">
        <w:rPr>
          <w:sz w:val="24"/>
        </w:rPr>
        <w:t>a</w:t>
      </w:r>
      <w:r w:rsidR="004376B7" w:rsidRPr="00082883">
        <w:rPr>
          <w:sz w:val="24"/>
        </w:rPr>
        <w:t>tabase</w:t>
      </w:r>
      <w:r w:rsidR="00A658D1">
        <w:rPr>
          <w:sz w:val="24"/>
        </w:rPr>
        <w:t>, were used to</w:t>
      </w:r>
      <w:r w:rsidR="00416C7C" w:rsidRPr="00082883">
        <w:rPr>
          <w:sz w:val="24"/>
        </w:rPr>
        <w:t xml:space="preserve"> calibrate a </w:t>
      </w:r>
      <w:r w:rsidR="004376B7" w:rsidRPr="00082883">
        <w:rPr>
          <w:sz w:val="24"/>
        </w:rPr>
        <w:t>GTAP</w:t>
      </w:r>
      <w:r w:rsidR="00CE78D9">
        <w:rPr>
          <w:sz w:val="24"/>
        </w:rPr>
        <w:t>-based CGE model</w:t>
      </w:r>
      <w:r w:rsidR="00416C7C" w:rsidRPr="00082883">
        <w:rPr>
          <w:sz w:val="24"/>
        </w:rPr>
        <w:t xml:space="preserve">. </w:t>
      </w:r>
      <w:r w:rsidR="00A658D1">
        <w:rPr>
          <w:sz w:val="24"/>
        </w:rPr>
        <w:t>A</w:t>
      </w:r>
      <w:r w:rsidR="00416C7C" w:rsidRPr="00082883">
        <w:rPr>
          <w:sz w:val="24"/>
        </w:rPr>
        <w:t>ll types of NTMs</w:t>
      </w:r>
      <w:r w:rsidR="00A658D1">
        <w:rPr>
          <w:sz w:val="24"/>
        </w:rPr>
        <w:t xml:space="preserve"> were aggregated to</w:t>
      </w:r>
      <w:r w:rsidR="00416C7C" w:rsidRPr="00082883">
        <w:rPr>
          <w:sz w:val="24"/>
        </w:rPr>
        <w:t xml:space="preserve"> one category </w:t>
      </w:r>
      <w:r w:rsidR="00BB3EF9">
        <w:rPr>
          <w:sz w:val="24"/>
        </w:rPr>
        <w:t xml:space="preserve">represented by </w:t>
      </w:r>
      <w:r w:rsidR="00416C7C" w:rsidRPr="00082883">
        <w:rPr>
          <w:sz w:val="24"/>
        </w:rPr>
        <w:t>a dummy in the gravity equation</w:t>
      </w:r>
      <w:r w:rsidR="00BB3EF9">
        <w:rPr>
          <w:sz w:val="24"/>
        </w:rPr>
        <w:t>. This approach captures the</w:t>
      </w:r>
      <w:r w:rsidR="00416C7C" w:rsidRPr="00082883">
        <w:rPr>
          <w:sz w:val="24"/>
        </w:rPr>
        <w:t xml:space="preserve"> NTM effect </w:t>
      </w:r>
      <w:r w:rsidR="00080C13" w:rsidRPr="00082883">
        <w:rPr>
          <w:sz w:val="24"/>
        </w:rPr>
        <w:t xml:space="preserve">as a rent </w:t>
      </w:r>
      <w:r w:rsidR="00416C7C" w:rsidRPr="00082883">
        <w:rPr>
          <w:sz w:val="24"/>
        </w:rPr>
        <w:t>p</w:t>
      </w:r>
      <w:r w:rsidR="00080C13" w:rsidRPr="00082883">
        <w:rPr>
          <w:sz w:val="24"/>
        </w:rPr>
        <w:t>re</w:t>
      </w:r>
      <w:r w:rsidR="00416C7C" w:rsidRPr="00082883">
        <w:rPr>
          <w:sz w:val="24"/>
        </w:rPr>
        <w:t>mium</w:t>
      </w:r>
      <w:r w:rsidR="00BB3EF9">
        <w:rPr>
          <w:sz w:val="24"/>
        </w:rPr>
        <w:t xml:space="preserve">, </w:t>
      </w:r>
      <w:r w:rsidR="00A658D1">
        <w:rPr>
          <w:sz w:val="24"/>
        </w:rPr>
        <w:t>however, it only measures the</w:t>
      </w:r>
      <w:r w:rsidR="00416C7C" w:rsidRPr="00082883">
        <w:rPr>
          <w:sz w:val="24"/>
        </w:rPr>
        <w:t xml:space="preserve"> price effect</w:t>
      </w:r>
      <w:r w:rsidR="00F35312" w:rsidRPr="00082883">
        <w:rPr>
          <w:sz w:val="24"/>
        </w:rPr>
        <w:t>.</w:t>
      </w:r>
      <w:r w:rsidR="00416C7C" w:rsidRPr="00082883">
        <w:rPr>
          <w:sz w:val="24"/>
        </w:rPr>
        <w:t xml:space="preserve"> </w:t>
      </w:r>
      <w:r w:rsidR="00A658D1">
        <w:rPr>
          <w:sz w:val="24"/>
        </w:rPr>
        <w:t xml:space="preserve">This approach does little to capture the various </w:t>
      </w:r>
      <w:r w:rsidRPr="001B4D8C">
        <w:rPr>
          <w:sz w:val="24"/>
          <w:szCs w:val="24"/>
        </w:rPr>
        <w:t>trade liberalization scenarios</w:t>
      </w:r>
      <w:r w:rsidR="00A658D1">
        <w:rPr>
          <w:sz w:val="24"/>
          <w:szCs w:val="24"/>
        </w:rPr>
        <w:t xml:space="preserve"> policymakers encounter. Different NTMs </w:t>
      </w:r>
      <w:r w:rsidRPr="001B4D8C">
        <w:rPr>
          <w:sz w:val="24"/>
          <w:szCs w:val="24"/>
        </w:rPr>
        <w:t>(removal of non technical barriers, regulatory cooperation on standards</w:t>
      </w:r>
      <w:r w:rsidR="00A658D1">
        <w:rPr>
          <w:sz w:val="24"/>
          <w:szCs w:val="24"/>
        </w:rPr>
        <w:t>,</w:t>
      </w:r>
      <w:r w:rsidRPr="001B4D8C">
        <w:rPr>
          <w:sz w:val="24"/>
          <w:szCs w:val="24"/>
        </w:rPr>
        <w:t xml:space="preserve"> etc.)</w:t>
      </w:r>
      <w:r w:rsidR="00A658D1">
        <w:rPr>
          <w:sz w:val="24"/>
          <w:szCs w:val="24"/>
        </w:rPr>
        <w:t xml:space="preserve"> tackle different issues and minimising their associated costs requires different policy actions</w:t>
      </w:r>
      <w:r w:rsidRPr="001B4D8C">
        <w:rPr>
          <w:sz w:val="24"/>
          <w:szCs w:val="24"/>
        </w:rPr>
        <w:t>.</w:t>
      </w:r>
    </w:p>
    <w:p w14:paraId="116BC3F6" w14:textId="77777777" w:rsidR="00DA4302" w:rsidRPr="00082883" w:rsidRDefault="00DA4302" w:rsidP="00636C53">
      <w:pPr>
        <w:rPr>
          <w:sz w:val="24"/>
        </w:rPr>
      </w:pPr>
    </w:p>
    <w:p w14:paraId="78CCED0F" w14:textId="2C97C547" w:rsidR="00946B75" w:rsidRPr="00082883" w:rsidRDefault="00A658D1" w:rsidP="00F923B7">
      <w:pPr>
        <w:rPr>
          <w:sz w:val="24"/>
        </w:rPr>
      </w:pPr>
      <w:r>
        <w:rPr>
          <w:sz w:val="24"/>
        </w:rPr>
        <w:t>R</w:t>
      </w:r>
      <w:r w:rsidR="00FA467E" w:rsidRPr="00082883">
        <w:rPr>
          <w:sz w:val="24"/>
        </w:rPr>
        <w:t xml:space="preserve">esearch </w:t>
      </w:r>
      <w:r w:rsidR="004376B7" w:rsidRPr="00082883">
        <w:rPr>
          <w:sz w:val="24"/>
        </w:rPr>
        <w:t xml:space="preserve">from Fugazza and Maur (2008) </w:t>
      </w:r>
      <w:r w:rsidR="00F35312" w:rsidRPr="00082883">
        <w:rPr>
          <w:sz w:val="24"/>
        </w:rPr>
        <w:t>discusse</w:t>
      </w:r>
      <w:r w:rsidR="00ED03A8">
        <w:rPr>
          <w:sz w:val="24"/>
        </w:rPr>
        <w:t>s</w:t>
      </w:r>
      <w:r w:rsidR="00F35312" w:rsidRPr="00082883">
        <w:rPr>
          <w:sz w:val="24"/>
        </w:rPr>
        <w:t xml:space="preserve"> various treatment</w:t>
      </w:r>
      <w:r w:rsidR="003F0B68">
        <w:rPr>
          <w:sz w:val="24"/>
        </w:rPr>
        <w:t>s</w:t>
      </w:r>
      <w:r w:rsidR="00F35312" w:rsidRPr="00082883">
        <w:rPr>
          <w:sz w:val="24"/>
        </w:rPr>
        <w:t xml:space="preserve"> of NTMs in  CGE</w:t>
      </w:r>
      <w:r w:rsidR="00CE78D9">
        <w:rPr>
          <w:sz w:val="24"/>
        </w:rPr>
        <w:t xml:space="preserve"> modelling</w:t>
      </w:r>
      <w:r w:rsidR="00F35312" w:rsidRPr="00082883">
        <w:rPr>
          <w:sz w:val="24"/>
        </w:rPr>
        <w:t xml:space="preserve">, </w:t>
      </w:r>
      <w:r w:rsidR="00ED03A8">
        <w:rPr>
          <w:sz w:val="24"/>
        </w:rPr>
        <w:t xml:space="preserve">including the </w:t>
      </w:r>
      <w:r w:rsidR="00F35312" w:rsidRPr="00082883">
        <w:rPr>
          <w:sz w:val="24"/>
        </w:rPr>
        <w:t>introduc</w:t>
      </w:r>
      <w:r w:rsidR="00ED03A8">
        <w:rPr>
          <w:sz w:val="24"/>
        </w:rPr>
        <w:t>tion of</w:t>
      </w:r>
      <w:r w:rsidR="00F35312" w:rsidRPr="00082883">
        <w:rPr>
          <w:sz w:val="24"/>
        </w:rPr>
        <w:t xml:space="preserve"> demand-shift and supply-shift effects</w:t>
      </w:r>
      <w:r w:rsidR="00CE78D9">
        <w:rPr>
          <w:sz w:val="24"/>
        </w:rPr>
        <w:t>.</w:t>
      </w:r>
      <w:r w:rsidR="00F35312" w:rsidRPr="00082883">
        <w:rPr>
          <w:sz w:val="24"/>
        </w:rPr>
        <w:t>They also ma</w:t>
      </w:r>
      <w:r w:rsidR="00961425">
        <w:rPr>
          <w:sz w:val="24"/>
        </w:rPr>
        <w:t>k</w:t>
      </w:r>
      <w:r w:rsidR="00F35312" w:rsidRPr="00082883">
        <w:rPr>
          <w:sz w:val="24"/>
        </w:rPr>
        <w:t xml:space="preserve">e a distinction between rent creating </w:t>
      </w:r>
      <w:r w:rsidR="00203AF1" w:rsidRPr="00FD14A5">
        <w:rPr>
          <w:sz w:val="24"/>
        </w:rPr>
        <w:t xml:space="preserve">NTMs </w:t>
      </w:r>
      <w:r w:rsidR="00F35312" w:rsidRPr="00082883">
        <w:rPr>
          <w:sz w:val="24"/>
        </w:rPr>
        <w:t>and technical</w:t>
      </w:r>
      <w:r w:rsidR="00203AF1">
        <w:rPr>
          <w:sz w:val="24"/>
        </w:rPr>
        <w:t>, cost generating,</w:t>
      </w:r>
      <w:r w:rsidR="00F35312" w:rsidRPr="00082883">
        <w:rPr>
          <w:sz w:val="24"/>
        </w:rPr>
        <w:t xml:space="preserve"> NTMs. However the</w:t>
      </w:r>
      <w:r w:rsidR="00ED03A8">
        <w:rPr>
          <w:sz w:val="24"/>
        </w:rPr>
        <w:t>ir modelling work only captured</w:t>
      </w:r>
      <w:r w:rsidR="00F35312" w:rsidRPr="00082883">
        <w:rPr>
          <w:sz w:val="24"/>
        </w:rPr>
        <w:t xml:space="preserve"> the </w:t>
      </w:r>
      <w:r w:rsidR="00CE78D9">
        <w:rPr>
          <w:sz w:val="24"/>
        </w:rPr>
        <w:t xml:space="preserve">trade </w:t>
      </w:r>
      <w:r w:rsidR="00F35312" w:rsidRPr="00082883">
        <w:rPr>
          <w:sz w:val="24"/>
        </w:rPr>
        <w:t xml:space="preserve">barrier effects of those NTMs by using ad-valorem estimates from Kee </w:t>
      </w:r>
      <w:r w:rsidR="00F35312" w:rsidRPr="006C79FC">
        <w:rPr>
          <w:i/>
          <w:sz w:val="24"/>
        </w:rPr>
        <w:t>et al</w:t>
      </w:r>
      <w:r w:rsidR="006C79FC" w:rsidRPr="006C79FC">
        <w:rPr>
          <w:i/>
          <w:sz w:val="24"/>
        </w:rPr>
        <w:t>.</w:t>
      </w:r>
      <w:r w:rsidR="00F35312" w:rsidRPr="00082883">
        <w:rPr>
          <w:sz w:val="24"/>
        </w:rPr>
        <w:t xml:space="preserve"> (2009). </w:t>
      </w:r>
      <w:r w:rsidR="00ED03A8">
        <w:rPr>
          <w:sz w:val="24"/>
        </w:rPr>
        <w:t xml:space="preserve">Another issue with this approach is the generation of government revenue when applying AVEs. </w:t>
      </w:r>
      <w:r w:rsidR="00080C13" w:rsidRPr="00082883">
        <w:rPr>
          <w:sz w:val="24"/>
        </w:rPr>
        <w:t xml:space="preserve">Fontagne </w:t>
      </w:r>
      <w:r w:rsidR="00080C13" w:rsidRPr="00082883">
        <w:rPr>
          <w:i/>
          <w:sz w:val="24"/>
        </w:rPr>
        <w:t>et al</w:t>
      </w:r>
      <w:r w:rsidR="00852214">
        <w:rPr>
          <w:sz w:val="24"/>
        </w:rPr>
        <w:t xml:space="preserve"> (2013)</w:t>
      </w:r>
      <w:r w:rsidR="00946B75" w:rsidRPr="00082883">
        <w:rPr>
          <w:sz w:val="24"/>
        </w:rPr>
        <w:t xml:space="preserve"> </w:t>
      </w:r>
      <w:r w:rsidR="00F35312" w:rsidRPr="00082883">
        <w:rPr>
          <w:sz w:val="24"/>
        </w:rPr>
        <w:t>proposed model</w:t>
      </w:r>
      <w:r w:rsidR="00EC5561">
        <w:rPr>
          <w:sz w:val="24"/>
        </w:rPr>
        <w:t>ling</w:t>
      </w:r>
      <w:r w:rsidR="00F35312" w:rsidRPr="00082883">
        <w:rPr>
          <w:sz w:val="24"/>
        </w:rPr>
        <w:t xml:space="preserve"> NTMs effects </w:t>
      </w:r>
      <w:r w:rsidR="00080C13" w:rsidRPr="00082883">
        <w:rPr>
          <w:sz w:val="24"/>
        </w:rPr>
        <w:t>as iceber</w:t>
      </w:r>
      <w:r w:rsidR="00F35312" w:rsidRPr="00082883">
        <w:rPr>
          <w:sz w:val="24"/>
        </w:rPr>
        <w:t>g or deadwe</w:t>
      </w:r>
      <w:r w:rsidR="00080C13" w:rsidRPr="00082883">
        <w:rPr>
          <w:sz w:val="24"/>
        </w:rPr>
        <w:t>ight tra</w:t>
      </w:r>
      <w:r w:rsidR="00F35312" w:rsidRPr="00082883">
        <w:rPr>
          <w:sz w:val="24"/>
        </w:rPr>
        <w:t xml:space="preserve">de cost </w:t>
      </w:r>
      <w:r w:rsidR="00E77FC4">
        <w:rPr>
          <w:sz w:val="24"/>
        </w:rPr>
        <w:t>i</w:t>
      </w:r>
      <w:r w:rsidR="00F35312" w:rsidRPr="00082883">
        <w:rPr>
          <w:sz w:val="24"/>
        </w:rPr>
        <w:t>n the GTAP framework</w:t>
      </w:r>
      <w:r w:rsidR="00566143">
        <w:rPr>
          <w:sz w:val="24"/>
        </w:rPr>
        <w:t>, keeping only the cost generating effect of NTMs</w:t>
      </w:r>
      <w:r w:rsidR="00080C13" w:rsidRPr="00082883">
        <w:rPr>
          <w:sz w:val="24"/>
        </w:rPr>
        <w:t xml:space="preserve">. Egger </w:t>
      </w:r>
      <w:r w:rsidR="00080C13" w:rsidRPr="00082883">
        <w:rPr>
          <w:i/>
          <w:sz w:val="24"/>
        </w:rPr>
        <w:t>et al</w:t>
      </w:r>
      <w:r w:rsidR="00080C13" w:rsidRPr="00082883">
        <w:rPr>
          <w:sz w:val="24"/>
        </w:rPr>
        <w:t xml:space="preserve"> (2015) follow this path but </w:t>
      </w:r>
      <w:r w:rsidR="00336D95" w:rsidRPr="00082883">
        <w:rPr>
          <w:sz w:val="24"/>
        </w:rPr>
        <w:t>als</w:t>
      </w:r>
      <w:r w:rsidR="00203AF1">
        <w:rPr>
          <w:sz w:val="24"/>
        </w:rPr>
        <w:t>o</w:t>
      </w:r>
      <w:r w:rsidR="00336D95" w:rsidRPr="00082883">
        <w:rPr>
          <w:sz w:val="24"/>
        </w:rPr>
        <w:t xml:space="preserve"> include spillover effect</w:t>
      </w:r>
      <w:r w:rsidR="00EC5561">
        <w:rPr>
          <w:sz w:val="24"/>
        </w:rPr>
        <w:t>s</w:t>
      </w:r>
      <w:r w:rsidR="00336D95" w:rsidRPr="00082883">
        <w:rPr>
          <w:sz w:val="24"/>
        </w:rPr>
        <w:t xml:space="preserve"> from NTM cost reduction for third countries. They also </w:t>
      </w:r>
      <w:r w:rsidR="00EC5561">
        <w:rPr>
          <w:sz w:val="24"/>
        </w:rPr>
        <w:t>argued</w:t>
      </w:r>
      <w:r w:rsidR="00EC5561" w:rsidRPr="00082883">
        <w:rPr>
          <w:sz w:val="24"/>
        </w:rPr>
        <w:t xml:space="preserve"> </w:t>
      </w:r>
      <w:r w:rsidR="00080C13" w:rsidRPr="00082883">
        <w:rPr>
          <w:sz w:val="24"/>
        </w:rPr>
        <w:t xml:space="preserve">that NTMs should be modelled </w:t>
      </w:r>
      <w:r w:rsidR="00EC5561">
        <w:rPr>
          <w:sz w:val="24"/>
        </w:rPr>
        <w:t>as</w:t>
      </w:r>
      <w:r w:rsidR="00080C13" w:rsidRPr="00082883">
        <w:rPr>
          <w:sz w:val="24"/>
        </w:rPr>
        <w:t xml:space="preserve"> a mix of cos</w:t>
      </w:r>
      <w:r w:rsidR="001E12BF" w:rsidRPr="00082883">
        <w:rPr>
          <w:sz w:val="24"/>
        </w:rPr>
        <w:t>t and rent ge</w:t>
      </w:r>
      <w:r w:rsidR="00080C13" w:rsidRPr="00082883">
        <w:rPr>
          <w:sz w:val="24"/>
        </w:rPr>
        <w:t xml:space="preserve">nerating barriers. </w:t>
      </w:r>
      <w:r w:rsidR="001E12BF" w:rsidRPr="00082883">
        <w:rPr>
          <w:sz w:val="24"/>
        </w:rPr>
        <w:t>Recently</w:t>
      </w:r>
      <w:r w:rsidR="00336D95" w:rsidRPr="00082883">
        <w:rPr>
          <w:sz w:val="24"/>
        </w:rPr>
        <w:t>,</w:t>
      </w:r>
      <w:r w:rsidR="00946B75" w:rsidRPr="00082883">
        <w:rPr>
          <w:sz w:val="24"/>
        </w:rPr>
        <w:t xml:space="preserve"> </w:t>
      </w:r>
      <w:r w:rsidR="00F923B7" w:rsidRPr="00082883">
        <w:rPr>
          <w:sz w:val="24"/>
        </w:rPr>
        <w:t>Bekkers and Rojas-R</w:t>
      </w:r>
      <w:r w:rsidR="002941A4" w:rsidRPr="00082883">
        <w:rPr>
          <w:sz w:val="24"/>
        </w:rPr>
        <w:t>omagosa</w:t>
      </w:r>
      <w:r w:rsidR="00F923B7" w:rsidRPr="00082883">
        <w:rPr>
          <w:sz w:val="24"/>
        </w:rPr>
        <w:t xml:space="preserve"> (2018) then </w:t>
      </w:r>
      <w:r w:rsidR="00946B75" w:rsidRPr="00082883">
        <w:rPr>
          <w:sz w:val="24"/>
        </w:rPr>
        <w:t xml:space="preserve">Bekkers and Francois (2018) </w:t>
      </w:r>
      <w:r w:rsidR="0081207C" w:rsidRPr="00082883">
        <w:rPr>
          <w:sz w:val="24"/>
        </w:rPr>
        <w:t xml:space="preserve">developed </w:t>
      </w:r>
      <w:r w:rsidR="00336D95" w:rsidRPr="00082883">
        <w:rPr>
          <w:sz w:val="24"/>
        </w:rPr>
        <w:t>a comprehens</w:t>
      </w:r>
      <w:r w:rsidR="0081207C" w:rsidRPr="00082883">
        <w:rPr>
          <w:sz w:val="24"/>
        </w:rPr>
        <w:t>ive</w:t>
      </w:r>
      <w:r w:rsidR="00336D95" w:rsidRPr="00082883">
        <w:rPr>
          <w:sz w:val="24"/>
        </w:rPr>
        <w:t xml:space="preserve"> and detailed</w:t>
      </w:r>
      <w:r w:rsidR="0081207C" w:rsidRPr="00082883">
        <w:rPr>
          <w:sz w:val="24"/>
        </w:rPr>
        <w:t xml:space="preserve"> mode</w:t>
      </w:r>
      <w:r w:rsidR="00336D95" w:rsidRPr="00082883">
        <w:rPr>
          <w:sz w:val="24"/>
        </w:rPr>
        <w:t>l</w:t>
      </w:r>
      <w:r w:rsidR="00EC5561">
        <w:rPr>
          <w:sz w:val="24"/>
        </w:rPr>
        <w:t>l</w:t>
      </w:r>
      <w:r w:rsidR="00CE78D9">
        <w:rPr>
          <w:sz w:val="24"/>
        </w:rPr>
        <w:t>ing</w:t>
      </w:r>
      <w:r w:rsidR="0081207C" w:rsidRPr="00082883">
        <w:rPr>
          <w:sz w:val="24"/>
        </w:rPr>
        <w:t xml:space="preserve"> of </w:t>
      </w:r>
      <w:r w:rsidR="00336D95" w:rsidRPr="00082883">
        <w:rPr>
          <w:sz w:val="24"/>
        </w:rPr>
        <w:t>trade related cost</w:t>
      </w:r>
      <w:r w:rsidR="00F923B7" w:rsidRPr="00082883">
        <w:rPr>
          <w:sz w:val="24"/>
        </w:rPr>
        <w:t>s</w:t>
      </w:r>
      <w:r w:rsidR="00336D95" w:rsidRPr="00082883">
        <w:rPr>
          <w:sz w:val="24"/>
        </w:rPr>
        <w:t xml:space="preserve"> which include NTMs</w:t>
      </w:r>
      <w:r w:rsidR="0081207C" w:rsidRPr="00082883">
        <w:rPr>
          <w:sz w:val="24"/>
        </w:rPr>
        <w:t xml:space="preserve"> </w:t>
      </w:r>
      <w:r w:rsidR="00F923B7" w:rsidRPr="00082883">
        <w:rPr>
          <w:sz w:val="24"/>
        </w:rPr>
        <w:t>under the Armington, Melitz and Ethier‐Krugman models</w:t>
      </w:r>
      <w:r w:rsidR="00582E10">
        <w:rPr>
          <w:sz w:val="24"/>
        </w:rPr>
        <w:t xml:space="preserve">. </w:t>
      </w:r>
      <w:r w:rsidR="00582E10" w:rsidRPr="001B4D8C">
        <w:rPr>
          <w:sz w:val="24"/>
        </w:rPr>
        <w:t>They</w:t>
      </w:r>
      <w:r w:rsidR="00082883" w:rsidRPr="001B4D8C">
        <w:rPr>
          <w:sz w:val="24"/>
        </w:rPr>
        <w:t xml:space="preserve"> show that estimates of NTM effects </w:t>
      </w:r>
      <w:r w:rsidR="00DA4302" w:rsidRPr="001B4D8C">
        <w:rPr>
          <w:sz w:val="24"/>
        </w:rPr>
        <w:t xml:space="preserve">can </w:t>
      </w:r>
      <w:r w:rsidR="00082883" w:rsidRPr="001B4D8C">
        <w:rPr>
          <w:sz w:val="24"/>
        </w:rPr>
        <w:t xml:space="preserve">differ </w:t>
      </w:r>
      <w:r w:rsidR="00DA4302" w:rsidRPr="001B4D8C">
        <w:rPr>
          <w:sz w:val="24"/>
        </w:rPr>
        <w:t>as a result of</w:t>
      </w:r>
      <w:r w:rsidR="00082883" w:rsidRPr="001B4D8C">
        <w:rPr>
          <w:sz w:val="24"/>
        </w:rPr>
        <w:t xml:space="preserve"> </w:t>
      </w:r>
      <w:r w:rsidR="00DA4302" w:rsidRPr="001B4D8C">
        <w:rPr>
          <w:sz w:val="24"/>
        </w:rPr>
        <w:t>the method</w:t>
      </w:r>
      <w:r w:rsidR="00582E10" w:rsidRPr="001B4D8C">
        <w:rPr>
          <w:sz w:val="24"/>
        </w:rPr>
        <w:t>o</w:t>
      </w:r>
      <w:r w:rsidR="00DA4302" w:rsidRPr="001B4D8C">
        <w:rPr>
          <w:sz w:val="24"/>
        </w:rPr>
        <w:t>l</w:t>
      </w:r>
      <w:r w:rsidR="00582E10" w:rsidRPr="001B4D8C">
        <w:rPr>
          <w:sz w:val="24"/>
        </w:rPr>
        <w:t>og</w:t>
      </w:r>
      <w:r w:rsidR="00DA4302" w:rsidRPr="001B4D8C">
        <w:rPr>
          <w:sz w:val="24"/>
        </w:rPr>
        <w:t>y used</w:t>
      </w:r>
      <w:r w:rsidR="00082883" w:rsidRPr="001B4D8C">
        <w:rPr>
          <w:sz w:val="24"/>
        </w:rPr>
        <w:t xml:space="preserve"> to assess their cost but also</w:t>
      </w:r>
      <w:r w:rsidR="00DA4302" w:rsidRPr="001B4D8C">
        <w:rPr>
          <w:sz w:val="24"/>
        </w:rPr>
        <w:t xml:space="preserve"> because</w:t>
      </w:r>
      <w:r w:rsidR="00082883" w:rsidRPr="001B4D8C">
        <w:rPr>
          <w:sz w:val="24"/>
        </w:rPr>
        <w:t xml:space="preserve"> of their modelling features</w:t>
      </w:r>
      <w:r w:rsidR="00DA4302" w:rsidRPr="001B4D8C">
        <w:rPr>
          <w:sz w:val="24"/>
        </w:rPr>
        <w:t xml:space="preserve"> in CGE model</w:t>
      </w:r>
      <w:r w:rsidR="00F923B7" w:rsidRPr="001B4D8C">
        <w:rPr>
          <w:sz w:val="24"/>
        </w:rPr>
        <w:t>.</w:t>
      </w:r>
      <w:r w:rsidR="00064F83">
        <w:rPr>
          <w:sz w:val="24"/>
        </w:rPr>
        <w:t xml:space="preserve"> These include whether the approach used was top-down or bottom-up with studies showing smaller estimates for bottom-up appracohes.</w:t>
      </w:r>
    </w:p>
    <w:p w14:paraId="68AF611E" w14:textId="77777777" w:rsidR="004376B7" w:rsidRPr="00082883" w:rsidRDefault="004376B7" w:rsidP="00DD5C97">
      <w:pPr>
        <w:rPr>
          <w:sz w:val="24"/>
        </w:rPr>
      </w:pPr>
    </w:p>
    <w:p w14:paraId="2B2DA1BA" w14:textId="5B3B6543" w:rsidR="000A0114" w:rsidRPr="00DA4302" w:rsidRDefault="00BD729D" w:rsidP="000A0114">
      <w:pPr>
        <w:rPr>
          <w:sz w:val="24"/>
          <w:szCs w:val="24"/>
        </w:rPr>
      </w:pPr>
      <w:r w:rsidRPr="00DA4302">
        <w:rPr>
          <w:sz w:val="24"/>
          <w:szCs w:val="24"/>
        </w:rPr>
        <w:t>T</w:t>
      </w:r>
      <w:r w:rsidR="00D852E9" w:rsidRPr="00DA4302">
        <w:rPr>
          <w:sz w:val="24"/>
          <w:szCs w:val="24"/>
        </w:rPr>
        <w:t>here is</w:t>
      </w:r>
      <w:r w:rsidRPr="00DA4302">
        <w:rPr>
          <w:sz w:val="24"/>
          <w:szCs w:val="24"/>
        </w:rPr>
        <w:t xml:space="preserve"> </w:t>
      </w:r>
      <w:r w:rsidR="00961425">
        <w:rPr>
          <w:sz w:val="24"/>
          <w:szCs w:val="24"/>
        </w:rPr>
        <w:t>even</w:t>
      </w:r>
      <w:r w:rsidR="00D852E9" w:rsidRPr="00DA4302">
        <w:rPr>
          <w:sz w:val="24"/>
          <w:szCs w:val="24"/>
        </w:rPr>
        <w:t xml:space="preserve"> l</w:t>
      </w:r>
      <w:r w:rsidR="00345BFD" w:rsidRPr="00DA4302">
        <w:rPr>
          <w:sz w:val="24"/>
          <w:szCs w:val="24"/>
        </w:rPr>
        <w:t>e</w:t>
      </w:r>
      <w:r w:rsidR="00D852E9" w:rsidRPr="00DA4302">
        <w:rPr>
          <w:sz w:val="24"/>
          <w:szCs w:val="24"/>
        </w:rPr>
        <w:t>ss</w:t>
      </w:r>
      <w:r w:rsidR="00345BFD" w:rsidRPr="00DA4302">
        <w:rPr>
          <w:sz w:val="24"/>
          <w:szCs w:val="24"/>
        </w:rPr>
        <w:t xml:space="preserve"> evidence</w:t>
      </w:r>
      <w:r w:rsidR="00BD757A" w:rsidRPr="00DA4302">
        <w:rPr>
          <w:sz w:val="24"/>
          <w:szCs w:val="24"/>
        </w:rPr>
        <w:t xml:space="preserve"> </w:t>
      </w:r>
      <w:r w:rsidR="00D852E9" w:rsidRPr="00DA4302">
        <w:rPr>
          <w:sz w:val="24"/>
          <w:szCs w:val="24"/>
        </w:rPr>
        <w:t>based on</w:t>
      </w:r>
      <w:r w:rsidR="009B1BA7" w:rsidRPr="00DA4302">
        <w:rPr>
          <w:sz w:val="24"/>
          <w:szCs w:val="24"/>
        </w:rPr>
        <w:t xml:space="preserve"> the</w:t>
      </w:r>
      <w:r w:rsidR="00D852E9" w:rsidRPr="00DA4302">
        <w:rPr>
          <w:sz w:val="24"/>
          <w:szCs w:val="24"/>
        </w:rPr>
        <w:t xml:space="preserve"> </w:t>
      </w:r>
      <w:r w:rsidR="002941A4" w:rsidRPr="00DA4302">
        <w:rPr>
          <w:sz w:val="24"/>
          <w:szCs w:val="24"/>
        </w:rPr>
        <w:t>differen</w:t>
      </w:r>
      <w:r w:rsidR="00946B75" w:rsidRPr="00DA4302">
        <w:rPr>
          <w:sz w:val="24"/>
          <w:szCs w:val="24"/>
        </w:rPr>
        <w:t xml:space="preserve">t </w:t>
      </w:r>
      <w:r w:rsidR="002941A4" w:rsidRPr="00DA4302">
        <w:rPr>
          <w:sz w:val="24"/>
          <w:szCs w:val="24"/>
        </w:rPr>
        <w:t>effects of NTMs</w:t>
      </w:r>
      <w:r w:rsidR="00961425">
        <w:rPr>
          <w:sz w:val="24"/>
          <w:szCs w:val="24"/>
        </w:rPr>
        <w:t xml:space="preserve"> - </w:t>
      </w:r>
      <w:r w:rsidR="001E12BF" w:rsidRPr="00DA4302">
        <w:rPr>
          <w:sz w:val="24"/>
          <w:szCs w:val="24"/>
        </w:rPr>
        <w:t>cost-generating vs rent-generating</w:t>
      </w:r>
      <w:r w:rsidR="00961425">
        <w:rPr>
          <w:sz w:val="24"/>
          <w:szCs w:val="24"/>
        </w:rPr>
        <w:t xml:space="preserve"> - but</w:t>
      </w:r>
      <w:r w:rsidR="001E12BF" w:rsidRPr="00DA4302">
        <w:rPr>
          <w:sz w:val="24"/>
          <w:szCs w:val="24"/>
        </w:rPr>
        <w:t xml:space="preserve"> also demand-shifting</w:t>
      </w:r>
      <w:r w:rsidR="00C357C6" w:rsidRPr="00DA4302">
        <w:rPr>
          <w:sz w:val="24"/>
          <w:szCs w:val="24"/>
        </w:rPr>
        <w:t>.</w:t>
      </w:r>
      <w:r w:rsidR="001E12BF" w:rsidRPr="00DA4302">
        <w:rPr>
          <w:sz w:val="24"/>
          <w:szCs w:val="24"/>
        </w:rPr>
        <w:t xml:space="preserve"> This </w:t>
      </w:r>
      <w:r w:rsidR="00E77FC4" w:rsidRPr="00DA4302">
        <w:rPr>
          <w:sz w:val="24"/>
          <w:szCs w:val="24"/>
        </w:rPr>
        <w:t>is</w:t>
      </w:r>
      <w:r w:rsidR="00095F5C" w:rsidRPr="00DA4302">
        <w:rPr>
          <w:sz w:val="24"/>
          <w:szCs w:val="24"/>
        </w:rPr>
        <w:t xml:space="preserve"> mostly due to limited</w:t>
      </w:r>
      <w:r w:rsidR="009B1BA7" w:rsidRPr="00DA4302">
        <w:rPr>
          <w:sz w:val="24"/>
          <w:szCs w:val="24"/>
        </w:rPr>
        <w:t xml:space="preserve"> </w:t>
      </w:r>
      <w:r w:rsidR="006F596A" w:rsidRPr="00DA4302">
        <w:rPr>
          <w:sz w:val="24"/>
          <w:szCs w:val="24"/>
        </w:rPr>
        <w:t xml:space="preserve">availability of </w:t>
      </w:r>
      <w:r w:rsidR="00946B75" w:rsidRPr="00DA4302">
        <w:rPr>
          <w:sz w:val="24"/>
          <w:szCs w:val="24"/>
        </w:rPr>
        <w:t>estimates</w:t>
      </w:r>
      <w:r w:rsidR="00095F5C" w:rsidRPr="00DA4302">
        <w:rPr>
          <w:sz w:val="24"/>
          <w:szCs w:val="24"/>
        </w:rPr>
        <w:t xml:space="preserve"> on </w:t>
      </w:r>
      <w:r w:rsidR="002941A4" w:rsidRPr="00DA4302">
        <w:rPr>
          <w:sz w:val="24"/>
          <w:szCs w:val="24"/>
        </w:rPr>
        <w:t>price and quantity effects of different types of NTMs. T</w:t>
      </w:r>
      <w:r w:rsidR="001E12BF" w:rsidRPr="00DA4302">
        <w:rPr>
          <w:sz w:val="24"/>
          <w:szCs w:val="24"/>
        </w:rPr>
        <w:t>hose est</w:t>
      </w:r>
      <w:r w:rsidR="002941A4" w:rsidRPr="00DA4302">
        <w:rPr>
          <w:sz w:val="24"/>
          <w:szCs w:val="24"/>
        </w:rPr>
        <w:t xml:space="preserve">imates </w:t>
      </w:r>
      <w:r w:rsidR="00064F83">
        <w:rPr>
          <w:sz w:val="24"/>
          <w:szCs w:val="24"/>
        </w:rPr>
        <w:t>have been</w:t>
      </w:r>
      <w:r w:rsidR="001E12BF" w:rsidRPr="00DA4302">
        <w:rPr>
          <w:sz w:val="24"/>
          <w:szCs w:val="24"/>
        </w:rPr>
        <w:t xml:space="preserve"> </w:t>
      </w:r>
      <w:r w:rsidR="006F596A" w:rsidRPr="00DA4302">
        <w:rPr>
          <w:sz w:val="24"/>
          <w:szCs w:val="24"/>
        </w:rPr>
        <w:t xml:space="preserve">calculated </w:t>
      </w:r>
      <w:r w:rsidR="001E12BF" w:rsidRPr="00DA4302">
        <w:rPr>
          <w:sz w:val="24"/>
          <w:szCs w:val="24"/>
        </w:rPr>
        <w:t xml:space="preserve">using the approach from Cadot </w:t>
      </w:r>
      <w:r w:rsidR="001E12BF" w:rsidRPr="00852214">
        <w:rPr>
          <w:i/>
          <w:sz w:val="24"/>
          <w:szCs w:val="24"/>
        </w:rPr>
        <w:t>et al</w:t>
      </w:r>
      <w:r w:rsidR="001E12BF" w:rsidRPr="00DA4302">
        <w:rPr>
          <w:sz w:val="24"/>
          <w:szCs w:val="24"/>
        </w:rPr>
        <w:t xml:space="preserve"> (2018)</w:t>
      </w:r>
      <w:r w:rsidR="00064F83">
        <w:rPr>
          <w:sz w:val="24"/>
          <w:szCs w:val="24"/>
        </w:rPr>
        <w:t>. This method</w:t>
      </w:r>
      <w:r w:rsidR="00EC5561" w:rsidRPr="00DA4302">
        <w:rPr>
          <w:sz w:val="24"/>
          <w:szCs w:val="24"/>
        </w:rPr>
        <w:t xml:space="preserve"> further improve</w:t>
      </w:r>
      <w:r w:rsidR="00064F83">
        <w:rPr>
          <w:sz w:val="24"/>
          <w:szCs w:val="24"/>
        </w:rPr>
        <w:t>s the modelling of NTM</w:t>
      </w:r>
      <w:r w:rsidR="00EC5561" w:rsidRPr="00DA4302">
        <w:rPr>
          <w:sz w:val="24"/>
          <w:szCs w:val="24"/>
        </w:rPr>
        <w:t xml:space="preserve"> instruments in a </w:t>
      </w:r>
      <w:r w:rsidR="009B1BA7" w:rsidRPr="00DA4302">
        <w:rPr>
          <w:sz w:val="24"/>
          <w:szCs w:val="24"/>
        </w:rPr>
        <w:t xml:space="preserve">CGE </w:t>
      </w:r>
      <w:r w:rsidR="00EC5561" w:rsidRPr="00DA4302">
        <w:rPr>
          <w:sz w:val="24"/>
          <w:szCs w:val="24"/>
        </w:rPr>
        <w:t>framework</w:t>
      </w:r>
      <w:r w:rsidR="00DA4302">
        <w:rPr>
          <w:sz w:val="24"/>
          <w:szCs w:val="24"/>
        </w:rPr>
        <w:t xml:space="preserve"> </w:t>
      </w:r>
      <w:r w:rsidR="00EC5561" w:rsidRPr="00DA4302">
        <w:rPr>
          <w:sz w:val="24"/>
          <w:szCs w:val="24"/>
        </w:rPr>
        <w:t>to</w:t>
      </w:r>
      <w:r w:rsidR="00E77FC4" w:rsidRPr="00DA4302">
        <w:rPr>
          <w:sz w:val="24"/>
          <w:szCs w:val="24"/>
        </w:rPr>
        <w:t xml:space="preserve"> achieve a </w:t>
      </w:r>
      <w:r w:rsidR="00082883" w:rsidRPr="00DA4302">
        <w:rPr>
          <w:sz w:val="24"/>
          <w:szCs w:val="24"/>
        </w:rPr>
        <w:t xml:space="preserve">more </w:t>
      </w:r>
      <w:r w:rsidR="00566143" w:rsidRPr="00DA4302">
        <w:rPr>
          <w:sz w:val="24"/>
          <w:szCs w:val="24"/>
        </w:rPr>
        <w:t>comprehensive</w:t>
      </w:r>
      <w:r w:rsidR="00E77FC4" w:rsidRPr="00DA4302">
        <w:rPr>
          <w:sz w:val="24"/>
          <w:szCs w:val="24"/>
        </w:rPr>
        <w:t xml:space="preserve"> assessment of di</w:t>
      </w:r>
      <w:r w:rsidR="00EC5561" w:rsidRPr="00DA4302">
        <w:rPr>
          <w:sz w:val="24"/>
          <w:szCs w:val="24"/>
        </w:rPr>
        <w:t>r</w:t>
      </w:r>
      <w:r w:rsidR="00E77FC4" w:rsidRPr="00DA4302">
        <w:rPr>
          <w:sz w:val="24"/>
          <w:szCs w:val="24"/>
        </w:rPr>
        <w:t>ect and indirect effect</w:t>
      </w:r>
      <w:r w:rsidR="00EC5561" w:rsidRPr="00DA4302">
        <w:rPr>
          <w:sz w:val="24"/>
          <w:szCs w:val="24"/>
        </w:rPr>
        <w:t>s</w:t>
      </w:r>
      <w:r w:rsidR="00E77FC4" w:rsidRPr="00DA4302">
        <w:rPr>
          <w:sz w:val="24"/>
          <w:szCs w:val="24"/>
        </w:rPr>
        <w:t xml:space="preserve"> of those me</w:t>
      </w:r>
      <w:r w:rsidR="00EC5561" w:rsidRPr="00DA4302">
        <w:rPr>
          <w:sz w:val="24"/>
          <w:szCs w:val="24"/>
        </w:rPr>
        <w:t>asures</w:t>
      </w:r>
      <w:r w:rsidR="00082883" w:rsidRPr="00DA4302">
        <w:rPr>
          <w:sz w:val="24"/>
          <w:szCs w:val="24"/>
        </w:rPr>
        <w:t>.</w:t>
      </w:r>
      <w:r w:rsidR="000A0114" w:rsidRPr="00DA4302">
        <w:rPr>
          <w:sz w:val="24"/>
          <w:szCs w:val="24"/>
        </w:rPr>
        <w:t xml:space="preserve"> This paper contributes to previous bodies of work by</w:t>
      </w:r>
      <w:r w:rsidR="009E3FDE" w:rsidRPr="00DA4302">
        <w:rPr>
          <w:sz w:val="24"/>
          <w:szCs w:val="24"/>
        </w:rPr>
        <w:t xml:space="preserve"> more fully assessing </w:t>
      </w:r>
      <w:r w:rsidR="000A0114" w:rsidRPr="00DA4302">
        <w:rPr>
          <w:sz w:val="24"/>
          <w:szCs w:val="24"/>
        </w:rPr>
        <w:t>the im</w:t>
      </w:r>
      <w:r w:rsidR="006F596A" w:rsidRPr="00DA4302">
        <w:rPr>
          <w:sz w:val="24"/>
          <w:szCs w:val="24"/>
        </w:rPr>
        <w:t xml:space="preserve">pact of different types of NTMs using these new </w:t>
      </w:r>
      <w:r w:rsidR="009E3FDE" w:rsidRPr="00DA4302">
        <w:rPr>
          <w:sz w:val="24"/>
          <w:szCs w:val="24"/>
        </w:rPr>
        <w:t xml:space="preserve">price and quantity </w:t>
      </w:r>
      <w:r w:rsidR="006F596A" w:rsidRPr="00DA4302">
        <w:rPr>
          <w:sz w:val="24"/>
          <w:szCs w:val="24"/>
        </w:rPr>
        <w:t>estimates.</w:t>
      </w:r>
    </w:p>
    <w:p w14:paraId="10A230A5" w14:textId="77777777" w:rsidR="003F7F2A" w:rsidRPr="00DA4302" w:rsidRDefault="003F7F2A" w:rsidP="00095F5C">
      <w:pPr>
        <w:rPr>
          <w:sz w:val="24"/>
          <w:szCs w:val="24"/>
        </w:rPr>
      </w:pPr>
    </w:p>
    <w:p w14:paraId="73C0108E" w14:textId="33DE4BD2" w:rsidR="0063185C" w:rsidRPr="00A43DF3" w:rsidRDefault="00F85E47" w:rsidP="00B958C8">
      <w:pPr>
        <w:tabs>
          <w:tab w:val="clear" w:pos="850"/>
          <w:tab w:val="clear" w:pos="1191"/>
          <w:tab w:val="clear" w:pos="1531"/>
        </w:tabs>
        <w:autoSpaceDE w:val="0"/>
        <w:autoSpaceDN w:val="0"/>
        <w:adjustRightInd w:val="0"/>
        <w:rPr>
          <w:sz w:val="24"/>
          <w:szCs w:val="24"/>
        </w:rPr>
      </w:pPr>
      <w:r>
        <w:rPr>
          <w:sz w:val="24"/>
          <w:szCs w:val="24"/>
        </w:rPr>
        <w:t xml:space="preserve">The measurement of both price and quantitiy effects recognises that </w:t>
      </w:r>
      <w:r w:rsidR="006B4545" w:rsidRPr="00B958C8">
        <w:rPr>
          <w:sz w:val="24"/>
          <w:szCs w:val="24"/>
        </w:rPr>
        <w:t xml:space="preserve">simply interpreting AVEs as measuring only distortions </w:t>
      </w:r>
      <w:r>
        <w:rPr>
          <w:sz w:val="24"/>
          <w:szCs w:val="24"/>
        </w:rPr>
        <w:t>is</w:t>
      </w:r>
      <w:r w:rsidR="006B4545" w:rsidRPr="00B958C8">
        <w:rPr>
          <w:sz w:val="24"/>
          <w:szCs w:val="24"/>
        </w:rPr>
        <w:t xml:space="preserve"> severely misleading. Further, when the quality of suppliers is </w:t>
      </w:r>
      <w:r w:rsidR="006B4545" w:rsidRPr="00B958C8">
        <w:rPr>
          <w:sz w:val="24"/>
          <w:szCs w:val="24"/>
        </w:rPr>
        <w:lastRenderedPageBreak/>
        <w:t xml:space="preserve">heterogeneous and unknown to buyers, regulations can overcome the information deficit and convey a signal that all producers conform to a certain standard, encouraging demand. Good regulations can facilitate trade. In such cases, NTMs affect both the product supply curve through the various costs associated with compliance and the demand curve through signalling or “catalyst” effects. </w:t>
      </w:r>
    </w:p>
    <w:p w14:paraId="5BC60400" w14:textId="77777777" w:rsidR="000A5815" w:rsidRDefault="000A5815" w:rsidP="00A43DF3">
      <w:pPr>
        <w:rPr>
          <w:sz w:val="24"/>
          <w:szCs w:val="24"/>
        </w:rPr>
      </w:pPr>
    </w:p>
    <w:p w14:paraId="29374F62" w14:textId="0CC424D7" w:rsidR="00A43DF3" w:rsidRPr="00A43DF3" w:rsidRDefault="00A43DF3" w:rsidP="00A43DF3">
      <w:pPr>
        <w:rPr>
          <w:sz w:val="24"/>
          <w:szCs w:val="24"/>
        </w:rPr>
      </w:pPr>
      <w:r w:rsidRPr="00A43DF3">
        <w:rPr>
          <w:sz w:val="24"/>
          <w:szCs w:val="24"/>
        </w:rPr>
        <w:t xml:space="preserve">The AVEs measure the costs that exporters have to incur to comply with regulatory requirements on the importing markets. The country-average AVEs vary according to two types of composition effects. </w:t>
      </w:r>
    </w:p>
    <w:p w14:paraId="49ED37B8" w14:textId="63AD93F6" w:rsidR="0063185C" w:rsidRPr="00A43DF3" w:rsidRDefault="006B4545" w:rsidP="00A43DF3">
      <w:pPr>
        <w:numPr>
          <w:ilvl w:val="0"/>
          <w:numId w:val="7"/>
        </w:numPr>
        <w:rPr>
          <w:sz w:val="24"/>
          <w:szCs w:val="24"/>
        </w:rPr>
      </w:pPr>
      <w:r w:rsidRPr="00A43DF3">
        <w:rPr>
          <w:sz w:val="24"/>
          <w:szCs w:val="24"/>
        </w:rPr>
        <w:t>Origin Effects - Even if two importing countries share the same body of regulations (e.g. two EU countries) their AVEs will differ because of an origin-composition effect. For example, if one count</w:t>
      </w:r>
      <w:r w:rsidR="00617C40">
        <w:rPr>
          <w:sz w:val="24"/>
          <w:szCs w:val="24"/>
        </w:rPr>
        <w:t>r</w:t>
      </w:r>
      <w:r w:rsidRPr="00A43DF3">
        <w:rPr>
          <w:sz w:val="24"/>
          <w:szCs w:val="24"/>
        </w:rPr>
        <w:t>y imports more from countries with weak SPS infrastructures, its regulations will require more adaptation from origin producers, and hence will entail higher AVEs as the second country that sources more of its imports from countries with more developed SPS systems.</w:t>
      </w:r>
      <w:r w:rsidR="00617C40">
        <w:rPr>
          <w:sz w:val="24"/>
          <w:szCs w:val="24"/>
        </w:rPr>
        <w:t xml:space="preserve"> </w:t>
      </w:r>
    </w:p>
    <w:p w14:paraId="2C7F74DF" w14:textId="77777777" w:rsidR="0063185C" w:rsidRPr="00A43DF3" w:rsidRDefault="006B4545" w:rsidP="00A43DF3">
      <w:pPr>
        <w:numPr>
          <w:ilvl w:val="0"/>
          <w:numId w:val="7"/>
        </w:numPr>
        <w:rPr>
          <w:sz w:val="24"/>
          <w:szCs w:val="24"/>
        </w:rPr>
      </w:pPr>
      <w:r w:rsidRPr="00A43DF3">
        <w:rPr>
          <w:sz w:val="24"/>
          <w:szCs w:val="24"/>
        </w:rPr>
        <w:t>Product-effects - a country importing more highly sensitive products, e.g. shrimp, will have a mechanically higher average AVE for SPS measures than a county that imports less sensitive products.</w:t>
      </w:r>
    </w:p>
    <w:p w14:paraId="30B35F7C" w14:textId="465F2F4B" w:rsidR="00A43DF3" w:rsidRDefault="00A43DF3" w:rsidP="00A43DF3">
      <w:pPr>
        <w:rPr>
          <w:sz w:val="24"/>
          <w:szCs w:val="24"/>
        </w:rPr>
      </w:pPr>
    </w:p>
    <w:p w14:paraId="1BE0625F" w14:textId="77777777" w:rsidR="006B4545" w:rsidRPr="00A43DF3" w:rsidRDefault="006B4545" w:rsidP="00A43DF3">
      <w:pPr>
        <w:rPr>
          <w:sz w:val="24"/>
          <w:szCs w:val="24"/>
        </w:rPr>
      </w:pPr>
    </w:p>
    <w:p w14:paraId="76783E02" w14:textId="38AAC381" w:rsidR="00CF470D" w:rsidRDefault="00D43F48" w:rsidP="00CF470D">
      <w:pPr>
        <w:pStyle w:val="Heading6"/>
      </w:pPr>
      <w:r>
        <w:t>F</w:t>
      </w:r>
      <w:r w:rsidR="00CF470D">
        <w:t>igure 1: Ad-valoreum equavlanets of different NTMs by sector (in percent)</w:t>
      </w:r>
    </w:p>
    <w:p w14:paraId="44FC8825" w14:textId="6DF08753" w:rsidR="00A43DF3" w:rsidRDefault="00A43DF3" w:rsidP="00095F5C">
      <w:pPr>
        <w:rPr>
          <w:sz w:val="24"/>
          <w:szCs w:val="24"/>
        </w:rPr>
      </w:pPr>
      <w:r w:rsidRPr="00A43DF3">
        <w:rPr>
          <w:noProof/>
          <w:sz w:val="24"/>
          <w:szCs w:val="24"/>
          <w:lang w:eastAsia="en-GB"/>
        </w:rPr>
        <w:drawing>
          <wp:inline distT="0" distB="0" distL="0" distR="0" wp14:anchorId="048FE134" wp14:editId="0B226299">
            <wp:extent cx="6012815" cy="2667000"/>
            <wp:effectExtent l="0" t="0" r="6985"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2815" cy="2667000"/>
                    </a:xfrm>
                    <a:prstGeom prst="rect">
                      <a:avLst/>
                    </a:prstGeom>
                    <a:noFill/>
                    <a:ln>
                      <a:noFill/>
                    </a:ln>
                    <a:effectLst/>
                    <a:extLst/>
                  </pic:spPr>
                </pic:pic>
              </a:graphicData>
            </a:graphic>
          </wp:inline>
        </w:drawing>
      </w:r>
    </w:p>
    <w:p w14:paraId="0ADFACA3" w14:textId="77777777" w:rsidR="00D43F48" w:rsidRDefault="00D43F48" w:rsidP="00095F5C">
      <w:pPr>
        <w:rPr>
          <w:i/>
          <w:sz w:val="20"/>
          <w:szCs w:val="20"/>
        </w:rPr>
      </w:pPr>
    </w:p>
    <w:p w14:paraId="17E722AB" w14:textId="189E4592" w:rsidR="00CF470D" w:rsidRPr="00CF470D" w:rsidRDefault="00CF470D" w:rsidP="00095F5C">
      <w:pPr>
        <w:rPr>
          <w:sz w:val="20"/>
          <w:szCs w:val="20"/>
        </w:rPr>
      </w:pPr>
      <w:r w:rsidRPr="00CF470D">
        <w:rPr>
          <w:i/>
          <w:sz w:val="20"/>
          <w:szCs w:val="20"/>
        </w:rPr>
        <w:t>Note:</w:t>
      </w:r>
      <w:r w:rsidRPr="00CF470D">
        <w:rPr>
          <w:sz w:val="20"/>
          <w:szCs w:val="20"/>
        </w:rPr>
        <w:t xml:space="preserve"> SPS is Sanitary and Phytosanitary measures, TBT refer to </w:t>
      </w:r>
      <w:r>
        <w:rPr>
          <w:sz w:val="20"/>
          <w:szCs w:val="20"/>
        </w:rPr>
        <w:t>T</w:t>
      </w:r>
      <w:r w:rsidRPr="00CF470D">
        <w:rPr>
          <w:sz w:val="20"/>
          <w:szCs w:val="20"/>
        </w:rPr>
        <w:t xml:space="preserve">echnical </w:t>
      </w:r>
      <w:r>
        <w:rPr>
          <w:sz w:val="20"/>
          <w:szCs w:val="20"/>
        </w:rPr>
        <w:t>Barriers to T</w:t>
      </w:r>
      <w:r w:rsidRPr="00CF470D">
        <w:rPr>
          <w:sz w:val="20"/>
          <w:szCs w:val="20"/>
        </w:rPr>
        <w:t xml:space="preserve">rade, BCM are Border Control Measures and QR are </w:t>
      </w:r>
      <w:r>
        <w:rPr>
          <w:sz w:val="20"/>
          <w:szCs w:val="20"/>
        </w:rPr>
        <w:t>Quantitative</w:t>
      </w:r>
      <w:r w:rsidRPr="00CF470D">
        <w:rPr>
          <w:sz w:val="20"/>
          <w:szCs w:val="20"/>
        </w:rPr>
        <w:t xml:space="preserve"> Restricitons.</w:t>
      </w:r>
    </w:p>
    <w:p w14:paraId="2F317147" w14:textId="17524E4E" w:rsidR="00CF470D" w:rsidRPr="00CF470D" w:rsidRDefault="00CF470D" w:rsidP="00095F5C">
      <w:pPr>
        <w:rPr>
          <w:sz w:val="20"/>
          <w:szCs w:val="20"/>
        </w:rPr>
      </w:pPr>
      <w:r w:rsidRPr="00CF470D">
        <w:rPr>
          <w:i/>
          <w:sz w:val="20"/>
          <w:szCs w:val="20"/>
        </w:rPr>
        <w:t>Source:</w:t>
      </w:r>
      <w:r w:rsidRPr="00CF470D">
        <w:rPr>
          <w:sz w:val="20"/>
          <w:szCs w:val="20"/>
        </w:rPr>
        <w:t xml:space="preserve"> Cadot, Gourdon and van Tongeren (2018)</w:t>
      </w:r>
    </w:p>
    <w:p w14:paraId="0144740B" w14:textId="77777777" w:rsidR="00CF470D" w:rsidRDefault="00CF470D" w:rsidP="00095F5C">
      <w:pPr>
        <w:rPr>
          <w:sz w:val="24"/>
          <w:szCs w:val="24"/>
        </w:rPr>
      </w:pPr>
    </w:p>
    <w:p w14:paraId="19D42D47" w14:textId="77777777" w:rsidR="004101A3" w:rsidRDefault="004101A3" w:rsidP="00A43DF3">
      <w:pPr>
        <w:tabs>
          <w:tab w:val="clear" w:pos="850"/>
          <w:tab w:val="clear" w:pos="1191"/>
          <w:tab w:val="clear" w:pos="1531"/>
        </w:tabs>
        <w:jc w:val="left"/>
        <w:rPr>
          <w:sz w:val="24"/>
          <w:szCs w:val="24"/>
        </w:rPr>
      </w:pPr>
    </w:p>
    <w:p w14:paraId="798693A3" w14:textId="77777777" w:rsidR="004101A3" w:rsidRDefault="004101A3" w:rsidP="00A43DF3">
      <w:pPr>
        <w:tabs>
          <w:tab w:val="clear" w:pos="850"/>
          <w:tab w:val="clear" w:pos="1191"/>
          <w:tab w:val="clear" w:pos="1531"/>
        </w:tabs>
        <w:jc w:val="left"/>
        <w:rPr>
          <w:sz w:val="24"/>
          <w:szCs w:val="24"/>
        </w:rPr>
      </w:pPr>
    </w:p>
    <w:p w14:paraId="414D7ED0" w14:textId="6B93FCAF" w:rsidR="00A43DF3" w:rsidRDefault="00A43DF3" w:rsidP="00A43DF3">
      <w:pPr>
        <w:tabs>
          <w:tab w:val="clear" w:pos="850"/>
          <w:tab w:val="clear" w:pos="1191"/>
          <w:tab w:val="clear" w:pos="1531"/>
        </w:tabs>
        <w:jc w:val="left"/>
        <w:rPr>
          <w:sz w:val="24"/>
          <w:szCs w:val="24"/>
        </w:rPr>
      </w:pPr>
      <w:r w:rsidRPr="00A43DF3">
        <w:rPr>
          <w:sz w:val="24"/>
          <w:szCs w:val="24"/>
        </w:rPr>
        <w:t xml:space="preserve">The effect on quantities are more subtle. OECD work implies that import volumes are higher with the technical (ie SPS and TBT) </w:t>
      </w:r>
      <w:r w:rsidR="00505664" w:rsidRPr="00A43DF3">
        <w:rPr>
          <w:sz w:val="24"/>
          <w:szCs w:val="24"/>
        </w:rPr>
        <w:t xml:space="preserve">NTM </w:t>
      </w:r>
      <w:r w:rsidRPr="00A43DF3">
        <w:rPr>
          <w:sz w:val="24"/>
          <w:szCs w:val="24"/>
        </w:rPr>
        <w:t>measures than without them</w:t>
      </w:r>
      <w:r w:rsidR="00505664">
        <w:rPr>
          <w:sz w:val="24"/>
          <w:szCs w:val="24"/>
        </w:rPr>
        <w:t xml:space="preserve"> (Figure 2) </w:t>
      </w:r>
      <w:r w:rsidRPr="00A43DF3">
        <w:rPr>
          <w:sz w:val="24"/>
          <w:szCs w:val="24"/>
        </w:rPr>
        <w:t xml:space="preserve">. This suggests that the demand-enhancing effect of technical measures is substantial; in other words, the findings </w:t>
      </w:r>
      <w:r w:rsidRPr="00A43DF3">
        <w:rPr>
          <w:sz w:val="24"/>
          <w:szCs w:val="24"/>
        </w:rPr>
        <w:lastRenderedPageBreak/>
        <w:t>lend some support to the presumption that well designed regulations and related NTMs can have a trade-facilitating effect. Trade facilitating effects can be expected to occur when the NTMs help overcome negative externalities and information asymmetries, although prices are higher than in the absence of the measures.  Non-technical measures, in contrast, raise prices while reducing volumes, as they involve no demand-shifting effect</w:t>
      </w:r>
    </w:p>
    <w:p w14:paraId="1287CD52" w14:textId="7E72266E" w:rsidR="00BB5AC2" w:rsidRDefault="00AD1B62" w:rsidP="0023595C">
      <w:pPr>
        <w:pStyle w:val="Heading6"/>
        <w:rPr>
          <w:sz w:val="24"/>
          <w:szCs w:val="24"/>
        </w:rPr>
      </w:pPr>
      <w:r w:rsidRPr="00BB5AC2">
        <w:rPr>
          <w:b w:val="0"/>
          <w:bCs w:val="0"/>
          <w:noProof/>
          <w:sz w:val="24"/>
          <w:szCs w:val="24"/>
          <w:lang w:eastAsia="en-GB"/>
        </w:rPr>
        <w:drawing>
          <wp:anchor distT="0" distB="0" distL="114300" distR="114300" simplePos="0" relativeHeight="251664384" behindDoc="1" locked="0" layoutInCell="1" allowOverlap="1" wp14:anchorId="07E15EE3" wp14:editId="37BE7AD2">
            <wp:simplePos x="0" y="0"/>
            <wp:positionH relativeFrom="margin">
              <wp:align>right</wp:align>
            </wp:positionH>
            <wp:positionV relativeFrom="paragraph">
              <wp:posOffset>336550</wp:posOffset>
            </wp:positionV>
            <wp:extent cx="2933065" cy="2390775"/>
            <wp:effectExtent l="0" t="0" r="635" b="9525"/>
            <wp:wrapTight wrapText="bothSides">
              <wp:wrapPolygon edited="0">
                <wp:start x="0" y="0"/>
                <wp:lineTo x="0" y="21514"/>
                <wp:lineTo x="21464" y="21514"/>
                <wp:lineTo x="21464" y="0"/>
                <wp:lineTo x="0" y="0"/>
              </wp:wrapPolygon>
            </wp:wrapTight>
            <wp:docPr id="11" name="Picture 13"/>
            <wp:cNvGraphicFramePr/>
            <a:graphic xmlns:a="http://schemas.openxmlformats.org/drawingml/2006/main">
              <a:graphicData uri="http://schemas.openxmlformats.org/drawingml/2006/picture">
                <pic:pic xmlns:pic="http://schemas.openxmlformats.org/drawingml/2006/picture">
                  <pic:nvPicPr>
                    <pic:cNvPr id="14" name="Picture 13"/>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065" cy="2390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595C">
        <w:t>Figure 2: Price and quantitiy changes with standards (in percent)</w:t>
      </w:r>
    </w:p>
    <w:p w14:paraId="01D307A0" w14:textId="39C71232" w:rsidR="00BB5AC2" w:rsidRDefault="00203462" w:rsidP="00A43DF3">
      <w:pPr>
        <w:tabs>
          <w:tab w:val="clear" w:pos="850"/>
          <w:tab w:val="clear" w:pos="1191"/>
          <w:tab w:val="clear" w:pos="1531"/>
        </w:tabs>
        <w:jc w:val="left"/>
        <w:rPr>
          <w:sz w:val="24"/>
          <w:szCs w:val="24"/>
        </w:rPr>
      </w:pPr>
      <w:r w:rsidRPr="00BB5AC2">
        <w:rPr>
          <w:noProof/>
          <w:sz w:val="24"/>
          <w:szCs w:val="24"/>
          <w:lang w:eastAsia="en-GB"/>
        </w:rPr>
        <w:drawing>
          <wp:anchor distT="0" distB="0" distL="114300" distR="114300" simplePos="0" relativeHeight="251663360" behindDoc="1" locked="0" layoutInCell="1" allowOverlap="1" wp14:anchorId="2CF1F20A" wp14:editId="6FDDE837">
            <wp:simplePos x="0" y="0"/>
            <wp:positionH relativeFrom="margin">
              <wp:align>left</wp:align>
            </wp:positionH>
            <wp:positionV relativeFrom="paragraph">
              <wp:posOffset>15875</wp:posOffset>
            </wp:positionV>
            <wp:extent cx="3067050" cy="2400300"/>
            <wp:effectExtent l="0" t="0" r="0" b="0"/>
            <wp:wrapTight wrapText="bothSides">
              <wp:wrapPolygon edited="0">
                <wp:start x="0" y="0"/>
                <wp:lineTo x="0" y="21429"/>
                <wp:lineTo x="21466" y="21429"/>
                <wp:lineTo x="21466" y="0"/>
                <wp:lineTo x="0" y="0"/>
              </wp:wrapPolygon>
            </wp:wrapTight>
            <wp:docPr id="12"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67050"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66291" w14:textId="79151419" w:rsidR="0023595C" w:rsidRPr="00CF470D" w:rsidRDefault="0023595C" w:rsidP="0023595C">
      <w:pPr>
        <w:rPr>
          <w:sz w:val="20"/>
          <w:szCs w:val="20"/>
        </w:rPr>
      </w:pPr>
      <w:r w:rsidRPr="00CF470D">
        <w:rPr>
          <w:i/>
          <w:sz w:val="20"/>
          <w:szCs w:val="20"/>
        </w:rPr>
        <w:t>Note:</w:t>
      </w:r>
      <w:r w:rsidRPr="00CF470D">
        <w:rPr>
          <w:sz w:val="20"/>
          <w:szCs w:val="20"/>
        </w:rPr>
        <w:t xml:space="preserve"> SPS is Sanitary and Phytosanitary measures, TBT refer to </w:t>
      </w:r>
      <w:r>
        <w:rPr>
          <w:sz w:val="20"/>
          <w:szCs w:val="20"/>
        </w:rPr>
        <w:t>T</w:t>
      </w:r>
      <w:r w:rsidRPr="00CF470D">
        <w:rPr>
          <w:sz w:val="20"/>
          <w:szCs w:val="20"/>
        </w:rPr>
        <w:t xml:space="preserve">echnical </w:t>
      </w:r>
      <w:r>
        <w:rPr>
          <w:sz w:val="20"/>
          <w:szCs w:val="20"/>
        </w:rPr>
        <w:t>Barriers to T</w:t>
      </w:r>
      <w:r w:rsidRPr="00CF470D">
        <w:rPr>
          <w:sz w:val="20"/>
          <w:szCs w:val="20"/>
        </w:rPr>
        <w:t xml:space="preserve">rade, BCM are Border Control Measures and QR are </w:t>
      </w:r>
      <w:r>
        <w:rPr>
          <w:sz w:val="20"/>
          <w:szCs w:val="20"/>
        </w:rPr>
        <w:t>Quantitative</w:t>
      </w:r>
      <w:r w:rsidRPr="00CF470D">
        <w:rPr>
          <w:sz w:val="20"/>
          <w:szCs w:val="20"/>
        </w:rPr>
        <w:t xml:space="preserve"> Restricitons.</w:t>
      </w:r>
    </w:p>
    <w:p w14:paraId="42601BDC" w14:textId="77777777" w:rsidR="0023595C" w:rsidRPr="00CF470D" w:rsidRDefault="0023595C" w:rsidP="0023595C">
      <w:pPr>
        <w:rPr>
          <w:sz w:val="20"/>
          <w:szCs w:val="20"/>
        </w:rPr>
      </w:pPr>
      <w:r w:rsidRPr="00CF470D">
        <w:rPr>
          <w:i/>
          <w:sz w:val="20"/>
          <w:szCs w:val="20"/>
        </w:rPr>
        <w:t>Source:</w:t>
      </w:r>
      <w:r w:rsidRPr="00CF470D">
        <w:rPr>
          <w:sz w:val="20"/>
          <w:szCs w:val="20"/>
        </w:rPr>
        <w:t xml:space="preserve"> Cadot, Gourdon and van Tongeren (2018)</w:t>
      </w:r>
    </w:p>
    <w:p w14:paraId="3FB22110" w14:textId="601B5DE3" w:rsidR="00B958C8" w:rsidRDefault="00B958C8" w:rsidP="00A43DF3">
      <w:pPr>
        <w:tabs>
          <w:tab w:val="clear" w:pos="850"/>
          <w:tab w:val="clear" w:pos="1191"/>
          <w:tab w:val="clear" w:pos="1531"/>
        </w:tabs>
        <w:jc w:val="left"/>
        <w:rPr>
          <w:sz w:val="24"/>
          <w:szCs w:val="24"/>
        </w:rPr>
      </w:pPr>
    </w:p>
    <w:p w14:paraId="1CBF38C8" w14:textId="755A6381" w:rsidR="0023595C" w:rsidRDefault="00E13073" w:rsidP="00CF470D">
      <w:r>
        <w:t>The AVEs modelled in Cadot et al (2018) were aggregated to the GTAP sectors for the G20 economies. The average size of of the shocks are presented in Figure 3.</w:t>
      </w:r>
      <w:r w:rsidR="00D43F48">
        <w:rPr>
          <w:sz w:val="24"/>
          <w:szCs w:val="24"/>
        </w:rPr>
        <w:t xml:space="preserve">This paper models a reduction in the costs of NTMs under a </w:t>
      </w:r>
      <w:r w:rsidR="00D43F48" w:rsidRPr="00D43F48">
        <w:rPr>
          <w:sz w:val="24"/>
          <w:szCs w:val="24"/>
        </w:rPr>
        <w:t xml:space="preserve">scenario </w:t>
      </w:r>
      <w:r w:rsidR="00D43F48">
        <w:rPr>
          <w:sz w:val="24"/>
          <w:szCs w:val="24"/>
        </w:rPr>
        <w:t>where</w:t>
      </w:r>
      <w:r w:rsidR="00D43F48" w:rsidRPr="00D43F48">
        <w:rPr>
          <w:sz w:val="24"/>
          <w:szCs w:val="24"/>
        </w:rPr>
        <w:t xml:space="preserve"> governments are able to work together to minimise policy divergence, thereby reducing unnecessary bilateral trade costs that may stem from differences in regulatory approaches across G20 economies.</w:t>
      </w:r>
      <w:r w:rsidR="00D43F48" w:rsidRPr="00286033">
        <w:rPr>
          <w:rStyle w:val="FootnoteReference"/>
        </w:rPr>
        <w:footnoteReference w:id="3"/>
      </w:r>
      <w:r w:rsidR="00D43F48" w:rsidRPr="00D43F48">
        <w:rPr>
          <w:sz w:val="24"/>
          <w:szCs w:val="24"/>
        </w:rPr>
        <w:t xml:space="preserve"> Given the harmonised regulatory regime existing within the European Union, NTMs among these countries are not reduced, although they are reduced between EU members and third parties.</w:t>
      </w:r>
      <w:r w:rsidR="00D43F48" w:rsidRPr="00286033">
        <w:rPr>
          <w:rStyle w:val="FootnoteReference"/>
        </w:rPr>
        <w:footnoteReference w:id="4"/>
      </w:r>
      <w:r w:rsidR="00D43F48" w:rsidRPr="00286033">
        <w:rPr>
          <w:rStyle w:val="FootnoteReference"/>
        </w:rPr>
        <w:t xml:space="preserve"> </w:t>
      </w:r>
      <w:r w:rsidR="00D43F48" w:rsidRPr="00D43F48">
        <w:rPr>
          <w:sz w:val="24"/>
          <w:szCs w:val="24"/>
        </w:rPr>
        <w:t>The level of actual NTM reduction varies by sector and country</w:t>
      </w:r>
      <w:r>
        <w:rPr>
          <w:sz w:val="24"/>
          <w:szCs w:val="24"/>
        </w:rPr>
        <w:t xml:space="preserve"> based on </w:t>
      </w:r>
      <w:r w:rsidR="00D43F48" w:rsidRPr="00D43F48">
        <w:rPr>
          <w:sz w:val="24"/>
          <w:szCs w:val="24"/>
        </w:rPr>
        <w:t>the level of bilateral trade costs</w:t>
      </w:r>
      <w:r>
        <w:rPr>
          <w:sz w:val="24"/>
          <w:szCs w:val="24"/>
        </w:rPr>
        <w:t xml:space="preserve"> and the composition of that bilateral trade</w:t>
      </w:r>
      <w:r w:rsidR="00D43F48" w:rsidRPr="00D43F48">
        <w:rPr>
          <w:sz w:val="24"/>
          <w:szCs w:val="24"/>
        </w:rPr>
        <w:t xml:space="preserve"> by sector.</w:t>
      </w:r>
      <w:r w:rsidR="0023595C">
        <w:t xml:space="preserve"> </w:t>
      </w:r>
    </w:p>
    <w:p w14:paraId="4DDFAD92" w14:textId="5CE61BEA" w:rsidR="00D43F48" w:rsidRDefault="00D43F48" w:rsidP="0023595C">
      <w:pPr>
        <w:pStyle w:val="Heading6"/>
      </w:pPr>
    </w:p>
    <w:p w14:paraId="3F943BAE" w14:textId="2D112A31" w:rsidR="0023595C" w:rsidRDefault="00D43F48" w:rsidP="00E251C1">
      <w:pPr>
        <w:pStyle w:val="Heading6"/>
        <w:keepNext/>
      </w:pPr>
      <w:r>
        <w:lastRenderedPageBreak/>
        <w:t>F</w:t>
      </w:r>
      <w:r w:rsidR="0023595C">
        <w:t xml:space="preserve">igure 3: </w:t>
      </w:r>
      <w:r w:rsidR="0036413B">
        <w:t>Average size of NTM cost reductions, by sector</w:t>
      </w:r>
    </w:p>
    <w:p w14:paraId="36BB252C" w14:textId="20777934" w:rsidR="00CF470D" w:rsidRDefault="0036413B" w:rsidP="0023595C">
      <w:pPr>
        <w:pStyle w:val="Heading6"/>
      </w:pPr>
      <w:r>
        <w:rPr>
          <w:noProof/>
          <w:lang w:eastAsia="en-GB"/>
        </w:rPr>
        <w:drawing>
          <wp:inline distT="0" distB="0" distL="0" distR="0" wp14:anchorId="2271850E" wp14:editId="5FE909C5">
            <wp:extent cx="6012815" cy="3945890"/>
            <wp:effectExtent l="0" t="0" r="6985"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7693C06" w14:textId="70B149C2" w:rsidR="0023595C" w:rsidRPr="00CF470D" w:rsidRDefault="0023595C" w:rsidP="0023595C">
      <w:pPr>
        <w:rPr>
          <w:sz w:val="20"/>
          <w:szCs w:val="20"/>
        </w:rPr>
      </w:pPr>
      <w:r w:rsidRPr="00CF470D">
        <w:rPr>
          <w:i/>
          <w:sz w:val="20"/>
          <w:szCs w:val="20"/>
        </w:rPr>
        <w:t>Source:</w:t>
      </w:r>
      <w:r w:rsidRPr="00CF470D">
        <w:rPr>
          <w:sz w:val="20"/>
          <w:szCs w:val="20"/>
        </w:rPr>
        <w:t xml:space="preserve"> </w:t>
      </w:r>
      <w:r>
        <w:rPr>
          <w:sz w:val="20"/>
          <w:szCs w:val="20"/>
        </w:rPr>
        <w:t>Authros’calculations</w:t>
      </w:r>
    </w:p>
    <w:p w14:paraId="7C669AFE" w14:textId="6CD4DE0B" w:rsidR="0023595C" w:rsidRDefault="0023595C" w:rsidP="0023595C"/>
    <w:p w14:paraId="3D57503F" w14:textId="77777777" w:rsidR="0023595C" w:rsidRPr="0023595C" w:rsidRDefault="0023595C" w:rsidP="0023595C"/>
    <w:p w14:paraId="3CD3EF15" w14:textId="59E81003" w:rsidR="00B958C8" w:rsidRPr="00B958C8" w:rsidRDefault="00B958C8" w:rsidP="00CF470D">
      <w:pPr>
        <w:pStyle w:val="Heading2"/>
      </w:pPr>
      <w:r>
        <w:t>Modelling NTMs in METRO</w:t>
      </w:r>
    </w:p>
    <w:p w14:paraId="7F1DA1DE" w14:textId="77777777" w:rsidR="00B958C8" w:rsidRDefault="00B958C8" w:rsidP="00A43DF3">
      <w:pPr>
        <w:tabs>
          <w:tab w:val="clear" w:pos="850"/>
          <w:tab w:val="clear" w:pos="1191"/>
          <w:tab w:val="clear" w:pos="1531"/>
        </w:tabs>
        <w:jc w:val="left"/>
        <w:rPr>
          <w:sz w:val="24"/>
          <w:szCs w:val="24"/>
        </w:rPr>
      </w:pPr>
    </w:p>
    <w:p w14:paraId="5C48CF26" w14:textId="612358E7" w:rsidR="00CF470D" w:rsidRDefault="00ED03A8" w:rsidP="00E251C1">
      <w:pPr>
        <w:tabs>
          <w:tab w:val="clear" w:pos="850"/>
          <w:tab w:val="clear" w:pos="1191"/>
          <w:tab w:val="clear" w:pos="1531"/>
        </w:tabs>
        <w:rPr>
          <w:sz w:val="24"/>
          <w:szCs w:val="24"/>
        </w:rPr>
      </w:pPr>
      <w:r w:rsidRPr="00ED03A8">
        <w:rPr>
          <w:sz w:val="24"/>
          <w:szCs w:val="24"/>
        </w:rPr>
        <w:t xml:space="preserve">The iceberg method (Samuelson, 1954) has been widely used for the analysis of NTMs with CGE models. Iceberg costs are based on the idea that the cost of transporting a good can be expressed as a portion of the transported good; similar to an iceberg, some </w:t>
      </w:r>
      <w:r w:rsidR="00F131FD">
        <w:rPr>
          <w:sz w:val="24"/>
          <w:szCs w:val="24"/>
        </w:rPr>
        <w:t>value</w:t>
      </w:r>
      <w:r w:rsidRPr="00ED03A8">
        <w:rPr>
          <w:sz w:val="24"/>
          <w:szCs w:val="24"/>
        </w:rPr>
        <w:t xml:space="preserve"> melts away as it is </w:t>
      </w:r>
      <w:r w:rsidR="00F131FD">
        <w:rPr>
          <w:sz w:val="24"/>
          <w:szCs w:val="24"/>
        </w:rPr>
        <w:t>moved</w:t>
      </w:r>
      <w:r w:rsidRPr="00ED03A8">
        <w:rPr>
          <w:sz w:val="24"/>
          <w:szCs w:val="24"/>
        </w:rPr>
        <w:t xml:space="preserve"> to more distant destinations. The iceberg variable lowers the cost of trade and increases the quantity of imports consumed relative to the quantity sent or exported, thereby increasing real GDP and welfare. </w:t>
      </w:r>
      <w:r w:rsidR="00F131FD">
        <w:rPr>
          <w:sz w:val="24"/>
          <w:szCs w:val="24"/>
        </w:rPr>
        <w:t>The benefit of this approach is that it generates no government revenue. However, it does drive a wedge between export and import values.</w:t>
      </w:r>
    </w:p>
    <w:p w14:paraId="6C463F87" w14:textId="77777777" w:rsidR="00CF470D" w:rsidRDefault="00CF470D" w:rsidP="00A43DF3">
      <w:pPr>
        <w:tabs>
          <w:tab w:val="clear" w:pos="850"/>
          <w:tab w:val="clear" w:pos="1191"/>
          <w:tab w:val="clear" w:pos="1531"/>
        </w:tabs>
        <w:jc w:val="left"/>
        <w:rPr>
          <w:sz w:val="24"/>
          <w:szCs w:val="24"/>
        </w:rPr>
      </w:pPr>
    </w:p>
    <w:p w14:paraId="14EDB611" w14:textId="63BCCC14" w:rsidR="00B958C8" w:rsidRPr="00A43DF3" w:rsidRDefault="00ED03A8" w:rsidP="00E251C1">
      <w:pPr>
        <w:tabs>
          <w:tab w:val="clear" w:pos="850"/>
          <w:tab w:val="clear" w:pos="1191"/>
          <w:tab w:val="clear" w:pos="1531"/>
        </w:tabs>
        <w:rPr>
          <w:sz w:val="24"/>
          <w:szCs w:val="24"/>
        </w:rPr>
      </w:pPr>
      <w:r w:rsidRPr="00ED03A8">
        <w:rPr>
          <w:sz w:val="24"/>
          <w:szCs w:val="24"/>
        </w:rPr>
        <w:t xml:space="preserve">The approach adopted in METRO follows the GTAP model (Hertel et al., 2001) which has two effects on trade within the Armington structure: first, the reduction of iceberg costs decreases the importer’s price causing substitution towards that good and an increase in the quantity demanded; second, it decreases the amount that needs to be imported to satisfy a given level of demand. </w:t>
      </w:r>
      <w:r w:rsidR="002267B0">
        <w:rPr>
          <w:sz w:val="24"/>
          <w:szCs w:val="24"/>
        </w:rPr>
        <w:t xml:space="preserve">Thus it acts as an implicit productivity increase for imports. </w:t>
      </w:r>
      <w:r w:rsidRPr="00ED03A8">
        <w:rPr>
          <w:sz w:val="24"/>
          <w:szCs w:val="24"/>
        </w:rPr>
        <w:t xml:space="preserve">Expansion and substitution effects work in opposite directions, although, the first effect is typically larger due to a trade elasticity greater than 1 and the total demand for imports increases as a result of decreasing the NTM, as intended. An important feature of the second effect is that the calculated quantity observed by the importer is </w:t>
      </w:r>
      <w:r w:rsidRPr="00ED03A8">
        <w:rPr>
          <w:sz w:val="24"/>
          <w:szCs w:val="24"/>
        </w:rPr>
        <w:lastRenderedPageBreak/>
        <w:t>changed in direct proportion to the size of the NTM and thus maintains the balance in the initial accounting, i.e., the value of imports of a good from country j (exports of country j) still equals price times quantity:</w:t>
      </w:r>
    </w:p>
    <w:p w14:paraId="4E8F62CF" w14:textId="08D1B216" w:rsidR="00ED03A8" w:rsidRDefault="00ED03A8" w:rsidP="007366DC">
      <w:pPr>
        <w:pStyle w:val="Heading6"/>
        <w:rPr>
          <w:sz w:val="24"/>
          <w:szCs w:val="24"/>
        </w:rPr>
      </w:pPr>
      <w:r w:rsidRPr="00B958C8">
        <w:rPr>
          <w:noProof/>
          <w:sz w:val="24"/>
          <w:szCs w:val="24"/>
          <w:lang w:eastAsia="en-GB"/>
        </w:rPr>
        <mc:AlternateContent>
          <mc:Choice Requires="wps">
            <w:drawing>
              <wp:anchor distT="0" distB="0" distL="114300" distR="114300" simplePos="0" relativeHeight="251653120" behindDoc="0" locked="0" layoutInCell="1" allowOverlap="1" wp14:anchorId="67F4551C" wp14:editId="722AD43C">
                <wp:simplePos x="0" y="0"/>
                <wp:positionH relativeFrom="margin">
                  <wp:posOffset>84963</wp:posOffset>
                </wp:positionH>
                <wp:positionV relativeFrom="paragraph">
                  <wp:posOffset>327838</wp:posOffset>
                </wp:positionV>
                <wp:extent cx="5727802" cy="723900"/>
                <wp:effectExtent l="0" t="0" r="0" b="0"/>
                <wp:wrapNone/>
                <wp:docPr id="4" name="Conten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727802" cy="723900"/>
                        </a:xfrm>
                        <a:prstGeom prst="rect">
                          <a:avLst/>
                        </a:prstGeom>
                      </wps:spPr>
                      <wps:txbx>
                        <w:txbxContent>
                          <w:p w14:paraId="788C1554" w14:textId="5FB83B3A" w:rsidR="00617C40" w:rsidRPr="00B958C8" w:rsidRDefault="00057237" w:rsidP="007A4318">
                            <w:pPr>
                              <w:pStyle w:val="NormalWeb"/>
                              <w:tabs>
                                <w:tab w:val="left" w:pos="7938"/>
                              </w:tabs>
                              <w:spacing w:before="0" w:beforeAutospacing="0" w:after="0" w:afterAutospacing="0"/>
                              <w:rPr>
                                <w:sz w:val="22"/>
                                <w:szCs w:val="22"/>
                              </w:rPr>
                            </w:pPr>
                            <m:oMath>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QMR</m:t>
                                  </m:r>
                                </m:e>
                                <m:sub>
                                  <m:r>
                                    <w:rPr>
                                      <w:rFonts w:ascii="Cambria Math" w:hAnsi="Cambria Math" w:cs="Arial"/>
                                      <w:color w:val="595959" w:themeColor="text1" w:themeTint="A6"/>
                                      <w:kern w:val="24"/>
                                      <w:sz w:val="22"/>
                                      <w:szCs w:val="22"/>
                                    </w:rPr>
                                    <m:t>w,c,u,r</m:t>
                                  </m:r>
                                </m:sub>
                              </m:sSub>
                              <m:r>
                                <w:rPr>
                                  <w:rFonts w:ascii="Cambria Math" w:hAnsi="Cambria Math" w:cs="Arial"/>
                                  <w:color w:val="595959" w:themeColor="text1" w:themeTint="A6"/>
                                  <w:kern w:val="24"/>
                                  <w:sz w:val="22"/>
                                  <w:szCs w:val="22"/>
                                </w:rPr>
                                <m:t>= </m:t>
                              </m:r>
                              <m:f>
                                <m:fPr>
                                  <m:ctrlPr>
                                    <w:rPr>
                                      <w:rFonts w:ascii="Cambria Math" w:hAnsi="Cambria Math" w:cs="Arial"/>
                                      <w:i/>
                                      <w:iCs/>
                                      <w:color w:val="595959" w:themeColor="text1" w:themeTint="A6"/>
                                      <w:kern w:val="24"/>
                                      <w:sz w:val="22"/>
                                      <w:szCs w:val="22"/>
                                    </w:rPr>
                                  </m:ctrlPr>
                                </m:fPr>
                                <m:num>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QML</m:t>
                                      </m:r>
                                    </m:e>
                                    <m:sub>
                                      <m:r>
                                        <w:rPr>
                                          <w:rFonts w:ascii="Cambria Math" w:hAnsi="Cambria Math" w:cs="Arial"/>
                                          <w:color w:val="595959" w:themeColor="text1" w:themeTint="A6"/>
                                          <w:kern w:val="24"/>
                                          <w:sz w:val="22"/>
                                          <w:szCs w:val="22"/>
                                        </w:rPr>
                                        <m:t>c,u,r</m:t>
                                      </m:r>
                                    </m:sub>
                                  </m:sSub>
                                </m:num>
                                <m:den>
                                  <m:sSub>
                                    <m:sSubPr>
                                      <m:ctrlPr>
                                        <w:rPr>
                                          <w:rFonts w:ascii="Cambria Math" w:hAnsi="Cambria Math" w:cs="Arial"/>
                                          <w:i/>
                                          <w:iCs/>
                                          <w:color w:val="FF0000"/>
                                          <w:kern w:val="24"/>
                                          <w:sz w:val="22"/>
                                          <w:szCs w:val="22"/>
                                        </w:rPr>
                                      </m:ctrlPr>
                                    </m:sSubPr>
                                    <m:e>
                                      <m:r>
                                        <w:rPr>
                                          <w:rFonts w:ascii="Cambria Math" w:hAnsi="Cambria Math" w:cs="Arial"/>
                                          <w:color w:val="FF0000"/>
                                          <w:kern w:val="24"/>
                                          <w:sz w:val="22"/>
                                          <w:szCs w:val="22"/>
                                        </w:rPr>
                                        <m:t>AMS</m:t>
                                      </m:r>
                                    </m:e>
                                    <m:sub>
                                      <m:r>
                                        <w:rPr>
                                          <w:rFonts w:ascii="Cambria Math" w:hAnsi="Cambria Math" w:cs="Arial"/>
                                          <w:color w:val="FF0000"/>
                                          <w:kern w:val="24"/>
                                          <w:sz w:val="22"/>
                                          <w:szCs w:val="22"/>
                                        </w:rPr>
                                        <m:t>w,c,u,r</m:t>
                                      </m:r>
                                    </m:sub>
                                  </m:sSub>
                                </m:den>
                              </m:f>
                              <m:r>
                                <w:rPr>
                                  <w:rFonts w:ascii="Cambria Math" w:hAnsi="Cambria Math" w:cs="Arial"/>
                                  <w:color w:val="595959" w:themeColor="text1" w:themeTint="A6"/>
                                  <w:kern w:val="24"/>
                                  <w:sz w:val="22"/>
                                  <w:szCs w:val="22"/>
                                </w:rPr>
                                <m:t>*</m:t>
                              </m:r>
                              <m:sSup>
                                <m:sSupPr>
                                  <m:ctrlPr>
                                    <w:rPr>
                                      <w:rFonts w:ascii="Cambria Math" w:hAnsi="Cambria Math" w:cs="Arial"/>
                                      <w:i/>
                                      <w:iCs/>
                                      <w:color w:val="595959" w:themeColor="text1" w:themeTint="A6"/>
                                      <w:kern w:val="24"/>
                                      <w:sz w:val="22"/>
                                      <w:szCs w:val="22"/>
                                    </w:rPr>
                                  </m:ctrlPr>
                                </m:sSupPr>
                                <m:e>
                                  <m:d>
                                    <m:dPr>
                                      <m:ctrlPr>
                                        <w:rPr>
                                          <w:rFonts w:ascii="Cambria Math" w:hAnsi="Cambria Math" w:cs="Arial"/>
                                          <w:i/>
                                          <w:iCs/>
                                          <w:color w:val="595959" w:themeColor="text1" w:themeTint="A6"/>
                                          <w:kern w:val="24"/>
                                          <w:sz w:val="22"/>
                                          <w:szCs w:val="22"/>
                                        </w:rPr>
                                      </m:ctrlPr>
                                    </m:dPr>
                                    <m:e>
                                      <m:f>
                                        <m:fPr>
                                          <m:ctrlPr>
                                            <w:rPr>
                                              <w:rFonts w:ascii="Cambria Math" w:hAnsi="Cambria Math" w:cs="Arial"/>
                                              <w:i/>
                                              <w:iCs/>
                                              <w:color w:val="595959" w:themeColor="text1" w:themeTint="A6"/>
                                              <w:kern w:val="24"/>
                                              <w:sz w:val="22"/>
                                              <w:szCs w:val="22"/>
                                            </w:rPr>
                                          </m:ctrlPr>
                                        </m:fPr>
                                        <m:num>
                                          <m:f>
                                            <m:fPr>
                                              <m:type m:val="skw"/>
                                              <m:ctrlPr>
                                                <w:rPr>
                                                  <w:rFonts w:ascii="Cambria Math" w:hAnsi="Cambria Math" w:cs="Arial"/>
                                                  <w:i/>
                                                  <w:iCs/>
                                                  <w:color w:val="595959" w:themeColor="text1" w:themeTint="A6"/>
                                                  <w:kern w:val="24"/>
                                                  <w:sz w:val="22"/>
                                                  <w:szCs w:val="22"/>
                                                </w:rPr>
                                              </m:ctrlPr>
                                            </m:fPr>
                                            <m:num>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PMR</m:t>
                                                  </m:r>
                                                </m:e>
                                                <m:sub>
                                                  <m:r>
                                                    <w:rPr>
                                                      <w:rFonts w:ascii="Cambria Math" w:hAnsi="Cambria Math" w:cs="Arial"/>
                                                      <w:color w:val="595959" w:themeColor="text1" w:themeTint="A6"/>
                                                      <w:kern w:val="24"/>
                                                      <w:sz w:val="22"/>
                                                      <w:szCs w:val="22"/>
                                                    </w:rPr>
                                                    <m:t>w,c,u,r</m:t>
                                                  </m:r>
                                                </m:sub>
                                              </m:sSub>
                                            </m:num>
                                            <m:den>
                                              <m:sSub>
                                                <m:sSubPr>
                                                  <m:ctrlPr>
                                                    <w:rPr>
                                                      <w:rFonts w:ascii="Cambria Math" w:hAnsi="Cambria Math" w:cs="Arial"/>
                                                      <w:i/>
                                                      <w:iCs/>
                                                      <w:color w:val="FF0000"/>
                                                      <w:kern w:val="24"/>
                                                      <w:sz w:val="22"/>
                                                      <w:szCs w:val="22"/>
                                                    </w:rPr>
                                                  </m:ctrlPr>
                                                </m:sSubPr>
                                                <m:e>
                                                  <m:r>
                                                    <w:rPr>
                                                      <w:rFonts w:ascii="Cambria Math" w:hAnsi="Cambria Math" w:cs="Arial"/>
                                                      <w:color w:val="FF0000"/>
                                                      <w:kern w:val="24"/>
                                                      <w:sz w:val="22"/>
                                                      <w:szCs w:val="22"/>
                                                    </w:rPr>
                                                    <m:t>AMS</m:t>
                                                  </m:r>
                                                </m:e>
                                                <m:sub>
                                                  <m:r>
                                                    <w:rPr>
                                                      <w:rFonts w:ascii="Cambria Math" w:hAnsi="Cambria Math" w:cs="Arial"/>
                                                      <w:color w:val="FF0000"/>
                                                      <w:kern w:val="24"/>
                                                      <w:sz w:val="22"/>
                                                      <w:szCs w:val="22"/>
                                                    </w:rPr>
                                                    <m:t>w,c,u,r</m:t>
                                                  </m:r>
                                                </m:sub>
                                              </m:sSub>
                                            </m:den>
                                          </m:f>
                                          <m:r>
                                            <w:rPr>
                                              <w:rFonts w:ascii="Cambria Math" w:hAnsi="Cambria Math" w:cs="Arial"/>
                                              <w:color w:val="595959" w:themeColor="text1" w:themeTint="A6"/>
                                              <w:kern w:val="24"/>
                                              <w:sz w:val="22"/>
                                              <w:szCs w:val="22"/>
                                            </w:rPr>
                                            <m:t>*</m:t>
                                          </m:r>
                                          <m:sSubSup>
                                            <m:sSubSupPr>
                                              <m:ctrlPr>
                                                <w:rPr>
                                                  <w:rFonts w:ascii="Cambria Math" w:hAnsi="Cambria Math" w:cs="Arial"/>
                                                  <w:i/>
                                                  <w:iCs/>
                                                  <w:color w:val="595959" w:themeColor="text1" w:themeTint="A6"/>
                                                  <w:kern w:val="24"/>
                                                  <w:sz w:val="22"/>
                                                  <w:szCs w:val="22"/>
                                                </w:rPr>
                                              </m:ctrlPr>
                                            </m:sSubSupPr>
                                            <m:e>
                                              <m:r>
                                                <w:rPr>
                                                  <w:rFonts w:ascii="Cambria Math" w:hAnsi="Cambria Math" w:cs="Arial"/>
                                                  <w:color w:val="595959" w:themeColor="text1" w:themeTint="A6"/>
                                                  <w:kern w:val="24"/>
                                                  <w:sz w:val="22"/>
                                                  <w:szCs w:val="22"/>
                                                </w:rPr>
                                                <m:t>α</m:t>
                                              </m:r>
                                            </m:e>
                                            <m:sub>
                                              <m:r>
                                                <w:rPr>
                                                  <w:rFonts w:ascii="Cambria Math" w:hAnsi="Cambria Math" w:cs="Arial"/>
                                                  <w:color w:val="595959" w:themeColor="text1" w:themeTint="A6"/>
                                                  <w:kern w:val="24"/>
                                                  <w:sz w:val="22"/>
                                                  <w:szCs w:val="22"/>
                                                </w:rPr>
                                                <m:t>c,u,r</m:t>
                                              </m:r>
                                            </m:sub>
                                            <m:sup>
                                              <m:sSup>
                                                <m:sSupPr>
                                                  <m:ctrlPr>
                                                    <w:rPr>
                                                      <w:rFonts w:ascii="Cambria Math" w:hAnsi="Cambria Math" w:cs="Arial"/>
                                                      <w:i/>
                                                      <w:iCs/>
                                                      <w:color w:val="595959" w:themeColor="text1" w:themeTint="A6"/>
                                                      <w:kern w:val="24"/>
                                                      <w:sz w:val="22"/>
                                                      <w:szCs w:val="22"/>
                                                    </w:rPr>
                                                  </m:ctrlPr>
                                                </m:sSupPr>
                                                <m:e>
                                                  <m:r>
                                                    <w:rPr>
                                                      <w:rFonts w:ascii="Cambria Math" w:hAnsi="Cambria Math" w:cs="Arial"/>
                                                      <w:color w:val="595959" w:themeColor="text1" w:themeTint="A6"/>
                                                      <w:kern w:val="24"/>
                                                      <w:sz w:val="22"/>
                                                      <w:szCs w:val="22"/>
                                                    </w:rPr>
                                                    <m:t>ρ</m:t>
                                                  </m:r>
                                                </m:e>
                                                <m:sup>
                                                  <m:r>
                                                    <w:rPr>
                                                      <w:rFonts w:ascii="Cambria Math" w:hAnsi="Cambria Math" w:cs="Arial"/>
                                                      <w:color w:val="595959" w:themeColor="text1" w:themeTint="A6"/>
                                                      <w:kern w:val="24"/>
                                                      <w:sz w:val="22"/>
                                                      <w:szCs w:val="22"/>
                                                    </w:rPr>
                                                    <m:t>m</m:t>
                                                  </m:r>
                                                </m:sup>
                                              </m:sSup>
                                            </m:sup>
                                          </m:sSubSup>
                                        </m:num>
                                        <m:den>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PML</m:t>
                                              </m:r>
                                            </m:e>
                                            <m:sub>
                                              <m:r>
                                                <w:rPr>
                                                  <w:rFonts w:ascii="Cambria Math" w:hAnsi="Cambria Math" w:cs="Arial"/>
                                                  <w:color w:val="595959" w:themeColor="text1" w:themeTint="A6"/>
                                                  <w:kern w:val="24"/>
                                                  <w:sz w:val="22"/>
                                                  <w:szCs w:val="22"/>
                                                </w:rPr>
                                                <m:t>c,u,r</m:t>
                                              </m:r>
                                            </m:sub>
                                          </m:sSub>
                                          <m:r>
                                            <w:rPr>
                                              <w:rFonts w:ascii="Cambria Math" w:hAnsi="Cambria Math" w:cs="Arial"/>
                                              <w:color w:val="595959" w:themeColor="text1" w:themeTint="A6"/>
                                              <w:kern w:val="24"/>
                                              <w:sz w:val="22"/>
                                              <w:szCs w:val="22"/>
                                            </w:rPr>
                                            <m:t>*</m:t>
                                          </m:r>
                                          <m:sSubSup>
                                            <m:sSubSupPr>
                                              <m:ctrlPr>
                                                <w:rPr>
                                                  <w:rFonts w:ascii="Cambria Math" w:hAnsi="Cambria Math" w:cs="Arial"/>
                                                  <w:i/>
                                                  <w:iCs/>
                                                  <w:color w:val="595959" w:themeColor="text1" w:themeTint="A6"/>
                                                  <w:kern w:val="24"/>
                                                  <w:sz w:val="22"/>
                                                  <w:szCs w:val="22"/>
                                                </w:rPr>
                                              </m:ctrlPr>
                                            </m:sSubSupPr>
                                            <m:e>
                                              <m:r>
                                                <w:rPr>
                                                  <w:rFonts w:ascii="Cambria Math" w:hAnsi="Cambria Math" w:cs="Arial"/>
                                                  <w:color w:val="595959" w:themeColor="text1" w:themeTint="A6"/>
                                                  <w:kern w:val="24"/>
                                                  <w:sz w:val="22"/>
                                                  <w:szCs w:val="22"/>
                                                </w:rPr>
                                                <m:t>δ</m:t>
                                              </m:r>
                                            </m:e>
                                            <m:sub>
                                              <m:r>
                                                <w:rPr>
                                                  <w:rFonts w:ascii="Cambria Math" w:hAnsi="Cambria Math" w:cs="Arial"/>
                                                  <w:color w:val="595959" w:themeColor="text1" w:themeTint="A6"/>
                                                  <w:kern w:val="24"/>
                                                  <w:sz w:val="22"/>
                                                  <w:szCs w:val="22"/>
                                                </w:rPr>
                                                <m:t>w,c,u,r</m:t>
                                              </m:r>
                                            </m:sub>
                                            <m:sup>
                                              <m:r>
                                                <w:rPr>
                                                  <w:rFonts w:ascii="Cambria Math" w:hAnsi="Cambria Math" w:cs="Arial"/>
                                                  <w:color w:val="595959" w:themeColor="text1" w:themeTint="A6"/>
                                                  <w:kern w:val="24"/>
                                                  <w:sz w:val="22"/>
                                                  <w:szCs w:val="22"/>
                                                </w:rPr>
                                                <m:t>r</m:t>
                                              </m:r>
                                            </m:sup>
                                          </m:sSubSup>
                                        </m:den>
                                      </m:f>
                                    </m:e>
                                  </m:d>
                                </m:e>
                                <m:sup>
                                  <m:f>
                                    <m:fPr>
                                      <m:type m:val="skw"/>
                                      <m:ctrlPr>
                                        <w:rPr>
                                          <w:rFonts w:ascii="Cambria Math" w:hAnsi="Cambria Math" w:cs="Arial"/>
                                          <w:i/>
                                          <w:iCs/>
                                          <w:color w:val="595959" w:themeColor="text1" w:themeTint="A6"/>
                                          <w:kern w:val="24"/>
                                          <w:sz w:val="22"/>
                                          <w:szCs w:val="22"/>
                                        </w:rPr>
                                      </m:ctrlPr>
                                    </m:fPr>
                                    <m:num>
                                      <m:r>
                                        <w:rPr>
                                          <w:rFonts w:ascii="Cambria Math" w:hAnsi="Cambria Math" w:cs="Arial"/>
                                          <w:color w:val="595959" w:themeColor="text1" w:themeTint="A6"/>
                                          <w:kern w:val="24"/>
                                          <w:sz w:val="22"/>
                                          <w:szCs w:val="22"/>
                                        </w:rPr>
                                        <m:t>-1</m:t>
                                      </m:r>
                                    </m:num>
                                    <m:den>
                                      <m:sSup>
                                        <m:sSupPr>
                                          <m:ctrlPr>
                                            <w:rPr>
                                              <w:rFonts w:ascii="Cambria Math" w:hAnsi="Cambria Math" w:cs="Arial"/>
                                              <w:i/>
                                              <w:iCs/>
                                              <w:color w:val="595959" w:themeColor="text1" w:themeTint="A6"/>
                                              <w:kern w:val="24"/>
                                              <w:sz w:val="22"/>
                                              <w:szCs w:val="22"/>
                                            </w:rPr>
                                          </m:ctrlPr>
                                        </m:sSupPr>
                                        <m:e>
                                          <m:r>
                                            <w:rPr>
                                              <w:rFonts w:ascii="Cambria Math" w:hAnsi="Cambria Math" w:cs="Arial"/>
                                              <w:color w:val="595959" w:themeColor="text1" w:themeTint="A6"/>
                                              <w:kern w:val="24"/>
                                              <w:sz w:val="22"/>
                                              <w:szCs w:val="22"/>
                                            </w:rPr>
                                            <m:t>ρ</m:t>
                                          </m:r>
                                        </m:e>
                                        <m:sup>
                                          <m:r>
                                            <w:rPr>
                                              <w:rFonts w:ascii="Cambria Math" w:hAnsi="Cambria Math" w:cs="Arial"/>
                                              <w:color w:val="595959" w:themeColor="text1" w:themeTint="A6"/>
                                              <w:kern w:val="24"/>
                                              <w:sz w:val="22"/>
                                              <w:szCs w:val="22"/>
                                            </w:rPr>
                                            <m:t>m</m:t>
                                          </m:r>
                                        </m:sup>
                                      </m:sSup>
                                      <m:r>
                                        <w:rPr>
                                          <w:rFonts w:ascii="Cambria Math" w:hAnsi="Cambria Math" w:cs="Arial"/>
                                          <w:color w:val="595959" w:themeColor="text1" w:themeTint="A6"/>
                                          <w:kern w:val="24"/>
                                          <w:sz w:val="22"/>
                                          <w:szCs w:val="22"/>
                                        </w:rPr>
                                        <m:t>+1</m:t>
                                      </m:r>
                                    </m:den>
                                  </m:f>
                                </m:sup>
                              </m:sSup>
                            </m:oMath>
                            <w:r w:rsidR="00617C40" w:rsidRPr="00B958C8">
                              <w:rPr>
                                <w:rFonts w:ascii="Arial" w:hAnsi="Arial" w:cs="Arial"/>
                                <w:color w:val="595959" w:themeColor="text1" w:themeTint="A6"/>
                                <w:kern w:val="24"/>
                                <w:sz w:val="22"/>
                                <w:szCs w:val="22"/>
                              </w:rPr>
                              <w:t xml:space="preserve"> </w:t>
                            </w:r>
                            <w:r w:rsidR="00617C40" w:rsidRPr="00B958C8">
                              <w:rPr>
                                <w:rFonts w:ascii="Arial" w:hAnsi="Arial" w:cs="Arial"/>
                                <w:color w:val="595959" w:themeColor="text1" w:themeTint="A6"/>
                                <w:kern w:val="24"/>
                                <w:sz w:val="22"/>
                                <w:szCs w:val="22"/>
                              </w:rPr>
                              <w:tab/>
                            </w:r>
                            <w:r w:rsidR="00617C40">
                              <w:rPr>
                                <w:rFonts w:ascii="Arial" w:hAnsi="Arial" w:cs="Arial"/>
                                <w:color w:val="595959" w:themeColor="text1" w:themeTint="A6"/>
                                <w:kern w:val="24"/>
                                <w:sz w:val="22"/>
                                <w:szCs w:val="22"/>
                              </w:rPr>
                              <w:t>(1)</w:t>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t>(ARMLEV2)</w:t>
                            </w:r>
                          </w:p>
                          <w:p w14:paraId="311B3758" w14:textId="77777777" w:rsidR="00617C40" w:rsidRDefault="00617C40" w:rsidP="00B958C8">
                            <w:pPr>
                              <w:pStyle w:val="NormalWeb"/>
                              <w:spacing w:before="120" w:beforeAutospacing="0" w:after="120" w:afterAutospacing="0"/>
                              <w:ind w:left="720"/>
                            </w:pPr>
                            <w:r>
                              <w:rPr>
                                <w:rFonts w:ascii="Arial" w:hAnsi="Arial" w:cs="Arial"/>
                                <w:color w:val="595959" w:themeColor="text1" w:themeTint="A6"/>
                                <w:kern w:val="24"/>
                                <w:sz w:val="42"/>
                                <w:szCs w:val="42"/>
                                <w:lang w:val="en-US"/>
                              </w:rPr>
                              <w:tab/>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7F4551C" id="Content Placeholder 1" o:spid="_x0000_s1026" style="position:absolute;left:0;text-align:left;margin-left:6.7pt;margin-top:25.8pt;width:451pt;height:57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" filled="f" stroked="f">
                <v:path arrowok="t"/>
                <o:lock v:ext="edit" grouping="t"/>
                <v:textbox>
                  <w:txbxContent>
                    <w:p w14:paraId="788C1554" w14:textId="5FB83B3A" w:rsidR="00617C40" w:rsidRPr="00B958C8" w:rsidRDefault="00057237" w:rsidP="007A4318">
                      <w:pPr>
                        <w:pStyle w:val="NormalWeb"/>
                        <w:tabs>
                          <w:tab w:val="left" w:pos="7938"/>
                        </w:tabs>
                        <w:spacing w:before="0" w:beforeAutospacing="0" w:after="0" w:afterAutospacing="0"/>
                        <w:rPr>
                          <w:sz w:val="22"/>
                          <w:szCs w:val="22"/>
                        </w:rPr>
                      </w:pPr>
                      <m:oMath>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QMR</m:t>
                            </m:r>
                          </m:e>
                          <m:sub>
                            <m:r>
                              <w:rPr>
                                <w:rFonts w:ascii="Cambria Math" w:hAnsi="Cambria Math" w:cs="Arial"/>
                                <w:color w:val="595959" w:themeColor="text1" w:themeTint="A6"/>
                                <w:kern w:val="24"/>
                                <w:sz w:val="22"/>
                                <w:szCs w:val="22"/>
                              </w:rPr>
                              <m:t>w,c,u,r</m:t>
                            </m:r>
                          </m:sub>
                        </m:sSub>
                        <m:r>
                          <w:rPr>
                            <w:rFonts w:ascii="Cambria Math" w:hAnsi="Cambria Math" w:cs="Arial"/>
                            <w:color w:val="595959" w:themeColor="text1" w:themeTint="A6"/>
                            <w:kern w:val="24"/>
                            <w:sz w:val="22"/>
                            <w:szCs w:val="22"/>
                          </w:rPr>
                          <m:t>= </m:t>
                        </m:r>
                        <m:f>
                          <m:fPr>
                            <m:ctrlPr>
                              <w:rPr>
                                <w:rFonts w:ascii="Cambria Math" w:hAnsi="Cambria Math" w:cs="Arial"/>
                                <w:i/>
                                <w:iCs/>
                                <w:color w:val="595959" w:themeColor="text1" w:themeTint="A6"/>
                                <w:kern w:val="24"/>
                                <w:sz w:val="22"/>
                                <w:szCs w:val="22"/>
                              </w:rPr>
                            </m:ctrlPr>
                          </m:fPr>
                          <m:num>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QML</m:t>
                                </m:r>
                              </m:e>
                              <m:sub>
                                <m:r>
                                  <w:rPr>
                                    <w:rFonts w:ascii="Cambria Math" w:hAnsi="Cambria Math" w:cs="Arial"/>
                                    <w:color w:val="595959" w:themeColor="text1" w:themeTint="A6"/>
                                    <w:kern w:val="24"/>
                                    <w:sz w:val="22"/>
                                    <w:szCs w:val="22"/>
                                  </w:rPr>
                                  <m:t>c,u,r</m:t>
                                </m:r>
                              </m:sub>
                            </m:sSub>
                          </m:num>
                          <m:den>
                            <m:sSub>
                              <m:sSubPr>
                                <m:ctrlPr>
                                  <w:rPr>
                                    <w:rFonts w:ascii="Cambria Math" w:hAnsi="Cambria Math" w:cs="Arial"/>
                                    <w:i/>
                                    <w:iCs/>
                                    <w:color w:val="FF0000"/>
                                    <w:kern w:val="24"/>
                                    <w:sz w:val="22"/>
                                    <w:szCs w:val="22"/>
                                  </w:rPr>
                                </m:ctrlPr>
                              </m:sSubPr>
                              <m:e>
                                <m:r>
                                  <w:rPr>
                                    <w:rFonts w:ascii="Cambria Math" w:hAnsi="Cambria Math" w:cs="Arial"/>
                                    <w:color w:val="FF0000"/>
                                    <w:kern w:val="24"/>
                                    <w:sz w:val="22"/>
                                    <w:szCs w:val="22"/>
                                  </w:rPr>
                                  <m:t>AMS</m:t>
                                </m:r>
                              </m:e>
                              <m:sub>
                                <m:r>
                                  <w:rPr>
                                    <w:rFonts w:ascii="Cambria Math" w:hAnsi="Cambria Math" w:cs="Arial"/>
                                    <w:color w:val="FF0000"/>
                                    <w:kern w:val="24"/>
                                    <w:sz w:val="22"/>
                                    <w:szCs w:val="22"/>
                                  </w:rPr>
                                  <m:t>w,c,u,r</m:t>
                                </m:r>
                              </m:sub>
                            </m:sSub>
                          </m:den>
                        </m:f>
                        <m:r>
                          <w:rPr>
                            <w:rFonts w:ascii="Cambria Math" w:hAnsi="Cambria Math" w:cs="Arial"/>
                            <w:color w:val="595959" w:themeColor="text1" w:themeTint="A6"/>
                            <w:kern w:val="24"/>
                            <w:sz w:val="22"/>
                            <w:szCs w:val="22"/>
                          </w:rPr>
                          <m:t>*</m:t>
                        </m:r>
                        <m:sSup>
                          <m:sSupPr>
                            <m:ctrlPr>
                              <w:rPr>
                                <w:rFonts w:ascii="Cambria Math" w:hAnsi="Cambria Math" w:cs="Arial"/>
                                <w:i/>
                                <w:iCs/>
                                <w:color w:val="595959" w:themeColor="text1" w:themeTint="A6"/>
                                <w:kern w:val="24"/>
                                <w:sz w:val="22"/>
                                <w:szCs w:val="22"/>
                              </w:rPr>
                            </m:ctrlPr>
                          </m:sSupPr>
                          <m:e>
                            <m:d>
                              <m:dPr>
                                <m:ctrlPr>
                                  <w:rPr>
                                    <w:rFonts w:ascii="Cambria Math" w:hAnsi="Cambria Math" w:cs="Arial"/>
                                    <w:i/>
                                    <w:iCs/>
                                    <w:color w:val="595959" w:themeColor="text1" w:themeTint="A6"/>
                                    <w:kern w:val="24"/>
                                    <w:sz w:val="22"/>
                                    <w:szCs w:val="22"/>
                                  </w:rPr>
                                </m:ctrlPr>
                              </m:dPr>
                              <m:e>
                                <m:f>
                                  <m:fPr>
                                    <m:ctrlPr>
                                      <w:rPr>
                                        <w:rFonts w:ascii="Cambria Math" w:hAnsi="Cambria Math" w:cs="Arial"/>
                                        <w:i/>
                                        <w:iCs/>
                                        <w:color w:val="595959" w:themeColor="text1" w:themeTint="A6"/>
                                        <w:kern w:val="24"/>
                                        <w:sz w:val="22"/>
                                        <w:szCs w:val="22"/>
                                      </w:rPr>
                                    </m:ctrlPr>
                                  </m:fPr>
                                  <m:num>
                                    <m:f>
                                      <m:fPr>
                                        <m:type m:val="skw"/>
                                        <m:ctrlPr>
                                          <w:rPr>
                                            <w:rFonts w:ascii="Cambria Math" w:hAnsi="Cambria Math" w:cs="Arial"/>
                                            <w:i/>
                                            <w:iCs/>
                                            <w:color w:val="595959" w:themeColor="text1" w:themeTint="A6"/>
                                            <w:kern w:val="24"/>
                                            <w:sz w:val="22"/>
                                            <w:szCs w:val="22"/>
                                          </w:rPr>
                                        </m:ctrlPr>
                                      </m:fPr>
                                      <m:num>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PMR</m:t>
                                            </m:r>
                                          </m:e>
                                          <m:sub>
                                            <m:r>
                                              <w:rPr>
                                                <w:rFonts w:ascii="Cambria Math" w:hAnsi="Cambria Math" w:cs="Arial"/>
                                                <w:color w:val="595959" w:themeColor="text1" w:themeTint="A6"/>
                                                <w:kern w:val="24"/>
                                                <w:sz w:val="22"/>
                                                <w:szCs w:val="22"/>
                                              </w:rPr>
                                              <m:t>w,c,u,r</m:t>
                                            </m:r>
                                          </m:sub>
                                        </m:sSub>
                                      </m:num>
                                      <m:den>
                                        <m:sSub>
                                          <m:sSubPr>
                                            <m:ctrlPr>
                                              <w:rPr>
                                                <w:rFonts w:ascii="Cambria Math" w:hAnsi="Cambria Math" w:cs="Arial"/>
                                                <w:i/>
                                                <w:iCs/>
                                                <w:color w:val="FF0000"/>
                                                <w:kern w:val="24"/>
                                                <w:sz w:val="22"/>
                                                <w:szCs w:val="22"/>
                                              </w:rPr>
                                            </m:ctrlPr>
                                          </m:sSubPr>
                                          <m:e>
                                            <m:r>
                                              <w:rPr>
                                                <w:rFonts w:ascii="Cambria Math" w:hAnsi="Cambria Math" w:cs="Arial"/>
                                                <w:color w:val="FF0000"/>
                                                <w:kern w:val="24"/>
                                                <w:sz w:val="22"/>
                                                <w:szCs w:val="22"/>
                                              </w:rPr>
                                              <m:t>AMS</m:t>
                                            </m:r>
                                          </m:e>
                                          <m:sub>
                                            <m:r>
                                              <w:rPr>
                                                <w:rFonts w:ascii="Cambria Math" w:hAnsi="Cambria Math" w:cs="Arial"/>
                                                <w:color w:val="FF0000"/>
                                                <w:kern w:val="24"/>
                                                <w:sz w:val="22"/>
                                                <w:szCs w:val="22"/>
                                              </w:rPr>
                                              <m:t>w,c,u,r</m:t>
                                            </m:r>
                                          </m:sub>
                                        </m:sSub>
                                      </m:den>
                                    </m:f>
                                    <m:r>
                                      <w:rPr>
                                        <w:rFonts w:ascii="Cambria Math" w:hAnsi="Cambria Math" w:cs="Arial"/>
                                        <w:color w:val="595959" w:themeColor="text1" w:themeTint="A6"/>
                                        <w:kern w:val="24"/>
                                        <w:sz w:val="22"/>
                                        <w:szCs w:val="22"/>
                                      </w:rPr>
                                      <m:t>*</m:t>
                                    </m:r>
                                    <m:sSubSup>
                                      <m:sSubSupPr>
                                        <m:ctrlPr>
                                          <w:rPr>
                                            <w:rFonts w:ascii="Cambria Math" w:hAnsi="Cambria Math" w:cs="Arial"/>
                                            <w:i/>
                                            <w:iCs/>
                                            <w:color w:val="595959" w:themeColor="text1" w:themeTint="A6"/>
                                            <w:kern w:val="24"/>
                                            <w:sz w:val="22"/>
                                            <w:szCs w:val="22"/>
                                          </w:rPr>
                                        </m:ctrlPr>
                                      </m:sSubSupPr>
                                      <m:e>
                                        <m:r>
                                          <w:rPr>
                                            <w:rFonts w:ascii="Cambria Math" w:hAnsi="Cambria Math" w:cs="Arial"/>
                                            <w:color w:val="595959" w:themeColor="text1" w:themeTint="A6"/>
                                            <w:kern w:val="24"/>
                                            <w:sz w:val="22"/>
                                            <w:szCs w:val="22"/>
                                          </w:rPr>
                                          <m:t>α</m:t>
                                        </m:r>
                                      </m:e>
                                      <m:sub>
                                        <m:r>
                                          <w:rPr>
                                            <w:rFonts w:ascii="Cambria Math" w:hAnsi="Cambria Math" w:cs="Arial"/>
                                            <w:color w:val="595959" w:themeColor="text1" w:themeTint="A6"/>
                                            <w:kern w:val="24"/>
                                            <w:sz w:val="22"/>
                                            <w:szCs w:val="22"/>
                                          </w:rPr>
                                          <m:t>c,u,r</m:t>
                                        </m:r>
                                      </m:sub>
                                      <m:sup>
                                        <m:sSup>
                                          <m:sSupPr>
                                            <m:ctrlPr>
                                              <w:rPr>
                                                <w:rFonts w:ascii="Cambria Math" w:hAnsi="Cambria Math" w:cs="Arial"/>
                                                <w:i/>
                                                <w:iCs/>
                                                <w:color w:val="595959" w:themeColor="text1" w:themeTint="A6"/>
                                                <w:kern w:val="24"/>
                                                <w:sz w:val="22"/>
                                                <w:szCs w:val="22"/>
                                              </w:rPr>
                                            </m:ctrlPr>
                                          </m:sSupPr>
                                          <m:e>
                                            <m:r>
                                              <w:rPr>
                                                <w:rFonts w:ascii="Cambria Math" w:hAnsi="Cambria Math" w:cs="Arial"/>
                                                <w:color w:val="595959" w:themeColor="text1" w:themeTint="A6"/>
                                                <w:kern w:val="24"/>
                                                <w:sz w:val="22"/>
                                                <w:szCs w:val="22"/>
                                              </w:rPr>
                                              <m:t>ρ</m:t>
                                            </m:r>
                                          </m:e>
                                          <m:sup>
                                            <m:r>
                                              <w:rPr>
                                                <w:rFonts w:ascii="Cambria Math" w:hAnsi="Cambria Math" w:cs="Arial"/>
                                                <w:color w:val="595959" w:themeColor="text1" w:themeTint="A6"/>
                                                <w:kern w:val="24"/>
                                                <w:sz w:val="22"/>
                                                <w:szCs w:val="22"/>
                                              </w:rPr>
                                              <m:t>m</m:t>
                                            </m:r>
                                          </m:sup>
                                        </m:sSup>
                                      </m:sup>
                                    </m:sSubSup>
                                  </m:num>
                                  <m:den>
                                    <m:sSub>
                                      <m:sSubPr>
                                        <m:ctrlPr>
                                          <w:rPr>
                                            <w:rFonts w:ascii="Cambria Math" w:hAnsi="Cambria Math" w:cs="Arial"/>
                                            <w:i/>
                                            <w:iCs/>
                                            <w:color w:val="595959" w:themeColor="text1" w:themeTint="A6"/>
                                            <w:kern w:val="24"/>
                                            <w:sz w:val="22"/>
                                            <w:szCs w:val="22"/>
                                          </w:rPr>
                                        </m:ctrlPr>
                                      </m:sSubPr>
                                      <m:e>
                                        <m:r>
                                          <w:rPr>
                                            <w:rFonts w:ascii="Cambria Math" w:hAnsi="Cambria Math" w:cs="Arial"/>
                                            <w:color w:val="595959" w:themeColor="text1" w:themeTint="A6"/>
                                            <w:kern w:val="24"/>
                                            <w:sz w:val="22"/>
                                            <w:szCs w:val="22"/>
                                          </w:rPr>
                                          <m:t>PML</m:t>
                                        </m:r>
                                      </m:e>
                                      <m:sub>
                                        <m:r>
                                          <w:rPr>
                                            <w:rFonts w:ascii="Cambria Math" w:hAnsi="Cambria Math" w:cs="Arial"/>
                                            <w:color w:val="595959" w:themeColor="text1" w:themeTint="A6"/>
                                            <w:kern w:val="24"/>
                                            <w:sz w:val="22"/>
                                            <w:szCs w:val="22"/>
                                          </w:rPr>
                                          <m:t>c,u,r</m:t>
                                        </m:r>
                                      </m:sub>
                                    </m:sSub>
                                    <m:r>
                                      <w:rPr>
                                        <w:rFonts w:ascii="Cambria Math" w:hAnsi="Cambria Math" w:cs="Arial"/>
                                        <w:color w:val="595959" w:themeColor="text1" w:themeTint="A6"/>
                                        <w:kern w:val="24"/>
                                        <w:sz w:val="22"/>
                                        <w:szCs w:val="22"/>
                                      </w:rPr>
                                      <m:t>*</m:t>
                                    </m:r>
                                    <m:sSubSup>
                                      <m:sSubSupPr>
                                        <m:ctrlPr>
                                          <w:rPr>
                                            <w:rFonts w:ascii="Cambria Math" w:hAnsi="Cambria Math" w:cs="Arial"/>
                                            <w:i/>
                                            <w:iCs/>
                                            <w:color w:val="595959" w:themeColor="text1" w:themeTint="A6"/>
                                            <w:kern w:val="24"/>
                                            <w:sz w:val="22"/>
                                            <w:szCs w:val="22"/>
                                          </w:rPr>
                                        </m:ctrlPr>
                                      </m:sSubSupPr>
                                      <m:e>
                                        <m:r>
                                          <w:rPr>
                                            <w:rFonts w:ascii="Cambria Math" w:hAnsi="Cambria Math" w:cs="Arial"/>
                                            <w:color w:val="595959" w:themeColor="text1" w:themeTint="A6"/>
                                            <w:kern w:val="24"/>
                                            <w:sz w:val="22"/>
                                            <w:szCs w:val="22"/>
                                          </w:rPr>
                                          <m:t>δ</m:t>
                                        </m:r>
                                      </m:e>
                                      <m:sub>
                                        <m:r>
                                          <w:rPr>
                                            <w:rFonts w:ascii="Cambria Math" w:hAnsi="Cambria Math" w:cs="Arial"/>
                                            <w:color w:val="595959" w:themeColor="text1" w:themeTint="A6"/>
                                            <w:kern w:val="24"/>
                                            <w:sz w:val="22"/>
                                            <w:szCs w:val="22"/>
                                          </w:rPr>
                                          <m:t>w,c,u,r</m:t>
                                        </m:r>
                                      </m:sub>
                                      <m:sup>
                                        <m:r>
                                          <w:rPr>
                                            <w:rFonts w:ascii="Cambria Math" w:hAnsi="Cambria Math" w:cs="Arial"/>
                                            <w:color w:val="595959" w:themeColor="text1" w:themeTint="A6"/>
                                            <w:kern w:val="24"/>
                                            <w:sz w:val="22"/>
                                            <w:szCs w:val="22"/>
                                          </w:rPr>
                                          <m:t>r</m:t>
                                        </m:r>
                                      </m:sup>
                                    </m:sSubSup>
                                  </m:den>
                                </m:f>
                              </m:e>
                            </m:d>
                          </m:e>
                          <m:sup>
                            <m:f>
                              <m:fPr>
                                <m:type m:val="skw"/>
                                <m:ctrlPr>
                                  <w:rPr>
                                    <w:rFonts w:ascii="Cambria Math" w:hAnsi="Cambria Math" w:cs="Arial"/>
                                    <w:i/>
                                    <w:iCs/>
                                    <w:color w:val="595959" w:themeColor="text1" w:themeTint="A6"/>
                                    <w:kern w:val="24"/>
                                    <w:sz w:val="22"/>
                                    <w:szCs w:val="22"/>
                                  </w:rPr>
                                </m:ctrlPr>
                              </m:fPr>
                              <m:num>
                                <m:r>
                                  <w:rPr>
                                    <w:rFonts w:ascii="Cambria Math" w:hAnsi="Cambria Math" w:cs="Arial"/>
                                    <w:color w:val="595959" w:themeColor="text1" w:themeTint="A6"/>
                                    <w:kern w:val="24"/>
                                    <w:sz w:val="22"/>
                                    <w:szCs w:val="22"/>
                                  </w:rPr>
                                  <m:t>-1</m:t>
                                </m:r>
                              </m:num>
                              <m:den>
                                <m:sSup>
                                  <m:sSupPr>
                                    <m:ctrlPr>
                                      <w:rPr>
                                        <w:rFonts w:ascii="Cambria Math" w:hAnsi="Cambria Math" w:cs="Arial"/>
                                        <w:i/>
                                        <w:iCs/>
                                        <w:color w:val="595959" w:themeColor="text1" w:themeTint="A6"/>
                                        <w:kern w:val="24"/>
                                        <w:sz w:val="22"/>
                                        <w:szCs w:val="22"/>
                                      </w:rPr>
                                    </m:ctrlPr>
                                  </m:sSupPr>
                                  <m:e>
                                    <m:r>
                                      <w:rPr>
                                        <w:rFonts w:ascii="Cambria Math" w:hAnsi="Cambria Math" w:cs="Arial"/>
                                        <w:color w:val="595959" w:themeColor="text1" w:themeTint="A6"/>
                                        <w:kern w:val="24"/>
                                        <w:sz w:val="22"/>
                                        <w:szCs w:val="22"/>
                                      </w:rPr>
                                      <m:t>ρ</m:t>
                                    </m:r>
                                  </m:e>
                                  <m:sup>
                                    <m:r>
                                      <w:rPr>
                                        <w:rFonts w:ascii="Cambria Math" w:hAnsi="Cambria Math" w:cs="Arial"/>
                                        <w:color w:val="595959" w:themeColor="text1" w:themeTint="A6"/>
                                        <w:kern w:val="24"/>
                                        <w:sz w:val="22"/>
                                        <w:szCs w:val="22"/>
                                      </w:rPr>
                                      <m:t>m</m:t>
                                    </m:r>
                                  </m:sup>
                                </m:sSup>
                                <m:r>
                                  <w:rPr>
                                    <w:rFonts w:ascii="Cambria Math" w:hAnsi="Cambria Math" w:cs="Arial"/>
                                    <w:color w:val="595959" w:themeColor="text1" w:themeTint="A6"/>
                                    <w:kern w:val="24"/>
                                    <w:sz w:val="22"/>
                                    <w:szCs w:val="22"/>
                                  </w:rPr>
                                  <m:t>+1</m:t>
                                </m:r>
                              </m:den>
                            </m:f>
                          </m:sup>
                        </m:sSup>
                      </m:oMath>
                      <w:r w:rsidR="00617C40" w:rsidRPr="00B958C8">
                        <w:rPr>
                          <w:rFonts w:ascii="Arial" w:hAnsi="Arial" w:cs="Arial"/>
                          <w:color w:val="595959" w:themeColor="text1" w:themeTint="A6"/>
                          <w:kern w:val="24"/>
                          <w:sz w:val="22"/>
                          <w:szCs w:val="22"/>
                        </w:rPr>
                        <w:t xml:space="preserve"> </w:t>
                      </w:r>
                      <w:r w:rsidR="00617C40" w:rsidRPr="00B958C8">
                        <w:rPr>
                          <w:rFonts w:ascii="Arial" w:hAnsi="Arial" w:cs="Arial"/>
                          <w:color w:val="595959" w:themeColor="text1" w:themeTint="A6"/>
                          <w:kern w:val="24"/>
                          <w:sz w:val="22"/>
                          <w:szCs w:val="22"/>
                        </w:rPr>
                        <w:tab/>
                      </w:r>
                      <w:r w:rsidR="00617C40">
                        <w:rPr>
                          <w:rFonts w:ascii="Arial" w:hAnsi="Arial" w:cs="Arial"/>
                          <w:color w:val="595959" w:themeColor="text1" w:themeTint="A6"/>
                          <w:kern w:val="24"/>
                          <w:sz w:val="22"/>
                          <w:szCs w:val="22"/>
                        </w:rPr>
                        <w:t>(1)</w:t>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r>
                      <w:r w:rsidR="00617C40" w:rsidRPr="00B958C8">
                        <w:rPr>
                          <w:rFonts w:ascii="Arial" w:hAnsi="Arial" w:cs="Arial"/>
                          <w:color w:val="595959" w:themeColor="text1" w:themeTint="A6"/>
                          <w:kern w:val="24"/>
                          <w:sz w:val="22"/>
                          <w:szCs w:val="22"/>
                        </w:rPr>
                        <w:tab/>
                        <w:t>(ARMLEV2)</w:t>
                      </w:r>
                    </w:p>
                    <w:p w14:paraId="311B3758" w14:textId="77777777" w:rsidR="00617C40" w:rsidRDefault="00617C40" w:rsidP="00B958C8">
                      <w:pPr>
                        <w:pStyle w:val="NormalWeb"/>
                        <w:spacing w:before="120" w:beforeAutospacing="0" w:after="120" w:afterAutospacing="0"/>
                        <w:ind w:left="720"/>
                      </w:pPr>
                      <w:r>
                        <w:rPr>
                          <w:rFonts w:ascii="Arial" w:hAnsi="Arial" w:cs="Arial"/>
                          <w:color w:val="595959" w:themeColor="text1" w:themeTint="A6"/>
                          <w:kern w:val="24"/>
                          <w:sz w:val="42"/>
                          <w:szCs w:val="42"/>
                          <w:lang w:val="en-US"/>
                        </w:rPr>
                        <w:tab/>
                      </w:r>
                    </w:p>
                  </w:txbxContent>
                </v:textbox>
                <w10:wrap anchorx="margin"/>
              </v:rect>
            </w:pict>
          </mc:Fallback>
        </mc:AlternateContent>
      </w:r>
    </w:p>
    <w:p w14:paraId="272AC816" w14:textId="4F8A06F5" w:rsidR="00ED03A8" w:rsidRDefault="00ED03A8" w:rsidP="007366DC">
      <w:pPr>
        <w:pStyle w:val="Heading6"/>
        <w:rPr>
          <w:sz w:val="24"/>
          <w:szCs w:val="24"/>
        </w:rPr>
      </w:pPr>
    </w:p>
    <w:p w14:paraId="4D2A6A81" w14:textId="70678B9A" w:rsidR="00ED03A8" w:rsidRDefault="00ED03A8" w:rsidP="007366DC">
      <w:pPr>
        <w:pStyle w:val="Heading6"/>
        <w:rPr>
          <w:sz w:val="24"/>
          <w:szCs w:val="24"/>
        </w:rPr>
      </w:pPr>
    </w:p>
    <w:p w14:paraId="7FEB65DA" w14:textId="0046F25F" w:rsidR="00ED03A8" w:rsidRDefault="007402C8" w:rsidP="00ED03A8">
      <w:r w:rsidRPr="00B958C8">
        <w:rPr>
          <w:noProof/>
          <w:sz w:val="24"/>
          <w:szCs w:val="24"/>
          <w:lang w:eastAsia="en-GB"/>
        </w:rPr>
        <mc:AlternateContent>
          <mc:Choice Requires="wps">
            <w:drawing>
              <wp:anchor distT="0" distB="0" distL="114300" distR="114300" simplePos="0" relativeHeight="251656192" behindDoc="0" locked="0" layoutInCell="1" allowOverlap="1" wp14:anchorId="2C20B670" wp14:editId="5A252CCB">
                <wp:simplePos x="0" y="0"/>
                <wp:positionH relativeFrom="page">
                  <wp:align>center</wp:align>
                </wp:positionH>
                <wp:positionV relativeFrom="paragraph">
                  <wp:posOffset>520700</wp:posOffset>
                </wp:positionV>
                <wp:extent cx="6010275" cy="1206500"/>
                <wp:effectExtent l="0" t="0" r="0" b="0"/>
                <wp:wrapTopAndBottom/>
                <wp:docPr id="10" name="Conten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10275" cy="1206500"/>
                        </a:xfrm>
                        <a:prstGeom prst="rect">
                          <a:avLst/>
                        </a:prstGeom>
                      </wps:spPr>
                      <wps:txbx>
                        <w:txbxContent>
                          <w:p w14:paraId="05093CE2" w14:textId="77777777" w:rsidR="00617C40" w:rsidRPr="00EC7ED9" w:rsidRDefault="00057237" w:rsidP="00D72008">
                            <w:pPr>
                              <w:jc w:val="left"/>
                              <w:rPr>
                                <w:rFonts w:ascii="Arial" w:eastAsia="Calibri" w:hAnsi="Arial" w:cs="Arial"/>
                                <w:sz w:val="18"/>
                                <w:szCs w:val="18"/>
                              </w:rPr>
                            </w:pPr>
                            <m:oMathPara>
                              <m:oMathParaPr>
                                <m:jc m:val="left"/>
                              </m:oMathParaPr>
                              <m:oMath>
                                <m:sSub>
                                  <m:sSubPr>
                                    <m:ctrlPr>
                                      <w:rPr>
                                        <w:rFonts w:ascii="Cambria Math" w:eastAsia="Calibri" w:hAnsi="Cambria Math" w:cs="Arial"/>
                                        <w:i/>
                                        <w:sz w:val="18"/>
                                        <w:szCs w:val="18"/>
                                      </w:rPr>
                                    </m:ctrlPr>
                                  </m:sSubPr>
                                  <m:e>
                                    <m:r>
                                      <w:rPr>
                                        <w:rFonts w:ascii="Cambria Math" w:eastAsia="Calibri" w:hAnsi="Cambria Math" w:cs="Arial"/>
                                        <w:sz w:val="18"/>
                                        <w:szCs w:val="18"/>
                                      </w:rPr>
                                      <m:t>QER</m:t>
                                    </m:r>
                                  </m:e>
                                  <m:sub>
                                    <m:r>
                                      <w:rPr>
                                        <w:rFonts w:ascii="Cambria Math" w:eastAsia="Calibri" w:hAnsi="Cambria Math" w:cs="Arial"/>
                                        <w:sz w:val="18"/>
                                        <w:szCs w:val="18"/>
                                      </w:rPr>
                                      <m:t>c,u,w,r</m:t>
                                    </m:r>
                                  </m:sub>
                                </m:sSub>
                                <m:r>
                                  <w:rPr>
                                    <w:rFonts w:ascii="Cambria Math" w:eastAsia="Calibri" w:hAnsi="Cambria Math" w:cs="Arial"/>
                                    <w:sz w:val="18"/>
                                    <w:szCs w:val="18"/>
                                  </w:rPr>
                                  <m:t>/</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AMS_CET</m:t>
                                    </m:r>
                                  </m:e>
                                  <m:sub>
                                    <m:r>
                                      <w:rPr>
                                        <w:rFonts w:ascii="Cambria Math" w:eastAsia="Calibri" w:hAnsi="Cambria Math" w:cs="Arial"/>
                                        <w:color w:val="FF0000"/>
                                        <w:sz w:val="18"/>
                                        <w:szCs w:val="18"/>
                                      </w:rPr>
                                      <m:t>c,u,w,r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QE</m:t>
                                    </m:r>
                                  </m:e>
                                  <m:sub>
                                    <m:r>
                                      <w:rPr>
                                        <w:rFonts w:ascii="Cambria Math" w:eastAsia="Calibri" w:hAnsi="Cambria Math" w:cs="Arial"/>
                                        <w:sz w:val="18"/>
                                        <w:szCs w:val="18"/>
                                      </w:rPr>
                                      <m:t>c,u,r</m:t>
                                    </m:r>
                                  </m:sub>
                                </m:sSub>
                              </m:oMath>
                            </m:oMathPara>
                          </w:p>
                          <w:p w14:paraId="4E714EE4" w14:textId="77777777" w:rsidR="00617C40" w:rsidRDefault="00057237" w:rsidP="00D72008">
                            <m:oMathPara>
                              <m:oMath>
                                <m:sSup>
                                  <m:sSupPr>
                                    <m:ctrlPr>
                                      <w:rPr>
                                        <w:rFonts w:ascii="Cambria Math" w:eastAsia="Calibri" w:hAnsi="Cambria Math" w:cs="Arial"/>
                                        <w:i/>
                                        <w:sz w:val="18"/>
                                        <w:szCs w:val="18"/>
                                      </w:rPr>
                                    </m:ctrlPr>
                                  </m:sSupPr>
                                  <m:e>
                                    <m:r>
                                      <w:rPr>
                                        <w:rFonts w:ascii="Cambria Math" w:eastAsia="Calibri" w:hAnsi="Cambria Math" w:cs="Arial"/>
                                        <w:sz w:val="18"/>
                                        <w:szCs w:val="18"/>
                                      </w:rPr>
                                      <m:t>*</m:t>
                                    </m:r>
                                    <m:d>
                                      <m:dPr>
                                        <m:ctrlPr>
                                          <w:rPr>
                                            <w:rFonts w:ascii="Cambria Math" w:eastAsia="Calibri" w:hAnsi="Cambria Math" w:cs="Arial"/>
                                            <w:i/>
                                            <w:sz w:val="18"/>
                                            <w:szCs w:val="18"/>
                                          </w:rPr>
                                        </m:ctrlPr>
                                      </m:dPr>
                                      <m:e>
                                        <m:f>
                                          <m:fPr>
                                            <m:ctrlPr>
                                              <w:rPr>
                                                <w:rFonts w:ascii="Cambria Math" w:eastAsia="Calibri" w:hAnsi="Cambria Math" w:cs="Arial"/>
                                                <w:i/>
                                                <w:sz w:val="18"/>
                                                <w:szCs w:val="18"/>
                                              </w:rPr>
                                            </m:ctrlPr>
                                          </m:fPr>
                                          <m:num>
                                            <m:sSub>
                                              <m:sSubPr>
                                                <m:ctrlPr>
                                                  <w:rPr>
                                                    <w:rFonts w:ascii="Cambria Math" w:eastAsia="Calibri" w:hAnsi="Cambria Math" w:cs="Arial"/>
                                                    <w:i/>
                                                    <w:sz w:val="18"/>
                                                    <w:szCs w:val="18"/>
                                                  </w:rPr>
                                                </m:ctrlPr>
                                              </m:sSubPr>
                                              <m:e>
                                                <m:r>
                                                  <w:rPr>
                                                    <w:rFonts w:ascii="Cambria Math" w:eastAsia="Calibri" w:hAnsi="Cambria Math" w:cs="Arial"/>
                                                    <w:sz w:val="18"/>
                                                    <w:szCs w:val="18"/>
                                                  </w:rPr>
                                                  <m:t>PER</m:t>
                                                </m:r>
                                              </m:e>
                                              <m:sub>
                                                <m:r>
                                                  <w:rPr>
                                                    <w:rFonts w:ascii="Cambria Math" w:eastAsia="Calibri" w:hAnsi="Cambria Math" w:cs="Arial"/>
                                                    <w:sz w:val="18"/>
                                                    <w:szCs w:val="18"/>
                                                  </w:rPr>
                                                  <m:t>c,u,w,r</m:t>
                                                </m:r>
                                              </m:sub>
                                            </m:sSub>
                                            <m:r>
                                              <w:rPr>
                                                <w:rFonts w:ascii="Cambria Math" w:eastAsia="Calibri" w:hAnsi="Cambria Math" w:cs="Arial"/>
                                                <w:sz w:val="18"/>
                                                <w:szCs w:val="18"/>
                                              </w:rPr>
                                              <m:t>*</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AMS_CET</m:t>
                                                </m:r>
                                              </m:e>
                                              <m:sub>
                                                <m:r>
                                                  <w:rPr>
                                                    <w:rFonts w:ascii="Cambria Math" w:eastAsia="Calibri" w:hAnsi="Cambria Math" w:cs="Arial"/>
                                                    <w:color w:val="FF0000"/>
                                                    <w:sz w:val="18"/>
                                                    <w:szCs w:val="18"/>
                                                  </w:rPr>
                                                  <m:t>c,u,w,r</m:t>
                                                </m:r>
                                              </m:sub>
                                            </m:sSub>
                                          </m:num>
                                          <m:den>
                                            <m:sSub>
                                              <m:sSubPr>
                                                <m:ctrlPr>
                                                  <w:rPr>
                                                    <w:rFonts w:ascii="Cambria Math" w:eastAsia="Calibri" w:hAnsi="Cambria Math" w:cs="Arial"/>
                                                    <w:i/>
                                                    <w:sz w:val="18"/>
                                                    <w:szCs w:val="18"/>
                                                  </w:rPr>
                                                </m:ctrlPr>
                                              </m:sSubPr>
                                              <m:e>
                                                <m:r>
                                                  <w:rPr>
                                                    <w:rFonts w:ascii="Cambria Math" w:eastAsia="Calibri" w:hAnsi="Cambria Math" w:cs="Arial"/>
                                                    <w:sz w:val="18"/>
                                                    <w:szCs w:val="18"/>
                                                  </w:rPr>
                                                  <m:t>PE</m:t>
                                                </m:r>
                                              </m:e>
                                              <m:sub>
                                                <m:r>
                                                  <w:rPr>
                                                    <w:rFonts w:ascii="Cambria Math" w:eastAsia="Calibri" w:hAnsi="Cambria Math" w:cs="Arial"/>
                                                    <w:sz w:val="18"/>
                                                    <w:szCs w:val="18"/>
                                                  </w:rPr>
                                                  <m:t>c,u,r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gammar</m:t>
                                                </m:r>
                                              </m:e>
                                              <m:sub>
                                                <m:r>
                                                  <w:rPr>
                                                    <w:rFonts w:ascii="Cambria Math" w:eastAsia="Calibri" w:hAnsi="Cambria Math" w:cs="Arial"/>
                                                    <w:sz w:val="18"/>
                                                    <w:szCs w:val="18"/>
                                                  </w:rPr>
                                                  <m:t>c,u,w,r</m:t>
                                                </m:r>
                                              </m:sub>
                                            </m:sSub>
                                            <m:r>
                                              <w:rPr>
                                                <w:rFonts w:ascii="Cambria Math" w:eastAsia="Calibri" w:hAnsi="Cambria Math" w:cs="Arial"/>
                                                <w:sz w:val="18"/>
                                                <w:szCs w:val="18"/>
                                              </w:rPr>
                                              <m:t>*</m:t>
                                            </m:r>
                                            <m:sSubSup>
                                              <m:sSubSupPr>
                                                <m:ctrlPr>
                                                  <w:rPr>
                                                    <w:rFonts w:ascii="Cambria Math" w:eastAsia="Calibri" w:hAnsi="Cambria Math" w:cs="Arial"/>
                                                    <w:i/>
                                                    <w:sz w:val="18"/>
                                                    <w:szCs w:val="18"/>
                                                  </w:rPr>
                                                </m:ctrlPr>
                                              </m:sSubSupPr>
                                              <m:e>
                                                <m:r>
                                                  <w:rPr>
                                                    <w:rFonts w:ascii="Cambria Math" w:eastAsia="Calibri" w:hAnsi="Cambria Math" w:cs="Arial"/>
                                                    <w:sz w:val="18"/>
                                                    <w:szCs w:val="18"/>
                                                  </w:rPr>
                                                  <m:t>atr</m:t>
                                                </m:r>
                                              </m:e>
                                              <m:sub>
                                                <m:r>
                                                  <w:rPr>
                                                    <w:rFonts w:ascii="Cambria Math" w:eastAsia="Calibri" w:hAnsi="Cambria Math" w:cs="Arial"/>
                                                    <w:sz w:val="18"/>
                                                    <w:szCs w:val="18"/>
                                                  </w:rPr>
                                                  <m:t>c,u,r</m:t>
                                                </m:r>
                                              </m:sub>
                                              <m:sup>
                                                <m:sSubSup>
                                                  <m:sSubSupPr>
                                                    <m:ctrlPr>
                                                      <w:rPr>
                                                        <w:rFonts w:ascii="Cambria Math" w:eastAsia="Calibri" w:hAnsi="Cambria Math" w:cs="Arial"/>
                                                        <w:i/>
                                                        <w:sz w:val="18"/>
                                                        <w:szCs w:val="18"/>
                                                      </w:rPr>
                                                    </m:ctrlPr>
                                                  </m:sSubSupPr>
                                                  <m:e>
                                                    <m:r>
                                                      <w:rPr>
                                                        <w:rFonts w:ascii="Cambria Math" w:eastAsia="Calibri" w:hAnsi="Cambria Math" w:cs="Arial"/>
                                                        <w:sz w:val="18"/>
                                                        <w:szCs w:val="18"/>
                                                      </w:rPr>
                                                      <m:t>ρ</m:t>
                                                    </m:r>
                                                  </m:e>
                                                  <m:sub>
                                                    <m:r>
                                                      <w:rPr>
                                                        <w:rFonts w:ascii="Cambria Math" w:eastAsia="Calibri" w:hAnsi="Cambria Math" w:cs="Arial"/>
                                                        <w:sz w:val="18"/>
                                                        <w:szCs w:val="18"/>
                                                      </w:rPr>
                                                      <m:t>c,u,r</m:t>
                                                    </m:r>
                                                  </m:sub>
                                                  <m:sup>
                                                    <m:r>
                                                      <w:rPr>
                                                        <w:rFonts w:ascii="Cambria Math" w:eastAsia="Calibri" w:hAnsi="Cambria Math" w:cs="Arial"/>
                                                        <w:sz w:val="18"/>
                                                        <w:szCs w:val="18"/>
                                                      </w:rPr>
                                                      <m:t>e</m:t>
                                                    </m:r>
                                                  </m:sup>
                                                </m:sSubSup>
                                              </m:sup>
                                            </m:sSubSup>
                                          </m:den>
                                        </m:f>
                                      </m:e>
                                    </m:d>
                                  </m:e>
                                  <m:sup>
                                    <m:d>
                                      <m:dPr>
                                        <m:ctrlPr>
                                          <w:rPr>
                                            <w:rFonts w:ascii="Cambria Math" w:eastAsia="Calibri" w:hAnsi="Cambria Math" w:cs="Arial"/>
                                            <w:i/>
                                            <w:sz w:val="18"/>
                                            <w:szCs w:val="18"/>
                                          </w:rPr>
                                        </m:ctrlPr>
                                      </m:dPr>
                                      <m:e>
                                        <m:f>
                                          <m:fPr>
                                            <m:ctrlPr>
                                              <w:rPr>
                                                <w:rFonts w:ascii="Cambria Math" w:eastAsia="Calibri" w:hAnsi="Cambria Math" w:cs="Arial"/>
                                                <w:i/>
                                                <w:sz w:val="18"/>
                                                <w:szCs w:val="18"/>
                                              </w:rPr>
                                            </m:ctrlPr>
                                          </m:fPr>
                                          <m:num>
                                            <m:r>
                                              <w:rPr>
                                                <w:rFonts w:ascii="Cambria Math" w:eastAsia="Calibri" w:hAnsi="Cambria Math" w:cs="Arial"/>
                                                <w:sz w:val="18"/>
                                                <w:szCs w:val="18"/>
                                              </w:rPr>
                                              <m:t>1</m:t>
                                            </m:r>
                                          </m:num>
                                          <m:den>
                                            <m:sSubSup>
                                              <m:sSubSupPr>
                                                <m:ctrlPr>
                                                  <w:rPr>
                                                    <w:rFonts w:ascii="Cambria Math" w:eastAsia="Calibri" w:hAnsi="Cambria Math" w:cs="Arial"/>
                                                    <w:i/>
                                                    <w:sz w:val="18"/>
                                                    <w:szCs w:val="18"/>
                                                  </w:rPr>
                                                </m:ctrlPr>
                                              </m:sSubSupPr>
                                              <m:e>
                                                <m:r>
                                                  <w:rPr>
                                                    <w:rFonts w:ascii="Cambria Math" w:eastAsia="Calibri" w:hAnsi="Cambria Math" w:cs="Arial"/>
                                                    <w:sz w:val="18"/>
                                                    <w:szCs w:val="18"/>
                                                  </w:rPr>
                                                  <m:t>ρ</m:t>
                                                </m:r>
                                              </m:e>
                                              <m:sub>
                                                <m:r>
                                                  <w:rPr>
                                                    <w:rFonts w:ascii="Cambria Math" w:eastAsia="Calibri" w:hAnsi="Cambria Math" w:cs="Arial"/>
                                                    <w:sz w:val="18"/>
                                                    <w:szCs w:val="18"/>
                                                  </w:rPr>
                                                  <m:t>c,u,r</m:t>
                                                </m:r>
                                              </m:sub>
                                              <m:sup>
                                                <m:r>
                                                  <w:rPr>
                                                    <w:rFonts w:ascii="Cambria Math" w:eastAsia="Calibri" w:hAnsi="Cambria Math" w:cs="Arial"/>
                                                    <w:sz w:val="18"/>
                                                    <w:szCs w:val="18"/>
                                                  </w:rPr>
                                                  <m:t>e</m:t>
                                                </m:r>
                                              </m:sup>
                                            </m:sSubSup>
                                            <m:r>
                                              <w:rPr>
                                                <w:rFonts w:ascii="Cambria Math" w:eastAsia="Calibri" w:hAnsi="Cambria Math" w:cs="Arial"/>
                                                <w:sz w:val="18"/>
                                                <w:szCs w:val="18"/>
                                              </w:rPr>
                                              <m:t>-1</m:t>
                                            </m:r>
                                          </m:den>
                                        </m:f>
                                      </m:e>
                                    </m:d>
                                  </m:sup>
                                </m:sSup>
                              </m:oMath>
                            </m:oMathPara>
                          </w:p>
                          <w:p w14:paraId="6BEC61C8" w14:textId="77777777" w:rsidR="00617C40" w:rsidRDefault="00617C40" w:rsidP="00D72008"/>
                          <w:p w14:paraId="66703781" w14:textId="39C505E6" w:rsidR="00617C40" w:rsidRDefault="00617C40" w:rsidP="00E251C1">
                            <w:pPr>
                              <w:tabs>
                                <w:tab w:val="left" w:pos="8080"/>
                              </w:tabs>
                            </w:pPr>
                            <w:r>
                              <w:t xml:space="preserve">Where   </w:t>
                            </w:r>
                            <m:oMath>
                              <m:sSub>
                                <m:sSubPr>
                                  <m:ctrlPr>
                                    <w:rPr>
                                      <w:rFonts w:ascii="Cambria Math" w:eastAsia="Calibri" w:hAnsi="Cambria Math" w:cs="Arial"/>
                                      <w:i/>
                                      <w:sz w:val="18"/>
                                      <w:szCs w:val="18"/>
                                    </w:rPr>
                                  </m:ctrlPr>
                                </m:sSubPr>
                                <m:e>
                                  <m:r>
                                    <w:rPr>
                                      <w:rFonts w:ascii="Cambria Math" w:eastAsia="Calibri" w:hAnsi="Cambria Math" w:cs="Arial"/>
                                      <w:sz w:val="18"/>
                                      <w:szCs w:val="18"/>
                                    </w:rPr>
                                    <m:t>AMS_CET</m:t>
                                  </m:r>
                                </m:e>
                                <m:sub>
                                  <m:r>
                                    <w:rPr>
                                      <w:rFonts w:ascii="Cambria Math" w:eastAsia="Calibri" w:hAnsi="Cambria Math" w:cs="Arial"/>
                                      <w:sz w:val="18"/>
                                      <w:szCs w:val="18"/>
                                    </w:rPr>
                                    <m:t>c,w,u,r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AMS</m:t>
                                  </m:r>
                                </m:e>
                                <m:sub>
                                  <m:r>
                                    <w:rPr>
                                      <w:rFonts w:ascii="Cambria Math" w:eastAsia="Calibri" w:hAnsi="Cambria Math" w:cs="Arial"/>
                                      <w:sz w:val="18"/>
                                      <w:szCs w:val="18"/>
                                    </w:rPr>
                                    <m:t>c,w,u,r</m:t>
                                  </m:r>
                                </m:sub>
                              </m:sSub>
                              <m:r>
                                <w:rPr>
                                  <w:rFonts w:ascii="Cambria Math" w:eastAsia="Calibri" w:hAnsi="Cambria Math" w:cs="Arial"/>
                                  <w:sz w:val="18"/>
                                  <w:szCs w:val="18"/>
                                </w:rPr>
                                <m:t xml:space="preserve">                         ∀ map_w_r</m:t>
                              </m:r>
                            </m:oMath>
                            <w:r w:rsidRPr="00B958C8">
                              <w:rPr>
                                <w:rFonts w:ascii="Arial" w:hAnsi="Arial" w:cs="Arial"/>
                                <w:color w:val="595959" w:themeColor="text1" w:themeTint="A6"/>
                                <w:kern w:val="24"/>
                              </w:rPr>
                              <w:tab/>
                            </w:r>
                            <w:r>
                              <w:rPr>
                                <w:rFonts w:ascii="Arial" w:hAnsi="Arial" w:cs="Arial"/>
                                <w:color w:val="595959" w:themeColor="text1" w:themeTint="A6"/>
                                <w:kern w:val="24"/>
                              </w:rPr>
                              <w:t>(2)</w:t>
                            </w:r>
                            <w:r w:rsidRPr="00B958C8" w:rsidDel="00D72008">
                              <w:rPr>
                                <w:rFonts w:ascii="Arial" w:hAnsi="Arial" w:cs="Arial"/>
                                <w:color w:val="595959" w:themeColor="text1" w:themeTint="A6"/>
                                <w:kern w:val="2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C20B670" id="_x0000_s1027" style="position:absolute;left:0;text-align:left;margin-left:0;margin-top:41pt;width:473.25pt;height:95pt;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" filled="f" stroked="f">
                <v:path arrowok="t"/>
                <o:lock v:ext="edit" grouping="t"/>
                <v:textbox>
                  <w:txbxContent>
                    <w:p w14:paraId="05093CE2" w14:textId="77777777" w:rsidR="00617C40" w:rsidRPr="00EC7ED9" w:rsidRDefault="00057237" w:rsidP="00D72008">
                      <w:pPr>
                        <w:jc w:val="left"/>
                        <w:rPr>
                          <w:rFonts w:ascii="Arial" w:eastAsia="Calibri" w:hAnsi="Arial" w:cs="Arial"/>
                          <w:sz w:val="18"/>
                          <w:szCs w:val="18"/>
                        </w:rPr>
                      </w:pPr>
                      <m:oMathPara>
                        <m:oMathParaPr>
                          <m:jc m:val="left"/>
                        </m:oMathParaPr>
                        <m:oMath>
                          <m:sSub>
                            <m:sSubPr>
                              <m:ctrlPr>
                                <w:rPr>
                                  <w:rFonts w:ascii="Cambria Math" w:eastAsia="Calibri" w:hAnsi="Cambria Math" w:cs="Arial"/>
                                  <w:i/>
                                  <w:sz w:val="18"/>
                                  <w:szCs w:val="18"/>
                                </w:rPr>
                              </m:ctrlPr>
                            </m:sSubPr>
                            <m:e>
                              <m:r>
                                <w:rPr>
                                  <w:rFonts w:ascii="Cambria Math" w:eastAsia="Calibri" w:hAnsi="Cambria Math" w:cs="Arial"/>
                                  <w:sz w:val="18"/>
                                  <w:szCs w:val="18"/>
                                </w:rPr>
                                <m:t>QER</m:t>
                              </m:r>
                            </m:e>
                            <m:sub>
                              <m:r>
                                <w:rPr>
                                  <w:rFonts w:ascii="Cambria Math" w:eastAsia="Calibri" w:hAnsi="Cambria Math" w:cs="Arial"/>
                                  <w:sz w:val="18"/>
                                  <w:szCs w:val="18"/>
                                </w:rPr>
                                <m:t>c,u,w,r</m:t>
                              </m:r>
                            </m:sub>
                          </m:sSub>
                          <m:r>
                            <w:rPr>
                              <w:rFonts w:ascii="Cambria Math" w:eastAsia="Calibri" w:hAnsi="Cambria Math" w:cs="Arial"/>
                              <w:sz w:val="18"/>
                              <w:szCs w:val="18"/>
                            </w:rPr>
                            <m:t>/</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AMS_CET</m:t>
                              </m:r>
                            </m:e>
                            <m:sub>
                              <m:r>
                                <w:rPr>
                                  <w:rFonts w:ascii="Cambria Math" w:eastAsia="Calibri" w:hAnsi="Cambria Math" w:cs="Arial"/>
                                  <w:color w:val="FF0000"/>
                                  <w:sz w:val="18"/>
                                  <w:szCs w:val="18"/>
                                </w:rPr>
                                <m:t>c,u,w,r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QE</m:t>
                              </m:r>
                            </m:e>
                            <m:sub>
                              <m:r>
                                <w:rPr>
                                  <w:rFonts w:ascii="Cambria Math" w:eastAsia="Calibri" w:hAnsi="Cambria Math" w:cs="Arial"/>
                                  <w:sz w:val="18"/>
                                  <w:szCs w:val="18"/>
                                </w:rPr>
                                <m:t>c,u,r</m:t>
                              </m:r>
                            </m:sub>
                          </m:sSub>
                        </m:oMath>
                      </m:oMathPara>
                    </w:p>
                    <w:p w14:paraId="4E714EE4" w14:textId="77777777" w:rsidR="00617C40" w:rsidRDefault="00057237" w:rsidP="00D72008">
                      <m:oMathPara>
                        <m:oMath>
                          <m:sSup>
                            <m:sSupPr>
                              <m:ctrlPr>
                                <w:rPr>
                                  <w:rFonts w:ascii="Cambria Math" w:eastAsia="Calibri" w:hAnsi="Cambria Math" w:cs="Arial"/>
                                  <w:i/>
                                  <w:sz w:val="18"/>
                                  <w:szCs w:val="18"/>
                                </w:rPr>
                              </m:ctrlPr>
                            </m:sSupPr>
                            <m:e>
                              <m:r>
                                <w:rPr>
                                  <w:rFonts w:ascii="Cambria Math" w:eastAsia="Calibri" w:hAnsi="Cambria Math" w:cs="Arial"/>
                                  <w:sz w:val="18"/>
                                  <w:szCs w:val="18"/>
                                </w:rPr>
                                <m:t>*</m:t>
                              </m:r>
                              <m:d>
                                <m:dPr>
                                  <m:ctrlPr>
                                    <w:rPr>
                                      <w:rFonts w:ascii="Cambria Math" w:eastAsia="Calibri" w:hAnsi="Cambria Math" w:cs="Arial"/>
                                      <w:i/>
                                      <w:sz w:val="18"/>
                                      <w:szCs w:val="18"/>
                                    </w:rPr>
                                  </m:ctrlPr>
                                </m:dPr>
                                <m:e>
                                  <m:f>
                                    <m:fPr>
                                      <m:ctrlPr>
                                        <w:rPr>
                                          <w:rFonts w:ascii="Cambria Math" w:eastAsia="Calibri" w:hAnsi="Cambria Math" w:cs="Arial"/>
                                          <w:i/>
                                          <w:sz w:val="18"/>
                                          <w:szCs w:val="18"/>
                                        </w:rPr>
                                      </m:ctrlPr>
                                    </m:fPr>
                                    <m:num>
                                      <m:sSub>
                                        <m:sSubPr>
                                          <m:ctrlPr>
                                            <w:rPr>
                                              <w:rFonts w:ascii="Cambria Math" w:eastAsia="Calibri" w:hAnsi="Cambria Math" w:cs="Arial"/>
                                              <w:i/>
                                              <w:sz w:val="18"/>
                                              <w:szCs w:val="18"/>
                                            </w:rPr>
                                          </m:ctrlPr>
                                        </m:sSubPr>
                                        <m:e>
                                          <m:r>
                                            <w:rPr>
                                              <w:rFonts w:ascii="Cambria Math" w:eastAsia="Calibri" w:hAnsi="Cambria Math" w:cs="Arial"/>
                                              <w:sz w:val="18"/>
                                              <w:szCs w:val="18"/>
                                            </w:rPr>
                                            <m:t>PER</m:t>
                                          </m:r>
                                        </m:e>
                                        <m:sub>
                                          <m:r>
                                            <w:rPr>
                                              <w:rFonts w:ascii="Cambria Math" w:eastAsia="Calibri" w:hAnsi="Cambria Math" w:cs="Arial"/>
                                              <w:sz w:val="18"/>
                                              <w:szCs w:val="18"/>
                                            </w:rPr>
                                            <m:t>c,u,w,r</m:t>
                                          </m:r>
                                        </m:sub>
                                      </m:sSub>
                                      <m:r>
                                        <w:rPr>
                                          <w:rFonts w:ascii="Cambria Math" w:eastAsia="Calibri" w:hAnsi="Cambria Math" w:cs="Arial"/>
                                          <w:sz w:val="18"/>
                                          <w:szCs w:val="18"/>
                                        </w:rPr>
                                        <m:t>*</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AMS_CET</m:t>
                                          </m:r>
                                        </m:e>
                                        <m:sub>
                                          <m:r>
                                            <w:rPr>
                                              <w:rFonts w:ascii="Cambria Math" w:eastAsia="Calibri" w:hAnsi="Cambria Math" w:cs="Arial"/>
                                              <w:color w:val="FF0000"/>
                                              <w:sz w:val="18"/>
                                              <w:szCs w:val="18"/>
                                            </w:rPr>
                                            <m:t>c,u,w,r</m:t>
                                          </m:r>
                                        </m:sub>
                                      </m:sSub>
                                    </m:num>
                                    <m:den>
                                      <m:sSub>
                                        <m:sSubPr>
                                          <m:ctrlPr>
                                            <w:rPr>
                                              <w:rFonts w:ascii="Cambria Math" w:eastAsia="Calibri" w:hAnsi="Cambria Math" w:cs="Arial"/>
                                              <w:i/>
                                              <w:sz w:val="18"/>
                                              <w:szCs w:val="18"/>
                                            </w:rPr>
                                          </m:ctrlPr>
                                        </m:sSubPr>
                                        <m:e>
                                          <m:r>
                                            <w:rPr>
                                              <w:rFonts w:ascii="Cambria Math" w:eastAsia="Calibri" w:hAnsi="Cambria Math" w:cs="Arial"/>
                                              <w:sz w:val="18"/>
                                              <w:szCs w:val="18"/>
                                            </w:rPr>
                                            <m:t>PE</m:t>
                                          </m:r>
                                        </m:e>
                                        <m:sub>
                                          <m:r>
                                            <w:rPr>
                                              <w:rFonts w:ascii="Cambria Math" w:eastAsia="Calibri" w:hAnsi="Cambria Math" w:cs="Arial"/>
                                              <w:sz w:val="18"/>
                                              <w:szCs w:val="18"/>
                                            </w:rPr>
                                            <m:t>c,u,r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gammar</m:t>
                                          </m:r>
                                        </m:e>
                                        <m:sub>
                                          <m:r>
                                            <w:rPr>
                                              <w:rFonts w:ascii="Cambria Math" w:eastAsia="Calibri" w:hAnsi="Cambria Math" w:cs="Arial"/>
                                              <w:sz w:val="18"/>
                                              <w:szCs w:val="18"/>
                                            </w:rPr>
                                            <m:t>c,u,w,r</m:t>
                                          </m:r>
                                        </m:sub>
                                      </m:sSub>
                                      <m:r>
                                        <w:rPr>
                                          <w:rFonts w:ascii="Cambria Math" w:eastAsia="Calibri" w:hAnsi="Cambria Math" w:cs="Arial"/>
                                          <w:sz w:val="18"/>
                                          <w:szCs w:val="18"/>
                                        </w:rPr>
                                        <m:t>*</m:t>
                                      </m:r>
                                      <m:sSubSup>
                                        <m:sSubSupPr>
                                          <m:ctrlPr>
                                            <w:rPr>
                                              <w:rFonts w:ascii="Cambria Math" w:eastAsia="Calibri" w:hAnsi="Cambria Math" w:cs="Arial"/>
                                              <w:i/>
                                              <w:sz w:val="18"/>
                                              <w:szCs w:val="18"/>
                                            </w:rPr>
                                          </m:ctrlPr>
                                        </m:sSubSupPr>
                                        <m:e>
                                          <m:r>
                                            <w:rPr>
                                              <w:rFonts w:ascii="Cambria Math" w:eastAsia="Calibri" w:hAnsi="Cambria Math" w:cs="Arial"/>
                                              <w:sz w:val="18"/>
                                              <w:szCs w:val="18"/>
                                            </w:rPr>
                                            <m:t>atr</m:t>
                                          </m:r>
                                        </m:e>
                                        <m:sub>
                                          <m:r>
                                            <w:rPr>
                                              <w:rFonts w:ascii="Cambria Math" w:eastAsia="Calibri" w:hAnsi="Cambria Math" w:cs="Arial"/>
                                              <w:sz w:val="18"/>
                                              <w:szCs w:val="18"/>
                                            </w:rPr>
                                            <m:t>c,u,r</m:t>
                                          </m:r>
                                        </m:sub>
                                        <m:sup>
                                          <m:sSubSup>
                                            <m:sSubSupPr>
                                              <m:ctrlPr>
                                                <w:rPr>
                                                  <w:rFonts w:ascii="Cambria Math" w:eastAsia="Calibri" w:hAnsi="Cambria Math" w:cs="Arial"/>
                                                  <w:i/>
                                                  <w:sz w:val="18"/>
                                                  <w:szCs w:val="18"/>
                                                </w:rPr>
                                              </m:ctrlPr>
                                            </m:sSubSupPr>
                                            <m:e>
                                              <m:r>
                                                <w:rPr>
                                                  <w:rFonts w:ascii="Cambria Math" w:eastAsia="Calibri" w:hAnsi="Cambria Math" w:cs="Arial"/>
                                                  <w:sz w:val="18"/>
                                                  <w:szCs w:val="18"/>
                                                </w:rPr>
                                                <m:t>ρ</m:t>
                                              </m:r>
                                            </m:e>
                                            <m:sub>
                                              <m:r>
                                                <w:rPr>
                                                  <w:rFonts w:ascii="Cambria Math" w:eastAsia="Calibri" w:hAnsi="Cambria Math" w:cs="Arial"/>
                                                  <w:sz w:val="18"/>
                                                  <w:szCs w:val="18"/>
                                                </w:rPr>
                                                <m:t>c,u,r</m:t>
                                              </m:r>
                                            </m:sub>
                                            <m:sup>
                                              <m:r>
                                                <w:rPr>
                                                  <w:rFonts w:ascii="Cambria Math" w:eastAsia="Calibri" w:hAnsi="Cambria Math" w:cs="Arial"/>
                                                  <w:sz w:val="18"/>
                                                  <w:szCs w:val="18"/>
                                                </w:rPr>
                                                <m:t>e</m:t>
                                              </m:r>
                                            </m:sup>
                                          </m:sSubSup>
                                        </m:sup>
                                      </m:sSubSup>
                                    </m:den>
                                  </m:f>
                                </m:e>
                              </m:d>
                            </m:e>
                            <m:sup>
                              <m:d>
                                <m:dPr>
                                  <m:ctrlPr>
                                    <w:rPr>
                                      <w:rFonts w:ascii="Cambria Math" w:eastAsia="Calibri" w:hAnsi="Cambria Math" w:cs="Arial"/>
                                      <w:i/>
                                      <w:sz w:val="18"/>
                                      <w:szCs w:val="18"/>
                                    </w:rPr>
                                  </m:ctrlPr>
                                </m:dPr>
                                <m:e>
                                  <m:f>
                                    <m:fPr>
                                      <m:ctrlPr>
                                        <w:rPr>
                                          <w:rFonts w:ascii="Cambria Math" w:eastAsia="Calibri" w:hAnsi="Cambria Math" w:cs="Arial"/>
                                          <w:i/>
                                          <w:sz w:val="18"/>
                                          <w:szCs w:val="18"/>
                                        </w:rPr>
                                      </m:ctrlPr>
                                    </m:fPr>
                                    <m:num>
                                      <m:r>
                                        <w:rPr>
                                          <w:rFonts w:ascii="Cambria Math" w:eastAsia="Calibri" w:hAnsi="Cambria Math" w:cs="Arial"/>
                                          <w:sz w:val="18"/>
                                          <w:szCs w:val="18"/>
                                        </w:rPr>
                                        <m:t>1</m:t>
                                      </m:r>
                                    </m:num>
                                    <m:den>
                                      <m:sSubSup>
                                        <m:sSubSupPr>
                                          <m:ctrlPr>
                                            <w:rPr>
                                              <w:rFonts w:ascii="Cambria Math" w:eastAsia="Calibri" w:hAnsi="Cambria Math" w:cs="Arial"/>
                                              <w:i/>
                                              <w:sz w:val="18"/>
                                              <w:szCs w:val="18"/>
                                            </w:rPr>
                                          </m:ctrlPr>
                                        </m:sSubSupPr>
                                        <m:e>
                                          <m:r>
                                            <w:rPr>
                                              <w:rFonts w:ascii="Cambria Math" w:eastAsia="Calibri" w:hAnsi="Cambria Math" w:cs="Arial"/>
                                              <w:sz w:val="18"/>
                                              <w:szCs w:val="18"/>
                                            </w:rPr>
                                            <m:t>ρ</m:t>
                                          </m:r>
                                        </m:e>
                                        <m:sub>
                                          <m:r>
                                            <w:rPr>
                                              <w:rFonts w:ascii="Cambria Math" w:eastAsia="Calibri" w:hAnsi="Cambria Math" w:cs="Arial"/>
                                              <w:sz w:val="18"/>
                                              <w:szCs w:val="18"/>
                                            </w:rPr>
                                            <m:t>c,u,r</m:t>
                                          </m:r>
                                        </m:sub>
                                        <m:sup>
                                          <m:r>
                                            <w:rPr>
                                              <w:rFonts w:ascii="Cambria Math" w:eastAsia="Calibri" w:hAnsi="Cambria Math" w:cs="Arial"/>
                                              <w:sz w:val="18"/>
                                              <w:szCs w:val="18"/>
                                            </w:rPr>
                                            <m:t>e</m:t>
                                          </m:r>
                                        </m:sup>
                                      </m:sSubSup>
                                      <m:r>
                                        <w:rPr>
                                          <w:rFonts w:ascii="Cambria Math" w:eastAsia="Calibri" w:hAnsi="Cambria Math" w:cs="Arial"/>
                                          <w:sz w:val="18"/>
                                          <w:szCs w:val="18"/>
                                        </w:rPr>
                                        <m:t>-1</m:t>
                                      </m:r>
                                    </m:den>
                                  </m:f>
                                </m:e>
                              </m:d>
                            </m:sup>
                          </m:sSup>
                        </m:oMath>
                      </m:oMathPara>
                    </w:p>
                    <w:p w14:paraId="6BEC61C8" w14:textId="77777777" w:rsidR="00617C40" w:rsidRDefault="00617C40" w:rsidP="00D72008"/>
                    <w:p w14:paraId="66703781" w14:textId="39C505E6" w:rsidR="00617C40" w:rsidRDefault="00617C40" w:rsidP="00E251C1">
                      <w:pPr>
                        <w:tabs>
                          <w:tab w:val="left" w:pos="8080"/>
                        </w:tabs>
                      </w:pPr>
                      <w:r>
                        <w:t xml:space="preserve">Where   </w:t>
                      </w:r>
                      <m:oMath>
                        <m:sSub>
                          <m:sSubPr>
                            <m:ctrlPr>
                              <w:rPr>
                                <w:rFonts w:ascii="Cambria Math" w:eastAsia="Calibri" w:hAnsi="Cambria Math" w:cs="Arial"/>
                                <w:i/>
                                <w:sz w:val="18"/>
                                <w:szCs w:val="18"/>
                              </w:rPr>
                            </m:ctrlPr>
                          </m:sSubPr>
                          <m:e>
                            <m:r>
                              <w:rPr>
                                <w:rFonts w:ascii="Cambria Math" w:eastAsia="Calibri" w:hAnsi="Cambria Math" w:cs="Arial"/>
                                <w:sz w:val="18"/>
                                <w:szCs w:val="18"/>
                              </w:rPr>
                              <m:t>AMS_CET</m:t>
                            </m:r>
                          </m:e>
                          <m:sub>
                            <m:r>
                              <w:rPr>
                                <w:rFonts w:ascii="Cambria Math" w:eastAsia="Calibri" w:hAnsi="Cambria Math" w:cs="Arial"/>
                                <w:sz w:val="18"/>
                                <w:szCs w:val="18"/>
                              </w:rPr>
                              <m:t>c,w,u,r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AMS</m:t>
                            </m:r>
                          </m:e>
                          <m:sub>
                            <m:r>
                              <w:rPr>
                                <w:rFonts w:ascii="Cambria Math" w:eastAsia="Calibri" w:hAnsi="Cambria Math" w:cs="Arial"/>
                                <w:sz w:val="18"/>
                                <w:szCs w:val="18"/>
                              </w:rPr>
                              <m:t>c,w,u,r</m:t>
                            </m:r>
                          </m:sub>
                        </m:sSub>
                        <m:r>
                          <w:rPr>
                            <w:rFonts w:ascii="Cambria Math" w:eastAsia="Calibri" w:hAnsi="Cambria Math" w:cs="Arial"/>
                            <w:sz w:val="18"/>
                            <w:szCs w:val="18"/>
                          </w:rPr>
                          <m:t xml:space="preserve">                         ∀ map_w_r</m:t>
                        </m:r>
                      </m:oMath>
                      <w:r w:rsidRPr="00B958C8">
                        <w:rPr>
                          <w:rFonts w:ascii="Arial" w:hAnsi="Arial" w:cs="Arial"/>
                          <w:color w:val="595959" w:themeColor="text1" w:themeTint="A6"/>
                          <w:kern w:val="24"/>
                        </w:rPr>
                        <w:tab/>
                      </w:r>
                      <w:r>
                        <w:rPr>
                          <w:rFonts w:ascii="Arial" w:hAnsi="Arial" w:cs="Arial"/>
                          <w:color w:val="595959" w:themeColor="text1" w:themeTint="A6"/>
                          <w:kern w:val="24"/>
                        </w:rPr>
                        <w:t>(2)</w:t>
                      </w:r>
                      <w:r w:rsidRPr="00B958C8" w:rsidDel="00D72008">
                        <w:rPr>
                          <w:rFonts w:ascii="Arial" w:hAnsi="Arial" w:cs="Arial"/>
                          <w:color w:val="595959" w:themeColor="text1" w:themeTint="A6"/>
                          <w:kern w:val="24"/>
                        </w:rPr>
                        <w:t xml:space="preserve"> </w:t>
                      </w:r>
                    </w:p>
                  </w:txbxContent>
                </v:textbox>
                <w10:wrap type="topAndBottom" anchorx="page"/>
              </v:rect>
            </w:pict>
          </mc:Fallback>
        </mc:AlternateContent>
      </w:r>
      <w:r w:rsidR="00E84D2C">
        <w:t xml:space="preserve">The Constant Elasticity of Transformation (CET) allows firms to differentiate prices across export markets. A reduction of the iceberg cost reduces the amount of export quantity required to meet the demand for a particular market. </w:t>
      </w:r>
      <w:r w:rsidR="008E6C46">
        <w:t>Thus, t</w:t>
      </w:r>
      <w:r w:rsidR="00E84D2C">
        <w:t>he iceberg parameter is also introduced at the second level of the CET nest.</w:t>
      </w:r>
    </w:p>
    <w:p w14:paraId="1D7D69D6" w14:textId="3CC28248" w:rsidR="00ED03A8" w:rsidRDefault="00F131FD" w:rsidP="00ED03A8">
      <w:r>
        <w:t>While applying a reduction in NTMs in the Armington nest allows for the capture of price effects at the border, it does not fully capture the cos</w:t>
      </w:r>
      <w:r w:rsidR="002267B0">
        <w:t>t effects such reducitons have for</w:t>
      </w:r>
      <w:r>
        <w:t xml:space="preserve"> suppliers. In addition, it assumes that all benefits of improved efficiency are reaped by the importing market. To account more deliberately fo</w:t>
      </w:r>
      <w:r w:rsidR="002267B0">
        <w:t>r</w:t>
      </w:r>
      <w:r>
        <w:t xml:space="preserve"> the costs savings to both importers and exporters, as well as for the productivity gains of improved efficiency in streamlined regualtions, the AVEs developed from the price effects of NTMs have been spread across the </w:t>
      </w:r>
      <w:r w:rsidR="00B73666">
        <w:t xml:space="preserve">importer costs through a reduction in import through the </w:t>
      </w:r>
      <w:r w:rsidR="00B73666" w:rsidRPr="00B73666">
        <w:rPr>
          <w:i/>
        </w:rPr>
        <w:t>tm</w:t>
      </w:r>
      <w:r w:rsidR="00B73666">
        <w:t xml:space="preserve"> variable which measures the ad valorem tariff rates on imported commodities and to capture potential gaisn to exporters, we also shocked the </w:t>
      </w:r>
      <w:r w:rsidR="00B73666" w:rsidRPr="00B73666">
        <w:rPr>
          <w:i/>
        </w:rPr>
        <w:t xml:space="preserve">te </w:t>
      </w:r>
      <w:r w:rsidR="00B73666">
        <w:t>valriable, which measures the export taxes on exported commodities. Together, these three variables make up the shock to costs associated with AVEs.</w:t>
      </w:r>
    </w:p>
    <w:p w14:paraId="003F3A18" w14:textId="28D2CE1A" w:rsidR="002267B0" w:rsidRDefault="002267B0" w:rsidP="00ED03A8"/>
    <w:p w14:paraId="6B8BF282" w14:textId="360F4074" w:rsidR="00ED03A8" w:rsidRDefault="001C3CCD" w:rsidP="00ED03A8">
      <w:r w:rsidRPr="00B958C8">
        <w:rPr>
          <w:noProof/>
          <w:sz w:val="24"/>
          <w:szCs w:val="24"/>
          <w:lang w:eastAsia="en-GB"/>
        </w:rPr>
        <mc:AlternateContent>
          <mc:Choice Requires="wps">
            <w:drawing>
              <wp:anchor distT="0" distB="0" distL="114300" distR="114300" simplePos="0" relativeHeight="251662336" behindDoc="0" locked="0" layoutInCell="1" allowOverlap="1" wp14:anchorId="4EAEA2DD" wp14:editId="79688870">
                <wp:simplePos x="0" y="0"/>
                <wp:positionH relativeFrom="page">
                  <wp:align>center</wp:align>
                </wp:positionH>
                <wp:positionV relativeFrom="paragraph">
                  <wp:posOffset>662178</wp:posOffset>
                </wp:positionV>
                <wp:extent cx="6010275" cy="342900"/>
                <wp:effectExtent l="0" t="0" r="0" b="0"/>
                <wp:wrapTopAndBottom/>
                <wp:docPr id="13" name="Conten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10275" cy="342900"/>
                        </a:xfrm>
                        <a:prstGeom prst="rect">
                          <a:avLst/>
                        </a:prstGeom>
                      </wps:spPr>
                      <wps:txbx>
                        <w:txbxContent>
                          <w:p w14:paraId="7A0E47D2" w14:textId="56801CA0" w:rsidR="00617C40" w:rsidRDefault="00057237" w:rsidP="00E251C1">
                            <w:pPr>
                              <w:tabs>
                                <w:tab w:val="left" w:pos="8080"/>
                              </w:tabs>
                            </w:pPr>
                            <m:oMath>
                              <m:sSub>
                                <m:sSubPr>
                                  <m:ctrlPr>
                                    <w:rPr>
                                      <w:rFonts w:ascii="Cambria Math" w:eastAsia="Calibri" w:hAnsi="Cambria Math" w:cs="Arial"/>
                                      <w:i/>
                                      <w:sz w:val="18"/>
                                      <w:szCs w:val="18"/>
                                    </w:rPr>
                                  </m:ctrlPr>
                                </m:sSubPr>
                                <m:e>
                                  <m:r>
                                    <w:rPr>
                                      <w:rFonts w:ascii="Cambria Math" w:eastAsia="Calibri" w:hAnsi="Cambria Math" w:cs="Arial"/>
                                      <w:sz w:val="18"/>
                                      <w:szCs w:val="18"/>
                                    </w:rPr>
                                    <m:t>PER</m:t>
                                  </m:r>
                                </m:e>
                                <m:sub>
                                  <m:r>
                                    <w:rPr>
                                      <w:rFonts w:ascii="Cambria Math" w:eastAsia="Calibri" w:hAnsi="Cambria Math" w:cs="Arial"/>
                                      <w:sz w:val="18"/>
                                      <w:szCs w:val="18"/>
                                    </w:rPr>
                                    <m:t>c,u,w,r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PWE</m:t>
                                  </m:r>
                                </m:e>
                                <m:sub>
                                  <m:r>
                                    <w:rPr>
                                      <w:rFonts w:ascii="Cambria Math" w:eastAsia="Calibri" w:hAnsi="Cambria Math" w:cs="Arial"/>
                                      <w:sz w:val="18"/>
                                      <w:szCs w:val="18"/>
                                    </w:rPr>
                                    <m:t>c,u,w,r</m:t>
                                  </m:r>
                                </m:sub>
                              </m:sSub>
                              <m:r>
                                <w:rPr>
                                  <w:rFonts w:ascii="Cambria Math" w:eastAsia="Calibri" w:hAnsi="Cambria Math" w:cs="Arial"/>
                                  <w:sz w:val="18"/>
                                  <w:szCs w:val="18"/>
                                </w:rPr>
                                <m:t>*</m:t>
                              </m:r>
                              <m:d>
                                <m:dPr>
                                  <m:ctrlPr>
                                    <w:rPr>
                                      <w:rFonts w:ascii="Cambria Math" w:eastAsia="Calibri" w:hAnsi="Cambria Math" w:cs="Arial"/>
                                      <w:i/>
                                      <w:sz w:val="18"/>
                                      <w:szCs w:val="18"/>
                                    </w:rPr>
                                  </m:ctrlPr>
                                </m:dPr>
                                <m:e>
                                  <m:r>
                                    <w:rPr>
                                      <w:rFonts w:ascii="Cambria Math" w:eastAsia="Calibri" w:hAnsi="Cambria Math" w:cs="Arial"/>
                                      <w:sz w:val="18"/>
                                      <w:szCs w:val="18"/>
                                    </w:rPr>
                                    <m:t>1-</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TE</m:t>
                                      </m:r>
                                    </m:e>
                                    <m:sub>
                                      <m:r>
                                        <w:rPr>
                                          <w:rFonts w:ascii="Cambria Math" w:eastAsia="Calibri" w:hAnsi="Cambria Math" w:cs="Arial"/>
                                          <w:color w:val="FF0000"/>
                                          <w:sz w:val="18"/>
                                          <w:szCs w:val="18"/>
                                        </w:rPr>
                                        <m:t>c,u,w,r</m:t>
                                      </m:r>
                                    </m:sub>
                                  </m:sSub>
                                </m:e>
                              </m:d>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ER</m:t>
                                  </m:r>
                                </m:e>
                                <m:sub>
                                  <m:r>
                                    <w:rPr>
                                      <w:rFonts w:ascii="Cambria Math" w:eastAsia="Calibri" w:hAnsi="Cambria Math" w:cs="Arial"/>
                                      <w:sz w:val="18"/>
                                      <w:szCs w:val="18"/>
                                    </w:rPr>
                                    <m:t>r</m:t>
                                  </m:r>
                                </m:sub>
                              </m:sSub>
                            </m:oMath>
                            <w:r w:rsidR="00617C40" w:rsidRPr="00B958C8">
                              <w:rPr>
                                <w:rFonts w:ascii="Arial" w:hAnsi="Arial" w:cs="Arial"/>
                                <w:color w:val="595959" w:themeColor="text1" w:themeTint="A6"/>
                                <w:kern w:val="24"/>
                              </w:rPr>
                              <w:tab/>
                            </w:r>
                            <w:r w:rsidR="00617C40">
                              <w:rPr>
                                <w:rFonts w:ascii="Arial" w:hAnsi="Arial" w:cs="Arial"/>
                                <w:color w:val="595959" w:themeColor="text1" w:themeTint="A6"/>
                                <w:kern w:val="24"/>
                              </w:rPr>
                              <w:t>(4)</w:t>
                            </w:r>
                            <w:r w:rsidR="00617C40" w:rsidRPr="00B958C8" w:rsidDel="00D72008">
                              <w:rPr>
                                <w:rFonts w:ascii="Arial" w:hAnsi="Arial" w:cs="Arial"/>
                                <w:color w:val="595959" w:themeColor="text1" w:themeTint="A6"/>
                                <w:kern w:val="2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AEA2DD" id="_x0000_s1028" style="position:absolute;left:0;text-align:left;margin-left:0;margin-top:52.15pt;width:473.25pt;height:27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" filled="f" stroked="f">
                <v:path arrowok="t"/>
                <o:lock v:ext="edit" grouping="t"/>
                <v:textbox>
                  <w:txbxContent>
                    <w:p w14:paraId="7A0E47D2" w14:textId="56801CA0" w:rsidR="00617C40" w:rsidRDefault="00057237" w:rsidP="00E251C1">
                      <w:pPr>
                        <w:tabs>
                          <w:tab w:val="left" w:pos="8080"/>
                        </w:tabs>
                      </w:pPr>
                      <m:oMath>
                        <m:sSub>
                          <m:sSubPr>
                            <m:ctrlPr>
                              <w:rPr>
                                <w:rFonts w:ascii="Cambria Math" w:eastAsia="Calibri" w:hAnsi="Cambria Math" w:cs="Arial"/>
                                <w:i/>
                                <w:sz w:val="18"/>
                                <w:szCs w:val="18"/>
                              </w:rPr>
                            </m:ctrlPr>
                          </m:sSubPr>
                          <m:e>
                            <m:r>
                              <w:rPr>
                                <w:rFonts w:ascii="Cambria Math" w:eastAsia="Calibri" w:hAnsi="Cambria Math" w:cs="Arial"/>
                                <w:sz w:val="18"/>
                                <w:szCs w:val="18"/>
                              </w:rPr>
                              <m:t>PER</m:t>
                            </m:r>
                          </m:e>
                          <m:sub>
                            <m:r>
                              <w:rPr>
                                <w:rFonts w:ascii="Cambria Math" w:eastAsia="Calibri" w:hAnsi="Cambria Math" w:cs="Arial"/>
                                <w:sz w:val="18"/>
                                <w:szCs w:val="18"/>
                              </w:rPr>
                              <m:t>c,u,w,r</m:t>
                            </m:r>
                          </m:sub>
                        </m:sSub>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PWE</m:t>
                            </m:r>
                          </m:e>
                          <m:sub>
                            <m:r>
                              <w:rPr>
                                <w:rFonts w:ascii="Cambria Math" w:eastAsia="Calibri" w:hAnsi="Cambria Math" w:cs="Arial"/>
                                <w:sz w:val="18"/>
                                <w:szCs w:val="18"/>
                              </w:rPr>
                              <m:t>c,u,w,r</m:t>
                            </m:r>
                          </m:sub>
                        </m:sSub>
                        <m:r>
                          <w:rPr>
                            <w:rFonts w:ascii="Cambria Math" w:eastAsia="Calibri" w:hAnsi="Cambria Math" w:cs="Arial"/>
                            <w:sz w:val="18"/>
                            <w:szCs w:val="18"/>
                          </w:rPr>
                          <m:t>*</m:t>
                        </m:r>
                        <m:d>
                          <m:dPr>
                            <m:ctrlPr>
                              <w:rPr>
                                <w:rFonts w:ascii="Cambria Math" w:eastAsia="Calibri" w:hAnsi="Cambria Math" w:cs="Arial"/>
                                <w:i/>
                                <w:sz w:val="18"/>
                                <w:szCs w:val="18"/>
                              </w:rPr>
                            </m:ctrlPr>
                          </m:dPr>
                          <m:e>
                            <m:r>
                              <w:rPr>
                                <w:rFonts w:ascii="Cambria Math" w:eastAsia="Calibri" w:hAnsi="Cambria Math" w:cs="Arial"/>
                                <w:sz w:val="18"/>
                                <w:szCs w:val="18"/>
                              </w:rPr>
                              <m:t>1-</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TE</m:t>
                                </m:r>
                              </m:e>
                              <m:sub>
                                <m:r>
                                  <w:rPr>
                                    <w:rFonts w:ascii="Cambria Math" w:eastAsia="Calibri" w:hAnsi="Cambria Math" w:cs="Arial"/>
                                    <w:color w:val="FF0000"/>
                                    <w:sz w:val="18"/>
                                    <w:szCs w:val="18"/>
                                  </w:rPr>
                                  <m:t>c,u,w,r</m:t>
                                </m:r>
                              </m:sub>
                            </m:sSub>
                          </m:e>
                        </m:d>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ER</m:t>
                            </m:r>
                          </m:e>
                          <m:sub>
                            <m:r>
                              <w:rPr>
                                <w:rFonts w:ascii="Cambria Math" w:eastAsia="Calibri" w:hAnsi="Cambria Math" w:cs="Arial"/>
                                <w:sz w:val="18"/>
                                <w:szCs w:val="18"/>
                              </w:rPr>
                              <m:t>r</m:t>
                            </m:r>
                          </m:sub>
                        </m:sSub>
                      </m:oMath>
                      <w:r w:rsidR="00617C40" w:rsidRPr="00B958C8">
                        <w:rPr>
                          <w:rFonts w:ascii="Arial" w:hAnsi="Arial" w:cs="Arial"/>
                          <w:color w:val="595959" w:themeColor="text1" w:themeTint="A6"/>
                          <w:kern w:val="24"/>
                        </w:rPr>
                        <w:tab/>
                      </w:r>
                      <w:r w:rsidR="00617C40">
                        <w:rPr>
                          <w:rFonts w:ascii="Arial" w:hAnsi="Arial" w:cs="Arial"/>
                          <w:color w:val="595959" w:themeColor="text1" w:themeTint="A6"/>
                          <w:kern w:val="24"/>
                        </w:rPr>
                        <w:t>(4)</w:t>
                      </w:r>
                      <w:r w:rsidR="00617C40" w:rsidRPr="00B958C8" w:rsidDel="00D72008">
                        <w:rPr>
                          <w:rFonts w:ascii="Arial" w:hAnsi="Arial" w:cs="Arial"/>
                          <w:color w:val="595959" w:themeColor="text1" w:themeTint="A6"/>
                          <w:kern w:val="24"/>
                        </w:rPr>
                        <w:t xml:space="preserve"> </w:t>
                      </w:r>
                    </w:p>
                  </w:txbxContent>
                </v:textbox>
                <w10:wrap type="topAndBottom" anchorx="page"/>
              </v:rect>
            </w:pict>
          </mc:Fallback>
        </mc:AlternateContent>
      </w:r>
      <w:r w:rsidRPr="00B958C8">
        <w:rPr>
          <w:noProof/>
          <w:sz w:val="24"/>
          <w:szCs w:val="24"/>
          <w:lang w:eastAsia="en-GB"/>
        </w:rPr>
        <mc:AlternateContent>
          <mc:Choice Requires="wps">
            <w:drawing>
              <wp:anchor distT="0" distB="0" distL="114300" distR="114300" simplePos="0" relativeHeight="251659264" behindDoc="0" locked="0" layoutInCell="1" allowOverlap="1" wp14:anchorId="08FA5B4D" wp14:editId="080830DF">
                <wp:simplePos x="0" y="0"/>
                <wp:positionH relativeFrom="margin">
                  <wp:posOffset>-14630</wp:posOffset>
                </wp:positionH>
                <wp:positionV relativeFrom="paragraph">
                  <wp:posOffset>281711</wp:posOffset>
                </wp:positionV>
                <wp:extent cx="6010275" cy="342900"/>
                <wp:effectExtent l="0" t="0" r="0" b="0"/>
                <wp:wrapTopAndBottom/>
                <wp:docPr id="3" name="Conten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10275" cy="342900"/>
                        </a:xfrm>
                        <a:prstGeom prst="rect">
                          <a:avLst/>
                        </a:prstGeom>
                      </wps:spPr>
                      <wps:txbx>
                        <w:txbxContent>
                          <w:p w14:paraId="4E9F9020" w14:textId="0BD6F853" w:rsidR="00617C40" w:rsidRDefault="00057237" w:rsidP="00E251C1">
                            <w:pPr>
                              <w:tabs>
                                <w:tab w:val="left" w:pos="8080"/>
                              </w:tabs>
                            </w:pPr>
                            <m:oMath>
                              <m:sSub>
                                <m:sSubPr>
                                  <m:ctrlPr>
                                    <w:rPr>
                                      <w:rFonts w:ascii="Cambria Math" w:eastAsia="Calibri" w:hAnsi="Cambria Math" w:cs="Arial"/>
                                      <w:i/>
                                      <w:sz w:val="18"/>
                                      <w:szCs w:val="18"/>
                                    </w:rPr>
                                  </m:ctrlPr>
                                </m:sSubPr>
                                <m:e>
                                  <m:r>
                                    <w:rPr>
                                      <w:rFonts w:ascii="Cambria Math" w:eastAsia="Calibri" w:hAnsi="Cambria Math" w:cs="Arial"/>
                                      <w:sz w:val="18"/>
                                      <w:szCs w:val="18"/>
                                    </w:rPr>
                                    <m:t>PMR</m:t>
                                  </m:r>
                                </m:e>
                                <m:sub>
                                  <m:r>
                                    <w:rPr>
                                      <w:rFonts w:ascii="Cambria Math" w:eastAsia="Calibri" w:hAnsi="Cambria Math" w:cs="Arial"/>
                                      <w:sz w:val="18"/>
                                      <w:szCs w:val="18"/>
                                    </w:rPr>
                                    <m:t>w,c,u,r</m:t>
                                  </m:r>
                                </m:sub>
                              </m:sSub>
                              <m:r>
                                <w:rPr>
                                  <w:rFonts w:ascii="Cambria Math" w:eastAsia="Calibri" w:hAnsi="Cambria Math" w:cs="Arial"/>
                                  <w:sz w:val="18"/>
                                  <w:szCs w:val="18"/>
                                </w:rPr>
                                <m:t>=</m:t>
                              </m:r>
                              <m:d>
                                <m:dPr>
                                  <m:ctrlPr>
                                    <w:rPr>
                                      <w:rFonts w:ascii="Cambria Math" w:eastAsia="Calibri" w:hAnsi="Cambria Math" w:cs="Arial"/>
                                      <w:i/>
                                      <w:sz w:val="18"/>
                                      <w:szCs w:val="18"/>
                                    </w:rPr>
                                  </m:ctrlPr>
                                </m:dPr>
                                <m:e>
                                  <m:sSub>
                                    <m:sSubPr>
                                      <m:ctrlPr>
                                        <w:rPr>
                                          <w:rFonts w:ascii="Cambria Math" w:eastAsia="Calibri" w:hAnsi="Cambria Math" w:cs="Arial"/>
                                          <w:i/>
                                          <w:sz w:val="18"/>
                                          <w:szCs w:val="18"/>
                                        </w:rPr>
                                      </m:ctrlPr>
                                    </m:sSubPr>
                                    <m:e>
                                      <m:r>
                                        <w:rPr>
                                          <w:rFonts w:ascii="Cambria Math" w:eastAsia="Calibri" w:hAnsi="Cambria Math" w:cs="Arial"/>
                                          <w:sz w:val="18"/>
                                          <w:szCs w:val="18"/>
                                        </w:rPr>
                                        <m:t>PWM</m:t>
                                      </m:r>
                                    </m:e>
                                    <m:sub>
                                      <m:r>
                                        <w:rPr>
                                          <w:rFonts w:ascii="Cambria Math" w:eastAsia="Calibri" w:hAnsi="Cambria Math" w:cs="Arial"/>
                                          <w:sz w:val="18"/>
                                          <w:szCs w:val="18"/>
                                        </w:rPr>
                                        <m:t>w,c,u,r</m:t>
                                      </m:r>
                                    </m:sub>
                                  </m:sSub>
                                  <m:r>
                                    <w:rPr>
                                      <w:rFonts w:ascii="Cambria Math" w:eastAsia="Calibri" w:hAnsi="Cambria Math" w:cs="Arial"/>
                                      <w:sz w:val="18"/>
                                      <w:szCs w:val="18"/>
                                    </w:rPr>
                                    <m:t>*</m:t>
                                  </m:r>
                                  <m:d>
                                    <m:dPr>
                                      <m:ctrlPr>
                                        <w:rPr>
                                          <w:rFonts w:ascii="Cambria Math" w:eastAsia="Calibri" w:hAnsi="Cambria Math" w:cs="Arial"/>
                                          <w:i/>
                                          <w:sz w:val="18"/>
                                          <w:szCs w:val="18"/>
                                        </w:rPr>
                                      </m:ctrlPr>
                                    </m:dPr>
                                    <m:e>
                                      <m:r>
                                        <w:rPr>
                                          <w:rFonts w:ascii="Cambria Math" w:eastAsia="Calibri" w:hAnsi="Cambria Math" w:cs="Arial"/>
                                          <w:sz w:val="18"/>
                                          <w:szCs w:val="18"/>
                                        </w:rPr>
                                        <m:t>1+</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TM</m:t>
                                          </m:r>
                                        </m:e>
                                        <m:sub>
                                          <m:r>
                                            <w:rPr>
                                              <w:rFonts w:ascii="Cambria Math" w:eastAsia="Calibri" w:hAnsi="Cambria Math" w:cs="Arial"/>
                                              <w:color w:val="FF0000"/>
                                              <w:sz w:val="18"/>
                                              <w:szCs w:val="18"/>
                                            </w:rPr>
                                            <m:t>w,c,u,r</m:t>
                                          </m:r>
                                        </m:sub>
                                      </m:sSub>
                                    </m:e>
                                  </m:d>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TMS</m:t>
                                      </m:r>
                                    </m:e>
                                    <m:sub>
                                      <m:r>
                                        <w:rPr>
                                          <w:rFonts w:ascii="Cambria Math" w:eastAsia="Calibri" w:hAnsi="Cambria Math" w:cs="Arial"/>
                                          <w:sz w:val="18"/>
                                          <w:szCs w:val="18"/>
                                        </w:rPr>
                                        <m:t>w,c,u,r</m:t>
                                      </m:r>
                                    </m:sub>
                                  </m:sSub>
                                </m:e>
                              </m:d>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ER</m:t>
                                  </m:r>
                                </m:e>
                                <m:sub>
                                  <m:r>
                                    <w:rPr>
                                      <w:rFonts w:ascii="Cambria Math" w:eastAsia="Calibri" w:hAnsi="Cambria Math" w:cs="Arial"/>
                                      <w:sz w:val="18"/>
                                      <w:szCs w:val="18"/>
                                    </w:rPr>
                                    <m:t>r</m:t>
                                  </m:r>
                                </m:sub>
                              </m:sSub>
                            </m:oMath>
                            <w:r w:rsidR="00617C40" w:rsidRPr="00B958C8">
                              <w:rPr>
                                <w:rFonts w:ascii="Arial" w:hAnsi="Arial" w:cs="Arial"/>
                                <w:color w:val="595959" w:themeColor="text1" w:themeTint="A6"/>
                                <w:kern w:val="24"/>
                              </w:rPr>
                              <w:tab/>
                            </w:r>
                            <w:r w:rsidR="00617C40">
                              <w:rPr>
                                <w:rFonts w:ascii="Arial" w:hAnsi="Arial" w:cs="Arial"/>
                                <w:color w:val="595959" w:themeColor="text1" w:themeTint="A6"/>
                                <w:kern w:val="24"/>
                              </w:rPr>
                              <w:t>(3)</w:t>
                            </w:r>
                            <w:r w:rsidR="00617C40" w:rsidRPr="00B958C8" w:rsidDel="00D72008">
                              <w:rPr>
                                <w:rFonts w:ascii="Arial" w:hAnsi="Arial" w:cs="Arial"/>
                                <w:color w:val="595959" w:themeColor="text1" w:themeTint="A6"/>
                                <w:kern w:val="2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8FA5B4D" id="_x0000_s1029" style="position:absolute;left:0;text-align:left;margin-left:-1.15pt;margin-top:22.2pt;width:473.25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" filled="f" stroked="f">
                <v:path arrowok="t"/>
                <o:lock v:ext="edit" grouping="t"/>
                <v:textbox>
                  <w:txbxContent>
                    <w:p w14:paraId="4E9F9020" w14:textId="0BD6F853" w:rsidR="00617C40" w:rsidRDefault="00057237" w:rsidP="00E251C1">
                      <w:pPr>
                        <w:tabs>
                          <w:tab w:val="left" w:pos="8080"/>
                        </w:tabs>
                      </w:pPr>
                      <m:oMath>
                        <m:sSub>
                          <m:sSubPr>
                            <m:ctrlPr>
                              <w:rPr>
                                <w:rFonts w:ascii="Cambria Math" w:eastAsia="Calibri" w:hAnsi="Cambria Math" w:cs="Arial"/>
                                <w:i/>
                                <w:sz w:val="18"/>
                                <w:szCs w:val="18"/>
                              </w:rPr>
                            </m:ctrlPr>
                          </m:sSubPr>
                          <m:e>
                            <m:r>
                              <w:rPr>
                                <w:rFonts w:ascii="Cambria Math" w:eastAsia="Calibri" w:hAnsi="Cambria Math" w:cs="Arial"/>
                                <w:sz w:val="18"/>
                                <w:szCs w:val="18"/>
                              </w:rPr>
                              <m:t>PMR</m:t>
                            </m:r>
                          </m:e>
                          <m:sub>
                            <m:r>
                              <w:rPr>
                                <w:rFonts w:ascii="Cambria Math" w:eastAsia="Calibri" w:hAnsi="Cambria Math" w:cs="Arial"/>
                                <w:sz w:val="18"/>
                                <w:szCs w:val="18"/>
                              </w:rPr>
                              <m:t>w,c,u,r</m:t>
                            </m:r>
                          </m:sub>
                        </m:sSub>
                        <m:r>
                          <w:rPr>
                            <w:rFonts w:ascii="Cambria Math" w:eastAsia="Calibri" w:hAnsi="Cambria Math" w:cs="Arial"/>
                            <w:sz w:val="18"/>
                            <w:szCs w:val="18"/>
                          </w:rPr>
                          <m:t>=</m:t>
                        </m:r>
                        <m:d>
                          <m:dPr>
                            <m:ctrlPr>
                              <w:rPr>
                                <w:rFonts w:ascii="Cambria Math" w:eastAsia="Calibri" w:hAnsi="Cambria Math" w:cs="Arial"/>
                                <w:i/>
                                <w:sz w:val="18"/>
                                <w:szCs w:val="18"/>
                              </w:rPr>
                            </m:ctrlPr>
                          </m:dPr>
                          <m:e>
                            <m:sSub>
                              <m:sSubPr>
                                <m:ctrlPr>
                                  <w:rPr>
                                    <w:rFonts w:ascii="Cambria Math" w:eastAsia="Calibri" w:hAnsi="Cambria Math" w:cs="Arial"/>
                                    <w:i/>
                                    <w:sz w:val="18"/>
                                    <w:szCs w:val="18"/>
                                  </w:rPr>
                                </m:ctrlPr>
                              </m:sSubPr>
                              <m:e>
                                <m:r>
                                  <w:rPr>
                                    <w:rFonts w:ascii="Cambria Math" w:eastAsia="Calibri" w:hAnsi="Cambria Math" w:cs="Arial"/>
                                    <w:sz w:val="18"/>
                                    <w:szCs w:val="18"/>
                                  </w:rPr>
                                  <m:t>PWM</m:t>
                                </m:r>
                              </m:e>
                              <m:sub>
                                <m:r>
                                  <w:rPr>
                                    <w:rFonts w:ascii="Cambria Math" w:eastAsia="Calibri" w:hAnsi="Cambria Math" w:cs="Arial"/>
                                    <w:sz w:val="18"/>
                                    <w:szCs w:val="18"/>
                                  </w:rPr>
                                  <m:t>w,c,u,r</m:t>
                                </m:r>
                              </m:sub>
                            </m:sSub>
                            <m:r>
                              <w:rPr>
                                <w:rFonts w:ascii="Cambria Math" w:eastAsia="Calibri" w:hAnsi="Cambria Math" w:cs="Arial"/>
                                <w:sz w:val="18"/>
                                <w:szCs w:val="18"/>
                              </w:rPr>
                              <m:t>*</m:t>
                            </m:r>
                            <m:d>
                              <m:dPr>
                                <m:ctrlPr>
                                  <w:rPr>
                                    <w:rFonts w:ascii="Cambria Math" w:eastAsia="Calibri" w:hAnsi="Cambria Math" w:cs="Arial"/>
                                    <w:i/>
                                    <w:sz w:val="18"/>
                                    <w:szCs w:val="18"/>
                                  </w:rPr>
                                </m:ctrlPr>
                              </m:dPr>
                              <m:e>
                                <m:r>
                                  <w:rPr>
                                    <w:rFonts w:ascii="Cambria Math" w:eastAsia="Calibri" w:hAnsi="Cambria Math" w:cs="Arial"/>
                                    <w:sz w:val="18"/>
                                    <w:szCs w:val="18"/>
                                  </w:rPr>
                                  <m:t>1+</m:t>
                                </m:r>
                                <m:sSub>
                                  <m:sSubPr>
                                    <m:ctrlPr>
                                      <w:rPr>
                                        <w:rFonts w:ascii="Cambria Math" w:eastAsia="Calibri" w:hAnsi="Cambria Math" w:cs="Arial"/>
                                        <w:i/>
                                        <w:color w:val="FF0000"/>
                                        <w:sz w:val="18"/>
                                        <w:szCs w:val="18"/>
                                      </w:rPr>
                                    </m:ctrlPr>
                                  </m:sSubPr>
                                  <m:e>
                                    <m:r>
                                      <w:rPr>
                                        <w:rFonts w:ascii="Cambria Math" w:eastAsia="Calibri" w:hAnsi="Cambria Math" w:cs="Arial"/>
                                        <w:color w:val="FF0000"/>
                                        <w:sz w:val="18"/>
                                        <w:szCs w:val="18"/>
                                      </w:rPr>
                                      <m:t>TM</m:t>
                                    </m:r>
                                  </m:e>
                                  <m:sub>
                                    <m:r>
                                      <w:rPr>
                                        <w:rFonts w:ascii="Cambria Math" w:eastAsia="Calibri" w:hAnsi="Cambria Math" w:cs="Arial"/>
                                        <w:color w:val="FF0000"/>
                                        <w:sz w:val="18"/>
                                        <w:szCs w:val="18"/>
                                      </w:rPr>
                                      <m:t>w,c,u,r</m:t>
                                    </m:r>
                                  </m:sub>
                                </m:sSub>
                              </m:e>
                            </m:d>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TMS</m:t>
                                </m:r>
                              </m:e>
                              <m:sub>
                                <m:r>
                                  <w:rPr>
                                    <w:rFonts w:ascii="Cambria Math" w:eastAsia="Calibri" w:hAnsi="Cambria Math" w:cs="Arial"/>
                                    <w:sz w:val="18"/>
                                    <w:szCs w:val="18"/>
                                  </w:rPr>
                                  <m:t>w,c,u,r</m:t>
                                </m:r>
                              </m:sub>
                            </m:sSub>
                          </m:e>
                        </m:d>
                        <m:r>
                          <w:rPr>
                            <w:rFonts w:ascii="Cambria Math" w:eastAsia="Calibri" w:hAnsi="Cambria Math" w:cs="Arial"/>
                            <w:sz w:val="18"/>
                            <w:szCs w:val="18"/>
                          </w:rPr>
                          <m:t>*</m:t>
                        </m:r>
                        <m:sSub>
                          <m:sSubPr>
                            <m:ctrlPr>
                              <w:rPr>
                                <w:rFonts w:ascii="Cambria Math" w:eastAsia="Calibri" w:hAnsi="Cambria Math" w:cs="Arial"/>
                                <w:i/>
                                <w:sz w:val="18"/>
                                <w:szCs w:val="18"/>
                              </w:rPr>
                            </m:ctrlPr>
                          </m:sSubPr>
                          <m:e>
                            <m:r>
                              <w:rPr>
                                <w:rFonts w:ascii="Cambria Math" w:eastAsia="Calibri" w:hAnsi="Cambria Math" w:cs="Arial"/>
                                <w:sz w:val="18"/>
                                <w:szCs w:val="18"/>
                              </w:rPr>
                              <m:t>ER</m:t>
                            </m:r>
                          </m:e>
                          <m:sub>
                            <m:r>
                              <w:rPr>
                                <w:rFonts w:ascii="Cambria Math" w:eastAsia="Calibri" w:hAnsi="Cambria Math" w:cs="Arial"/>
                                <w:sz w:val="18"/>
                                <w:szCs w:val="18"/>
                              </w:rPr>
                              <m:t>r</m:t>
                            </m:r>
                          </m:sub>
                        </m:sSub>
                      </m:oMath>
                      <w:r w:rsidR="00617C40" w:rsidRPr="00B958C8">
                        <w:rPr>
                          <w:rFonts w:ascii="Arial" w:hAnsi="Arial" w:cs="Arial"/>
                          <w:color w:val="595959" w:themeColor="text1" w:themeTint="A6"/>
                          <w:kern w:val="24"/>
                        </w:rPr>
                        <w:tab/>
                      </w:r>
                      <w:r w:rsidR="00617C40">
                        <w:rPr>
                          <w:rFonts w:ascii="Arial" w:hAnsi="Arial" w:cs="Arial"/>
                          <w:color w:val="595959" w:themeColor="text1" w:themeTint="A6"/>
                          <w:kern w:val="24"/>
                        </w:rPr>
                        <w:t>(3)</w:t>
                      </w:r>
                      <w:r w:rsidR="00617C40" w:rsidRPr="00B958C8" w:rsidDel="00D72008">
                        <w:rPr>
                          <w:rFonts w:ascii="Arial" w:hAnsi="Arial" w:cs="Arial"/>
                          <w:color w:val="595959" w:themeColor="text1" w:themeTint="A6"/>
                          <w:kern w:val="24"/>
                        </w:rPr>
                        <w:t xml:space="preserve"> </w:t>
                      </w:r>
                    </w:p>
                  </w:txbxContent>
                </v:textbox>
                <w10:wrap type="topAndBottom" anchorx="margin"/>
              </v:rect>
            </w:pict>
          </mc:Fallback>
        </mc:AlternateContent>
      </w:r>
    </w:p>
    <w:p w14:paraId="0539E01F" w14:textId="6BA32601" w:rsidR="00ED03A8" w:rsidRDefault="00ED03A8" w:rsidP="00ED03A8"/>
    <w:p w14:paraId="20511196" w14:textId="366AAABF" w:rsidR="00ED03A8" w:rsidRDefault="00B95442" w:rsidP="00ED03A8">
      <w:r>
        <w:rPr>
          <w:highlight w:val="yellow"/>
        </w:rPr>
        <w:t>[TO BE ADDED: higher Willngness to Pay with lower NTMs][</w:t>
      </w:r>
    </w:p>
    <w:p w14:paraId="0BD74E61" w14:textId="7561A26D" w:rsidR="00ED03A8" w:rsidRDefault="00ED03A8" w:rsidP="00ED03A8"/>
    <w:p w14:paraId="298B885E" w14:textId="022B4D4E" w:rsidR="00ED03A8" w:rsidRDefault="00ED03A8" w:rsidP="00ED03A8"/>
    <w:p w14:paraId="52416008" w14:textId="32404311" w:rsidR="00ED03A8" w:rsidRDefault="00ED03A8" w:rsidP="00ED03A8"/>
    <w:p w14:paraId="795ED778" w14:textId="78040B2E" w:rsidR="00ED03A8" w:rsidRDefault="00ED03A8" w:rsidP="00ED03A8"/>
    <w:p w14:paraId="4E2DD78D" w14:textId="5BED3C90" w:rsidR="00ED03A8" w:rsidRDefault="00ED03A8" w:rsidP="00ED03A8"/>
    <w:p w14:paraId="751F1179" w14:textId="4863D358" w:rsidR="00ED03A8" w:rsidRDefault="00ED03A8" w:rsidP="00ED03A8"/>
    <w:p w14:paraId="38AFC4F7" w14:textId="024CDA86" w:rsidR="00ED03A8" w:rsidRDefault="00ED03A8" w:rsidP="00ED03A8"/>
    <w:p w14:paraId="5967E852" w14:textId="31A5EEF8" w:rsidR="00ED03A8" w:rsidRDefault="00ED03A8" w:rsidP="00ED03A8"/>
    <w:p w14:paraId="45CD5CDC" w14:textId="77777777" w:rsidR="00ED03A8" w:rsidRPr="00ED03A8" w:rsidRDefault="00ED03A8" w:rsidP="00ED03A8"/>
    <w:p w14:paraId="7D540571" w14:textId="1E990C74" w:rsidR="007366DC" w:rsidRDefault="00A43DF3" w:rsidP="00B73666">
      <w:pPr>
        <w:pStyle w:val="Heading6"/>
      </w:pPr>
      <w:r>
        <w:rPr>
          <w:sz w:val="24"/>
          <w:szCs w:val="24"/>
        </w:rPr>
        <w:br w:type="page"/>
      </w:r>
    </w:p>
    <w:p w14:paraId="4A059004" w14:textId="66BD92F4" w:rsidR="007366DC" w:rsidRDefault="0036413B" w:rsidP="0036413B">
      <w:pPr>
        <w:pStyle w:val="Heading2"/>
      </w:pPr>
      <w:r>
        <w:lastRenderedPageBreak/>
        <w:t>Outcomes of the NTM reduction on trade costs</w:t>
      </w:r>
    </w:p>
    <w:p w14:paraId="5272B37B" w14:textId="55A8C611" w:rsidR="007366DC" w:rsidRDefault="007366DC" w:rsidP="007366DC">
      <w:r>
        <w:t xml:space="preserve">As would be expected, when NTM costs are reduced, both imports and exports increase for all G20 economies (Figure </w:t>
      </w:r>
      <w:r w:rsidR="0036413B">
        <w:t>4</w:t>
      </w:r>
      <w:r>
        <w:t xml:space="preserve">). Total imports among the G20 increase by 5.5% while exports expand by 5.6%. The reduction in trade costs allows for improved resource allocation, which is what drives the gains from trade. Indeed, these carry through the rest of the economy in the form of increased incomes as domestic consumers and businesses have access to cheaper imports at the same time as they experience improved access for their exports overseas. </w:t>
      </w:r>
    </w:p>
    <w:p w14:paraId="155C6135" w14:textId="77777777" w:rsidR="007366DC" w:rsidRDefault="007366DC" w:rsidP="007366DC"/>
    <w:p w14:paraId="1409FAD5" w14:textId="00AC6A92" w:rsidR="007366DC" w:rsidRDefault="0036413B" w:rsidP="007366DC">
      <w:pPr>
        <w:pStyle w:val="Heading6"/>
      </w:pPr>
      <w:r>
        <w:t>Figure 4</w:t>
      </w:r>
      <w:r w:rsidR="007366DC">
        <w:t xml:space="preserve"> Changes in Trade Flows from NTM cost reductions, by country </w:t>
      </w:r>
    </w:p>
    <w:p w14:paraId="5DE88948" w14:textId="77777777" w:rsidR="007366DC" w:rsidRDefault="007366DC" w:rsidP="007366DC">
      <w:r>
        <w:rPr>
          <w:noProof/>
          <w:lang w:eastAsia="en-GB"/>
        </w:rPr>
        <w:drawing>
          <wp:inline distT="0" distB="0" distL="0" distR="0" wp14:anchorId="3BF43C9E" wp14:editId="23C6400F">
            <wp:extent cx="6012815" cy="3445510"/>
            <wp:effectExtent l="0" t="0" r="6985" b="25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615162">
        <w:rPr>
          <w:noProof/>
          <w:lang w:eastAsia="en-GB"/>
        </w:rPr>
        <w:t xml:space="preserve"> </w:t>
      </w:r>
    </w:p>
    <w:p w14:paraId="3CE76912" w14:textId="77777777" w:rsidR="007366DC" w:rsidRDefault="007366DC" w:rsidP="007366DC"/>
    <w:p w14:paraId="14B6B02F" w14:textId="77777777" w:rsidR="007366DC" w:rsidRDefault="007366DC" w:rsidP="007366DC"/>
    <w:p w14:paraId="262D2394" w14:textId="77777777" w:rsidR="0036413B" w:rsidRDefault="0036413B" w:rsidP="007366DC"/>
    <w:p w14:paraId="3F91A9FB" w14:textId="52D08FE5" w:rsidR="007366DC" w:rsidRDefault="007366DC" w:rsidP="007366DC">
      <w:r>
        <w:t>Economies producing goods that encounter relatively high initial NTMs experience the largest gains in trade. For example, trade costs associated with NTMs are reduced in 13 of the 16 sectors examined for Argentina and Australia-New Zealand. This leads to substantial efficiency gains across these economies, creating relatively large increases in both production and trade. Canada and Turkey have relatively fewer sectors affected (6 out of 16), but the size of the declines in key sectors (cereal grains and motor vehicles for Canada and motor vehicles for Turkey) leads to large increases in trade for these countries as well. This same process occurs in Brazil and China. Brazil increases in imports in motor vehicles and machinery and its exports of cereal grains and meat. China increases its imports of dairy and exports of textiles and other manufacturing products.</w:t>
      </w:r>
      <w:r w:rsidRPr="00744F39">
        <w:t xml:space="preserve"> </w:t>
      </w:r>
      <w:r>
        <w:t>The members of the EU have relatively smaller gains because they continue to conduct the bulk of their trade amongst each other at existing levels of NTM-related trade costs.</w:t>
      </w:r>
    </w:p>
    <w:p w14:paraId="5232D0C8" w14:textId="77777777" w:rsidR="007366DC" w:rsidRDefault="007366DC" w:rsidP="007366DC"/>
    <w:p w14:paraId="02807741" w14:textId="77777777" w:rsidR="007366DC" w:rsidRDefault="007366DC" w:rsidP="007366DC">
      <w:r>
        <w:t xml:space="preserve">The simulated reduction in NTM costs across the G20 economies does shift trade away from non-G20 economies. While export demand falls slightly for Latin America (0.6%), Southeast Asia and the rest of the world experience larger declines (1.7% and 1.1%, respectively). That is because these parts of the world compete more directly in sectors experiencing greater efficiency gains through the reduction of NTM costs, </w:t>
      </w:r>
      <w:r>
        <w:lastRenderedPageBreak/>
        <w:t>especially in intermediate trade. Similarly, as trade costs remain high in the non-G20 economies, exporting to them remains relatively more expensive, leading to declines in import demand. Imports decline by 1.7% in Latin America, 2.8% in Southeast Asia and 1.6% in the rest of the world. These changes translate into slightly smaller overall gains in global trade of 4% (versus over 5% among just G20 economies).</w:t>
      </w:r>
    </w:p>
    <w:p w14:paraId="156BAFFD" w14:textId="77777777" w:rsidR="007366DC" w:rsidRDefault="007366DC" w:rsidP="007366DC"/>
    <w:p w14:paraId="79A152E3" w14:textId="77777777" w:rsidR="007366DC" w:rsidRDefault="007366DC" w:rsidP="007366DC">
      <w:r>
        <w:t>Given that many of the costs associated with NTMs stem from redundancies in processes (e.g. retooling production runs for different market specifications), when eliminated, firms are able to service more markets with existing (or even less) resource use (e.g. the same machine tooling). The resources previously used in these sectors are reallocated to other economic activities where they can be used more productively. This raises output and incomes across the economy. At the same time, reducing actual costs associated with serving external markets (e.g. costs for additional testing procedures for customs clearance) lead more directly to price reductions. These price reductions tend to increase demand and increase resource use. The ultimate impact on production in any one sector will depend on the combination of these two effects.</w:t>
      </w:r>
    </w:p>
    <w:p w14:paraId="3CF5CA19" w14:textId="77777777" w:rsidR="007366DC" w:rsidRDefault="007366DC" w:rsidP="007366DC"/>
    <w:p w14:paraId="3C56EFD5" w14:textId="35253083" w:rsidR="007366DC" w:rsidRDefault="007366DC" w:rsidP="007366DC">
      <w:r w:rsidRPr="00836A80">
        <w:t xml:space="preserve">Figure </w:t>
      </w:r>
      <w:r w:rsidR="00B95442">
        <w:t>5</w:t>
      </w:r>
      <w:r w:rsidRPr="00836A80">
        <w:t xml:space="preserve"> illustrates these points in the growth in intermediate and final goods exports. While businesses benefit from greater final goods exports as a result of price reductions, they also experience increased access to, as well as demand for, production inputs. The growth in intermediate exports is an outcome of the efficiency gains experienced by producers.</w:t>
      </w:r>
    </w:p>
    <w:p w14:paraId="6E3B948B" w14:textId="77777777" w:rsidR="007366DC" w:rsidRDefault="007366DC" w:rsidP="007366DC"/>
    <w:p w14:paraId="7EBE9459" w14:textId="5A097B3D" w:rsidR="007366DC" w:rsidRDefault="007366DC" w:rsidP="007366DC">
      <w:r w:rsidRPr="00BC1677">
        <w:rPr>
          <w:b/>
          <w:bCs/>
        </w:rPr>
        <w:t xml:space="preserve">Figure </w:t>
      </w:r>
      <w:r w:rsidR="0036413B">
        <w:rPr>
          <w:b/>
          <w:bCs/>
        </w:rPr>
        <w:t xml:space="preserve">5  </w:t>
      </w:r>
      <w:r>
        <w:rPr>
          <w:b/>
          <w:bCs/>
        </w:rPr>
        <w:t>Change in exports by use</w:t>
      </w:r>
    </w:p>
    <w:p w14:paraId="704E2446" w14:textId="77777777" w:rsidR="007366DC" w:rsidRDefault="007366DC" w:rsidP="007366DC">
      <w:r>
        <w:rPr>
          <w:noProof/>
          <w:lang w:eastAsia="en-GB"/>
        </w:rPr>
        <w:drawing>
          <wp:inline distT="0" distB="0" distL="0" distR="0" wp14:anchorId="07943DF1" wp14:editId="5D190CC2">
            <wp:extent cx="6419850" cy="334327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D27AB5" w14:textId="77777777" w:rsidR="007366DC" w:rsidRDefault="007366DC" w:rsidP="007366DC"/>
    <w:p w14:paraId="25BA2D2D" w14:textId="77777777" w:rsidR="007366DC" w:rsidRDefault="007366DC" w:rsidP="007366DC"/>
    <w:p w14:paraId="7263CC65" w14:textId="77777777" w:rsidR="007366DC" w:rsidRDefault="007366DC" w:rsidP="007366DC"/>
    <w:p w14:paraId="79A53B1B" w14:textId="77777777" w:rsidR="007366DC" w:rsidRDefault="007366DC" w:rsidP="007366DC"/>
    <w:p w14:paraId="52D97F81" w14:textId="77777777" w:rsidR="007366DC" w:rsidRDefault="007366DC" w:rsidP="007366DC"/>
    <w:p w14:paraId="7CFD6C13" w14:textId="401D7F84" w:rsidR="007366DC" w:rsidRDefault="007366DC" w:rsidP="007366DC">
      <w:r>
        <w:t xml:space="preserve">Either way, being able to access more markets more efficiently, producers can offer goods at lower prices, thus raising domestic demand (Figure </w:t>
      </w:r>
      <w:r w:rsidR="0036413B">
        <w:t>6</w:t>
      </w:r>
      <w:r>
        <w:t xml:space="preserve">). These gains are reflected in all sectors with the exception of a very slight decline in demand for nonferrous metals. Nonferrous metals are used almost exclusively as an intermediate input and thus the efficiencies gains from trade lead to an overall decline in demand as current </w:t>
      </w:r>
      <w:r>
        <w:lastRenderedPageBreak/>
        <w:t>needs can be met with existing production levels. Over time, as sectors using nonferrous metals continue to expand, it is expected that demand for nonferrous metals would increase.</w:t>
      </w:r>
    </w:p>
    <w:p w14:paraId="21280A8B" w14:textId="77777777" w:rsidR="007366DC" w:rsidRDefault="007366DC" w:rsidP="007366DC"/>
    <w:p w14:paraId="182930DE" w14:textId="4940E1D1" w:rsidR="007366DC" w:rsidRDefault="007366DC" w:rsidP="007366DC">
      <w:r w:rsidRPr="00BC1677">
        <w:rPr>
          <w:b/>
          <w:bCs/>
        </w:rPr>
        <w:t xml:space="preserve">Figure </w:t>
      </w:r>
      <w:r w:rsidR="0036413B">
        <w:rPr>
          <w:b/>
          <w:bCs/>
        </w:rPr>
        <w:t>6</w:t>
      </w:r>
      <w:r w:rsidRPr="00BC1677">
        <w:rPr>
          <w:b/>
          <w:bCs/>
        </w:rPr>
        <w:t xml:space="preserve"> </w:t>
      </w:r>
      <w:r>
        <w:rPr>
          <w:b/>
          <w:bCs/>
        </w:rPr>
        <w:t>Change in demand and price</w:t>
      </w:r>
      <w:r w:rsidRPr="00484FFB">
        <w:t xml:space="preserve"> </w:t>
      </w:r>
      <w:r w:rsidRPr="00820F4E">
        <w:rPr>
          <w:b/>
          <w:bCs/>
        </w:rPr>
        <w:t>from NTM cost reductions</w:t>
      </w:r>
      <w:r>
        <w:rPr>
          <w:b/>
          <w:bCs/>
        </w:rPr>
        <w:t xml:space="preserve"> across G20 countries, by sector</w:t>
      </w:r>
    </w:p>
    <w:p w14:paraId="7F447B3A" w14:textId="77777777" w:rsidR="007366DC" w:rsidRDefault="007366DC" w:rsidP="007366DC">
      <w:r>
        <w:rPr>
          <w:noProof/>
          <w:lang w:eastAsia="en-GB"/>
        </w:rPr>
        <w:drawing>
          <wp:inline distT="0" distB="0" distL="0" distR="0" wp14:anchorId="250B4FE3" wp14:editId="3E047009">
            <wp:extent cx="6012815" cy="4086225"/>
            <wp:effectExtent l="0" t="0" r="698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1386453" w14:textId="77777777" w:rsidR="007366DC" w:rsidRDefault="007366DC" w:rsidP="007366DC">
      <w:pPr>
        <w:rPr>
          <w:b/>
          <w:i/>
        </w:rPr>
      </w:pPr>
    </w:p>
    <w:p w14:paraId="3D63254A" w14:textId="77777777" w:rsidR="007366DC" w:rsidRDefault="007366DC" w:rsidP="007366DC"/>
    <w:p w14:paraId="63D2D663" w14:textId="77777777" w:rsidR="007366DC" w:rsidRDefault="007366DC" w:rsidP="007366DC"/>
    <w:p w14:paraId="2A7789C1" w14:textId="77777777" w:rsidR="007366DC" w:rsidRDefault="007366DC" w:rsidP="007366DC">
      <w:r>
        <w:t>While the majority of policy adjustments take place in agriculture and manufacturing areas, income gains are widely spread with significant gains occurring in the services sector. These translate into significant GDP gains (Figure 7</w:t>
      </w:r>
      <w:r w:rsidRPr="00C76861">
        <w:t>). Efficiency gains can add as much as 2.8 percentage points to GDP levels</w:t>
      </w:r>
      <w:r>
        <w:t xml:space="preserve"> in some countries. These gains are a direct result of the spillovers experienced in the domestic economy and illustrate the important links between policy areas. While the scenario presented here focuses on NTMs in goods markets, services jobs benefit, implying that a more coordinated effort in streamlining both goods and services NTMs would generate total economic benefits that exceed the sum of the individual parts. </w:t>
      </w:r>
    </w:p>
    <w:p w14:paraId="46EC7945" w14:textId="77777777" w:rsidR="007366DC" w:rsidRDefault="007366DC" w:rsidP="007366DC">
      <w:pPr>
        <w:pStyle w:val="Heading6"/>
      </w:pPr>
    </w:p>
    <w:p w14:paraId="78F522D5" w14:textId="77777777" w:rsidR="007366DC" w:rsidRDefault="007366DC" w:rsidP="007366DC">
      <w:pPr>
        <w:pStyle w:val="Heading6"/>
      </w:pPr>
    </w:p>
    <w:p w14:paraId="6F462C41" w14:textId="77777777" w:rsidR="007366DC" w:rsidRDefault="007366DC" w:rsidP="007366DC">
      <w:pPr>
        <w:pStyle w:val="Heading6"/>
      </w:pPr>
    </w:p>
    <w:p w14:paraId="721CA296" w14:textId="77777777" w:rsidR="007366DC" w:rsidRDefault="007366DC" w:rsidP="007366DC">
      <w:pPr>
        <w:pStyle w:val="Heading6"/>
      </w:pPr>
    </w:p>
    <w:p w14:paraId="4F9640C3" w14:textId="77777777" w:rsidR="007366DC" w:rsidRDefault="007366DC" w:rsidP="007366DC">
      <w:pPr>
        <w:pStyle w:val="Heading6"/>
      </w:pPr>
    </w:p>
    <w:p w14:paraId="523F64D0" w14:textId="77777777" w:rsidR="007366DC" w:rsidRDefault="007366DC" w:rsidP="007366DC">
      <w:pPr>
        <w:pStyle w:val="Heading6"/>
      </w:pPr>
    </w:p>
    <w:p w14:paraId="650B4F95" w14:textId="77777777" w:rsidR="007366DC" w:rsidRDefault="007366DC" w:rsidP="007366DC">
      <w:pPr>
        <w:pStyle w:val="Heading6"/>
      </w:pPr>
    </w:p>
    <w:p w14:paraId="7DF90707" w14:textId="503EF9B1" w:rsidR="007366DC" w:rsidRDefault="007366DC" w:rsidP="007366DC">
      <w:pPr>
        <w:pStyle w:val="Heading6"/>
      </w:pPr>
      <w:r>
        <w:t>Figure 7 – Household and GDP changes (%)</w:t>
      </w:r>
    </w:p>
    <w:p w14:paraId="1AFDDAC3" w14:textId="15B208DA" w:rsidR="00B37D26" w:rsidRDefault="00B37D26" w:rsidP="00B37D26"/>
    <w:p w14:paraId="6A0A4818" w14:textId="4631D00D" w:rsidR="00B37D26" w:rsidRPr="00B37D26" w:rsidRDefault="00B37D26" w:rsidP="00B37D26">
      <w:r>
        <w:rPr>
          <w:noProof/>
          <w:lang w:eastAsia="en-GB"/>
        </w:rPr>
        <w:drawing>
          <wp:inline distT="0" distB="0" distL="0" distR="0" wp14:anchorId="00076675" wp14:editId="77871867">
            <wp:extent cx="6012815" cy="3476625"/>
            <wp:effectExtent l="0" t="0" r="698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8F9A11" w14:textId="1DFC92D4" w:rsidR="007366DC" w:rsidRDefault="007366DC" w:rsidP="007366DC">
      <w:pPr>
        <w:pStyle w:val="Heading6"/>
      </w:pPr>
    </w:p>
    <w:p w14:paraId="01166834" w14:textId="77777777" w:rsidR="007366DC" w:rsidRDefault="007366DC" w:rsidP="007366DC"/>
    <w:p w14:paraId="53A84731" w14:textId="24CD531F" w:rsidR="007366DC" w:rsidRPr="0013560B" w:rsidRDefault="00286033" w:rsidP="007366DC">
      <w:r>
        <w:t>I</w:t>
      </w:r>
      <w:r w:rsidR="007366DC">
        <w:t xml:space="preserve">ncreases in labour income that translate into substantial gains across the G20 economies in terms of both overall output and household income, can be further disaggregated into gains to workers. Compared with the </w:t>
      </w:r>
      <w:r>
        <w:t>outcome of the tariff reduction</w:t>
      </w:r>
      <w:r w:rsidR="007366DC" w:rsidRPr="00286033">
        <w:rPr>
          <w:rStyle w:val="FootnoteReference"/>
          <w:sz w:val="24"/>
          <w:szCs w:val="24"/>
        </w:rPr>
        <w:footnoteReference w:id="5"/>
      </w:r>
      <w:r w:rsidR="007366DC">
        <w:t xml:space="preserve"> household income gains per worker are more than double for many economies and 1.7 times larger over the entire G20 group of economies (Table 1). </w:t>
      </w:r>
      <w:r w:rsidR="007366DC" w:rsidRPr="0013560B">
        <w:t xml:space="preserve">The gains to workers from improved trade through NTM </w:t>
      </w:r>
      <w:r w:rsidR="007366DC">
        <w:t xml:space="preserve">cost </w:t>
      </w:r>
      <w:r w:rsidR="007366DC" w:rsidRPr="0013560B">
        <w:t>reductions are not just bigger in total (averaging $185/worker for tariffs versus $450/worker on average for NTMs) but larger amounts occur for more countries.</w:t>
      </w:r>
      <w:r w:rsidR="007366DC">
        <w:t xml:space="preserve"> The distribution across economies largely reflects the relative size of the NTM cost cuts, and the sectors to which they are applied. For example, NTMs across the G20 were significant in the meat and dairy sectors, sectors in which Australia and New Zealand have a comparative advantage. Therefore, when the trade costs in these sectors are reduced, they experience relatively larger trade expansion, increasing labour demand significantly. Similarly, Canada experiences a large gain in its exports of motor vehicles, which push up labour demand, and income. Each of these three countries have a relatively small labour force, leading to large increases in income per worker.</w:t>
      </w:r>
    </w:p>
    <w:p w14:paraId="79BFF465" w14:textId="77777777" w:rsidR="007366DC" w:rsidRDefault="007366DC" w:rsidP="007366DC"/>
    <w:p w14:paraId="540FCAF0" w14:textId="77777777" w:rsidR="007366DC" w:rsidRDefault="007366DC" w:rsidP="007366DC"/>
    <w:p w14:paraId="1CC6FDA5" w14:textId="77777777" w:rsidR="007366DC" w:rsidRDefault="007366DC" w:rsidP="007366DC"/>
    <w:p w14:paraId="18FD5AEA" w14:textId="77777777" w:rsidR="007366DC" w:rsidRDefault="007366DC" w:rsidP="007366DC">
      <w:pPr>
        <w:pStyle w:val="Heading6"/>
      </w:pPr>
      <w:r>
        <w:t>Table 1 – Changes in National Household Income per Worker (US$)</w:t>
      </w:r>
    </w:p>
    <w:tbl>
      <w:tblPr>
        <w:tblW w:w="9361" w:type="dxa"/>
        <w:tblInd w:w="108" w:type="dxa"/>
        <w:tblLook w:val="04A0" w:firstRow="1" w:lastRow="0" w:firstColumn="1" w:lastColumn="0" w:noHBand="0" w:noVBand="1"/>
      </w:tblPr>
      <w:tblGrid>
        <w:gridCol w:w="3040"/>
        <w:gridCol w:w="2131"/>
        <w:gridCol w:w="4190"/>
      </w:tblGrid>
      <w:tr w:rsidR="007366DC" w:rsidRPr="00D27BF5" w14:paraId="0D7F6332" w14:textId="77777777" w:rsidTr="00505664">
        <w:trPr>
          <w:trHeight w:val="300"/>
        </w:trPr>
        <w:tc>
          <w:tcPr>
            <w:tcW w:w="3040" w:type="dxa"/>
            <w:tcBorders>
              <w:top w:val="single" w:sz="4" w:space="0" w:color="auto"/>
              <w:left w:val="nil"/>
              <w:bottom w:val="single" w:sz="4" w:space="0" w:color="auto"/>
              <w:right w:val="nil"/>
            </w:tcBorders>
            <w:shd w:val="clear" w:color="auto" w:fill="auto"/>
            <w:noWrap/>
            <w:vAlign w:val="bottom"/>
          </w:tcPr>
          <w:p w14:paraId="4A9590C8" w14:textId="77777777" w:rsidR="007366DC" w:rsidRPr="00D27BF5" w:rsidRDefault="007366DC" w:rsidP="00505664">
            <w:pPr>
              <w:rPr>
                <w:rFonts w:eastAsia="Times New Roman"/>
                <w:color w:val="000000"/>
                <w:lang w:eastAsia="en-GB"/>
              </w:rPr>
            </w:pPr>
          </w:p>
        </w:tc>
        <w:tc>
          <w:tcPr>
            <w:tcW w:w="2131" w:type="dxa"/>
            <w:tcBorders>
              <w:top w:val="single" w:sz="4" w:space="0" w:color="auto"/>
              <w:left w:val="nil"/>
              <w:bottom w:val="single" w:sz="4" w:space="0" w:color="auto"/>
              <w:right w:val="nil"/>
            </w:tcBorders>
            <w:shd w:val="clear" w:color="auto" w:fill="auto"/>
            <w:vAlign w:val="bottom"/>
          </w:tcPr>
          <w:p w14:paraId="66E03753" w14:textId="77777777" w:rsidR="007366DC" w:rsidRPr="00A4003B" w:rsidRDefault="007366DC" w:rsidP="00505664">
            <w:pPr>
              <w:jc w:val="right"/>
              <w:rPr>
                <w:rFonts w:ascii="Arial" w:hAnsi="Arial" w:cs="Arial"/>
                <w:b/>
                <w:color w:val="000000"/>
                <w:sz w:val="20"/>
                <w:szCs w:val="20"/>
              </w:rPr>
            </w:pPr>
            <w:r w:rsidRPr="00A4003B">
              <w:rPr>
                <w:rFonts w:ascii="Arial" w:hAnsi="Arial" w:cs="Arial"/>
                <w:b/>
                <w:color w:val="000000"/>
                <w:sz w:val="20"/>
                <w:szCs w:val="20"/>
              </w:rPr>
              <w:t>Tariff Liberalisation</w:t>
            </w:r>
          </w:p>
        </w:tc>
        <w:tc>
          <w:tcPr>
            <w:tcW w:w="4190" w:type="dxa"/>
            <w:tcBorders>
              <w:top w:val="single" w:sz="4" w:space="0" w:color="auto"/>
              <w:left w:val="nil"/>
              <w:bottom w:val="single" w:sz="4" w:space="0" w:color="auto"/>
              <w:right w:val="nil"/>
            </w:tcBorders>
            <w:shd w:val="clear" w:color="auto" w:fill="auto"/>
            <w:noWrap/>
            <w:vAlign w:val="bottom"/>
          </w:tcPr>
          <w:p w14:paraId="42B74FDB" w14:textId="77777777" w:rsidR="007366DC" w:rsidRPr="00A4003B" w:rsidRDefault="007366DC" w:rsidP="00505664">
            <w:pPr>
              <w:jc w:val="right"/>
              <w:rPr>
                <w:rFonts w:ascii="Arial" w:hAnsi="Arial" w:cs="Arial"/>
                <w:b/>
                <w:color w:val="000000"/>
                <w:sz w:val="20"/>
                <w:szCs w:val="20"/>
              </w:rPr>
            </w:pPr>
            <w:r w:rsidRPr="00A4003B">
              <w:rPr>
                <w:rFonts w:ascii="Arial" w:hAnsi="Arial" w:cs="Arial"/>
                <w:b/>
                <w:color w:val="000000"/>
                <w:sz w:val="20"/>
                <w:szCs w:val="20"/>
              </w:rPr>
              <w:t>NTM Cost Reduction</w:t>
            </w:r>
          </w:p>
        </w:tc>
      </w:tr>
      <w:tr w:rsidR="007366DC" w:rsidRPr="00D27BF5" w14:paraId="1C442189" w14:textId="77777777" w:rsidTr="00505664">
        <w:trPr>
          <w:trHeight w:val="300"/>
        </w:trPr>
        <w:tc>
          <w:tcPr>
            <w:tcW w:w="3040" w:type="dxa"/>
            <w:tcBorders>
              <w:top w:val="single" w:sz="4" w:space="0" w:color="auto"/>
              <w:left w:val="nil"/>
              <w:bottom w:val="nil"/>
              <w:right w:val="nil"/>
            </w:tcBorders>
            <w:shd w:val="clear" w:color="auto" w:fill="auto"/>
            <w:noWrap/>
            <w:vAlign w:val="bottom"/>
            <w:hideMark/>
          </w:tcPr>
          <w:p w14:paraId="6B0D3873"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lastRenderedPageBreak/>
              <w:t>Argentina</w:t>
            </w:r>
          </w:p>
        </w:tc>
        <w:tc>
          <w:tcPr>
            <w:tcW w:w="2131" w:type="dxa"/>
            <w:tcBorders>
              <w:top w:val="single" w:sz="4" w:space="0" w:color="auto"/>
              <w:left w:val="nil"/>
              <w:bottom w:val="nil"/>
              <w:right w:val="nil"/>
            </w:tcBorders>
            <w:shd w:val="clear" w:color="auto" w:fill="auto"/>
            <w:vAlign w:val="bottom"/>
          </w:tcPr>
          <w:p w14:paraId="753B71F6"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193 </w:t>
            </w:r>
          </w:p>
        </w:tc>
        <w:tc>
          <w:tcPr>
            <w:tcW w:w="4190" w:type="dxa"/>
            <w:tcBorders>
              <w:top w:val="single" w:sz="4" w:space="0" w:color="auto"/>
              <w:left w:val="nil"/>
              <w:bottom w:val="nil"/>
              <w:right w:val="nil"/>
            </w:tcBorders>
            <w:shd w:val="clear" w:color="auto" w:fill="auto"/>
            <w:noWrap/>
            <w:vAlign w:val="bottom"/>
            <w:hideMark/>
          </w:tcPr>
          <w:p w14:paraId="048FD0A6"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477</w:t>
            </w:r>
          </w:p>
        </w:tc>
      </w:tr>
      <w:tr w:rsidR="007366DC" w:rsidRPr="00D27BF5" w14:paraId="74849FC7"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7CC74534"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Australia and New Zealand</w:t>
            </w:r>
          </w:p>
        </w:tc>
        <w:tc>
          <w:tcPr>
            <w:tcW w:w="2131" w:type="dxa"/>
            <w:tcBorders>
              <w:top w:val="nil"/>
              <w:left w:val="nil"/>
              <w:bottom w:val="nil"/>
              <w:right w:val="nil"/>
            </w:tcBorders>
            <w:shd w:val="clear" w:color="auto" w:fill="D9D9D9" w:themeFill="background1" w:themeFillShade="D9"/>
            <w:vAlign w:val="bottom"/>
          </w:tcPr>
          <w:p w14:paraId="03B6E430"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436 </w:t>
            </w:r>
          </w:p>
        </w:tc>
        <w:tc>
          <w:tcPr>
            <w:tcW w:w="4190" w:type="dxa"/>
            <w:tcBorders>
              <w:top w:val="nil"/>
              <w:left w:val="nil"/>
              <w:bottom w:val="nil"/>
              <w:right w:val="nil"/>
            </w:tcBorders>
            <w:shd w:val="clear" w:color="auto" w:fill="D9D9D9" w:themeFill="background1" w:themeFillShade="D9"/>
            <w:noWrap/>
            <w:vAlign w:val="bottom"/>
            <w:hideMark/>
          </w:tcPr>
          <w:p w14:paraId="1A5CC880"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1,171</w:t>
            </w:r>
          </w:p>
        </w:tc>
      </w:tr>
      <w:tr w:rsidR="007366DC" w:rsidRPr="00D27BF5" w14:paraId="3767C412" w14:textId="77777777" w:rsidTr="00505664">
        <w:trPr>
          <w:trHeight w:val="300"/>
        </w:trPr>
        <w:tc>
          <w:tcPr>
            <w:tcW w:w="3040" w:type="dxa"/>
            <w:tcBorders>
              <w:top w:val="nil"/>
              <w:left w:val="nil"/>
              <w:bottom w:val="nil"/>
              <w:right w:val="nil"/>
            </w:tcBorders>
            <w:shd w:val="clear" w:color="auto" w:fill="auto"/>
            <w:noWrap/>
            <w:vAlign w:val="bottom"/>
            <w:hideMark/>
          </w:tcPr>
          <w:p w14:paraId="1EF287DC"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Brazil</w:t>
            </w:r>
          </w:p>
        </w:tc>
        <w:tc>
          <w:tcPr>
            <w:tcW w:w="2131" w:type="dxa"/>
            <w:tcBorders>
              <w:top w:val="nil"/>
              <w:left w:val="nil"/>
              <w:bottom w:val="nil"/>
              <w:right w:val="nil"/>
            </w:tcBorders>
            <w:shd w:val="clear" w:color="auto" w:fill="auto"/>
            <w:vAlign w:val="bottom"/>
          </w:tcPr>
          <w:p w14:paraId="5952D26B"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110 </w:t>
            </w:r>
          </w:p>
        </w:tc>
        <w:tc>
          <w:tcPr>
            <w:tcW w:w="4190" w:type="dxa"/>
            <w:tcBorders>
              <w:top w:val="nil"/>
              <w:left w:val="nil"/>
              <w:bottom w:val="nil"/>
              <w:right w:val="nil"/>
            </w:tcBorders>
            <w:shd w:val="clear" w:color="auto" w:fill="auto"/>
            <w:noWrap/>
            <w:vAlign w:val="bottom"/>
            <w:hideMark/>
          </w:tcPr>
          <w:p w14:paraId="595F485C"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171</w:t>
            </w:r>
          </w:p>
        </w:tc>
      </w:tr>
      <w:tr w:rsidR="007366DC" w:rsidRPr="00D27BF5" w14:paraId="746871F8"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22D9A76E"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Canada</w:t>
            </w:r>
          </w:p>
        </w:tc>
        <w:tc>
          <w:tcPr>
            <w:tcW w:w="2131" w:type="dxa"/>
            <w:tcBorders>
              <w:top w:val="nil"/>
              <w:left w:val="nil"/>
              <w:bottom w:val="nil"/>
              <w:right w:val="nil"/>
            </w:tcBorders>
            <w:shd w:val="clear" w:color="auto" w:fill="D9D9D9" w:themeFill="background1" w:themeFillShade="D9"/>
            <w:vAlign w:val="bottom"/>
          </w:tcPr>
          <w:p w14:paraId="12F8E5FB"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371 </w:t>
            </w:r>
          </w:p>
        </w:tc>
        <w:tc>
          <w:tcPr>
            <w:tcW w:w="4190" w:type="dxa"/>
            <w:tcBorders>
              <w:top w:val="nil"/>
              <w:left w:val="nil"/>
              <w:bottom w:val="nil"/>
              <w:right w:val="nil"/>
            </w:tcBorders>
            <w:shd w:val="clear" w:color="auto" w:fill="D9D9D9" w:themeFill="background1" w:themeFillShade="D9"/>
            <w:noWrap/>
            <w:vAlign w:val="bottom"/>
            <w:hideMark/>
          </w:tcPr>
          <w:p w14:paraId="719B7871"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1,356</w:t>
            </w:r>
          </w:p>
        </w:tc>
      </w:tr>
      <w:tr w:rsidR="007366DC" w:rsidRPr="00D27BF5" w14:paraId="6FD9AF0F" w14:textId="77777777" w:rsidTr="00505664">
        <w:trPr>
          <w:trHeight w:val="300"/>
        </w:trPr>
        <w:tc>
          <w:tcPr>
            <w:tcW w:w="3040" w:type="dxa"/>
            <w:tcBorders>
              <w:top w:val="nil"/>
              <w:left w:val="nil"/>
              <w:bottom w:val="nil"/>
              <w:right w:val="nil"/>
            </w:tcBorders>
            <w:shd w:val="clear" w:color="auto" w:fill="auto"/>
            <w:noWrap/>
            <w:vAlign w:val="bottom"/>
            <w:hideMark/>
          </w:tcPr>
          <w:p w14:paraId="65E93F16"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China</w:t>
            </w:r>
          </w:p>
        </w:tc>
        <w:tc>
          <w:tcPr>
            <w:tcW w:w="2131" w:type="dxa"/>
            <w:tcBorders>
              <w:top w:val="nil"/>
              <w:left w:val="nil"/>
              <w:bottom w:val="nil"/>
              <w:right w:val="nil"/>
            </w:tcBorders>
            <w:shd w:val="clear" w:color="auto" w:fill="auto"/>
            <w:vAlign w:val="bottom"/>
          </w:tcPr>
          <w:p w14:paraId="402622E8"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58 </w:t>
            </w:r>
          </w:p>
        </w:tc>
        <w:tc>
          <w:tcPr>
            <w:tcW w:w="4190" w:type="dxa"/>
            <w:tcBorders>
              <w:top w:val="nil"/>
              <w:left w:val="nil"/>
              <w:bottom w:val="nil"/>
              <w:right w:val="nil"/>
            </w:tcBorders>
            <w:shd w:val="clear" w:color="auto" w:fill="auto"/>
            <w:noWrap/>
            <w:vAlign w:val="bottom"/>
            <w:hideMark/>
          </w:tcPr>
          <w:p w14:paraId="1215F80C"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68</w:t>
            </w:r>
          </w:p>
        </w:tc>
      </w:tr>
      <w:tr w:rsidR="007366DC" w:rsidRPr="00D27BF5" w14:paraId="79952ACB"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0D1DD654"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France</w:t>
            </w:r>
          </w:p>
        </w:tc>
        <w:tc>
          <w:tcPr>
            <w:tcW w:w="2131" w:type="dxa"/>
            <w:tcBorders>
              <w:top w:val="nil"/>
              <w:left w:val="nil"/>
              <w:bottom w:val="nil"/>
              <w:right w:val="nil"/>
            </w:tcBorders>
            <w:shd w:val="clear" w:color="auto" w:fill="D9D9D9" w:themeFill="background1" w:themeFillShade="D9"/>
            <w:vAlign w:val="bottom"/>
          </w:tcPr>
          <w:p w14:paraId="4CB3FC01"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155 </w:t>
            </w:r>
          </w:p>
        </w:tc>
        <w:tc>
          <w:tcPr>
            <w:tcW w:w="4190" w:type="dxa"/>
            <w:tcBorders>
              <w:top w:val="nil"/>
              <w:left w:val="nil"/>
              <w:bottom w:val="nil"/>
              <w:right w:val="nil"/>
            </w:tcBorders>
            <w:shd w:val="clear" w:color="auto" w:fill="D9D9D9" w:themeFill="background1" w:themeFillShade="D9"/>
            <w:noWrap/>
            <w:vAlign w:val="bottom"/>
            <w:hideMark/>
          </w:tcPr>
          <w:p w14:paraId="2FD781A4"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362</w:t>
            </w:r>
          </w:p>
        </w:tc>
      </w:tr>
      <w:tr w:rsidR="007366DC" w:rsidRPr="00D27BF5" w14:paraId="11E41757" w14:textId="77777777" w:rsidTr="00505664">
        <w:trPr>
          <w:trHeight w:val="300"/>
        </w:trPr>
        <w:tc>
          <w:tcPr>
            <w:tcW w:w="3040" w:type="dxa"/>
            <w:tcBorders>
              <w:top w:val="nil"/>
              <w:left w:val="nil"/>
              <w:bottom w:val="nil"/>
              <w:right w:val="nil"/>
            </w:tcBorders>
            <w:shd w:val="clear" w:color="auto" w:fill="auto"/>
            <w:noWrap/>
            <w:vAlign w:val="bottom"/>
            <w:hideMark/>
          </w:tcPr>
          <w:p w14:paraId="6A97B31E"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Germany</w:t>
            </w:r>
          </w:p>
        </w:tc>
        <w:tc>
          <w:tcPr>
            <w:tcW w:w="2131" w:type="dxa"/>
            <w:tcBorders>
              <w:top w:val="nil"/>
              <w:left w:val="nil"/>
              <w:bottom w:val="nil"/>
              <w:right w:val="nil"/>
            </w:tcBorders>
            <w:shd w:val="clear" w:color="auto" w:fill="auto"/>
            <w:vAlign w:val="bottom"/>
          </w:tcPr>
          <w:p w14:paraId="58BF6C06"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223 </w:t>
            </w:r>
          </w:p>
        </w:tc>
        <w:tc>
          <w:tcPr>
            <w:tcW w:w="4190" w:type="dxa"/>
            <w:tcBorders>
              <w:top w:val="nil"/>
              <w:left w:val="nil"/>
              <w:bottom w:val="nil"/>
              <w:right w:val="nil"/>
            </w:tcBorders>
            <w:shd w:val="clear" w:color="auto" w:fill="auto"/>
            <w:noWrap/>
            <w:vAlign w:val="bottom"/>
            <w:hideMark/>
          </w:tcPr>
          <w:p w14:paraId="42A0121F"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420</w:t>
            </w:r>
          </w:p>
        </w:tc>
      </w:tr>
      <w:tr w:rsidR="007366DC" w:rsidRPr="00D27BF5" w14:paraId="06CBEAE8"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7660238B"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United Kingdom</w:t>
            </w:r>
          </w:p>
        </w:tc>
        <w:tc>
          <w:tcPr>
            <w:tcW w:w="2131" w:type="dxa"/>
            <w:tcBorders>
              <w:top w:val="nil"/>
              <w:left w:val="nil"/>
              <w:bottom w:val="nil"/>
              <w:right w:val="nil"/>
            </w:tcBorders>
            <w:shd w:val="clear" w:color="auto" w:fill="D9D9D9" w:themeFill="background1" w:themeFillShade="D9"/>
            <w:vAlign w:val="bottom"/>
          </w:tcPr>
          <w:p w14:paraId="61407B83"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173 </w:t>
            </w:r>
          </w:p>
        </w:tc>
        <w:tc>
          <w:tcPr>
            <w:tcW w:w="4190" w:type="dxa"/>
            <w:tcBorders>
              <w:top w:val="nil"/>
              <w:left w:val="nil"/>
              <w:bottom w:val="nil"/>
              <w:right w:val="nil"/>
            </w:tcBorders>
            <w:shd w:val="clear" w:color="auto" w:fill="D9D9D9" w:themeFill="background1" w:themeFillShade="D9"/>
            <w:noWrap/>
            <w:vAlign w:val="bottom"/>
            <w:hideMark/>
          </w:tcPr>
          <w:p w14:paraId="01CF3FB6"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413</w:t>
            </w:r>
          </w:p>
        </w:tc>
      </w:tr>
      <w:tr w:rsidR="007366DC" w:rsidRPr="00D27BF5" w14:paraId="742C5984" w14:textId="77777777" w:rsidTr="00505664">
        <w:trPr>
          <w:trHeight w:val="300"/>
        </w:trPr>
        <w:tc>
          <w:tcPr>
            <w:tcW w:w="3040" w:type="dxa"/>
            <w:tcBorders>
              <w:top w:val="nil"/>
              <w:left w:val="nil"/>
              <w:bottom w:val="nil"/>
              <w:right w:val="nil"/>
            </w:tcBorders>
            <w:shd w:val="clear" w:color="auto" w:fill="auto"/>
            <w:noWrap/>
            <w:vAlign w:val="bottom"/>
            <w:hideMark/>
          </w:tcPr>
          <w:p w14:paraId="57FF8C31"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Italy</w:t>
            </w:r>
          </w:p>
        </w:tc>
        <w:tc>
          <w:tcPr>
            <w:tcW w:w="2131" w:type="dxa"/>
            <w:tcBorders>
              <w:top w:val="nil"/>
              <w:left w:val="nil"/>
              <w:bottom w:val="nil"/>
              <w:right w:val="nil"/>
            </w:tcBorders>
            <w:shd w:val="clear" w:color="auto" w:fill="auto"/>
            <w:vAlign w:val="bottom"/>
          </w:tcPr>
          <w:p w14:paraId="01B21055"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145 </w:t>
            </w:r>
          </w:p>
        </w:tc>
        <w:tc>
          <w:tcPr>
            <w:tcW w:w="4190" w:type="dxa"/>
            <w:tcBorders>
              <w:top w:val="nil"/>
              <w:left w:val="nil"/>
              <w:bottom w:val="nil"/>
              <w:right w:val="nil"/>
            </w:tcBorders>
            <w:shd w:val="clear" w:color="auto" w:fill="auto"/>
            <w:noWrap/>
            <w:vAlign w:val="bottom"/>
            <w:hideMark/>
          </w:tcPr>
          <w:p w14:paraId="27293D96"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301</w:t>
            </w:r>
          </w:p>
        </w:tc>
      </w:tr>
      <w:tr w:rsidR="007366DC" w:rsidRPr="00D27BF5" w14:paraId="2EAC49DB"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64730C5F"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European Union (24)</w:t>
            </w:r>
          </w:p>
        </w:tc>
        <w:tc>
          <w:tcPr>
            <w:tcW w:w="2131" w:type="dxa"/>
            <w:tcBorders>
              <w:top w:val="nil"/>
              <w:left w:val="nil"/>
              <w:bottom w:val="nil"/>
              <w:right w:val="nil"/>
            </w:tcBorders>
            <w:shd w:val="clear" w:color="auto" w:fill="D9D9D9" w:themeFill="background1" w:themeFillShade="D9"/>
            <w:vAlign w:val="bottom"/>
          </w:tcPr>
          <w:p w14:paraId="2CAE7640"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133 </w:t>
            </w:r>
          </w:p>
        </w:tc>
        <w:tc>
          <w:tcPr>
            <w:tcW w:w="4190" w:type="dxa"/>
            <w:tcBorders>
              <w:top w:val="nil"/>
              <w:left w:val="nil"/>
              <w:bottom w:val="nil"/>
              <w:right w:val="nil"/>
            </w:tcBorders>
            <w:shd w:val="clear" w:color="auto" w:fill="D9D9D9" w:themeFill="background1" w:themeFillShade="D9"/>
            <w:noWrap/>
            <w:vAlign w:val="bottom"/>
            <w:hideMark/>
          </w:tcPr>
          <w:p w14:paraId="3BFB31A5"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249</w:t>
            </w:r>
          </w:p>
        </w:tc>
      </w:tr>
      <w:tr w:rsidR="007366DC" w:rsidRPr="00D27BF5" w14:paraId="66BE5B10" w14:textId="77777777" w:rsidTr="00505664">
        <w:trPr>
          <w:trHeight w:val="300"/>
        </w:trPr>
        <w:tc>
          <w:tcPr>
            <w:tcW w:w="3040" w:type="dxa"/>
            <w:tcBorders>
              <w:top w:val="nil"/>
              <w:left w:val="nil"/>
              <w:bottom w:val="nil"/>
              <w:right w:val="nil"/>
            </w:tcBorders>
            <w:shd w:val="clear" w:color="auto" w:fill="auto"/>
            <w:noWrap/>
            <w:vAlign w:val="bottom"/>
            <w:hideMark/>
          </w:tcPr>
          <w:p w14:paraId="229A11E7"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Indonesia</w:t>
            </w:r>
          </w:p>
        </w:tc>
        <w:tc>
          <w:tcPr>
            <w:tcW w:w="2131" w:type="dxa"/>
            <w:tcBorders>
              <w:top w:val="nil"/>
              <w:left w:val="nil"/>
              <w:bottom w:val="nil"/>
              <w:right w:val="nil"/>
            </w:tcBorders>
            <w:shd w:val="clear" w:color="auto" w:fill="auto"/>
            <w:vAlign w:val="bottom"/>
          </w:tcPr>
          <w:p w14:paraId="0BAD9F5E"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35 </w:t>
            </w:r>
          </w:p>
        </w:tc>
        <w:tc>
          <w:tcPr>
            <w:tcW w:w="4190" w:type="dxa"/>
            <w:tcBorders>
              <w:top w:val="nil"/>
              <w:left w:val="nil"/>
              <w:bottom w:val="nil"/>
              <w:right w:val="nil"/>
            </w:tcBorders>
            <w:shd w:val="clear" w:color="auto" w:fill="auto"/>
            <w:noWrap/>
            <w:vAlign w:val="bottom"/>
            <w:hideMark/>
          </w:tcPr>
          <w:p w14:paraId="1EC78176"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49</w:t>
            </w:r>
          </w:p>
        </w:tc>
      </w:tr>
      <w:tr w:rsidR="007366DC" w:rsidRPr="00D27BF5" w14:paraId="7899B411"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2FB874CB"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India</w:t>
            </w:r>
          </w:p>
        </w:tc>
        <w:tc>
          <w:tcPr>
            <w:tcW w:w="2131" w:type="dxa"/>
            <w:tcBorders>
              <w:top w:val="nil"/>
              <w:left w:val="nil"/>
              <w:bottom w:val="nil"/>
              <w:right w:val="nil"/>
            </w:tcBorders>
            <w:shd w:val="clear" w:color="auto" w:fill="D9D9D9" w:themeFill="background1" w:themeFillShade="D9"/>
            <w:vAlign w:val="bottom"/>
          </w:tcPr>
          <w:p w14:paraId="52654C83"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51 </w:t>
            </w:r>
          </w:p>
        </w:tc>
        <w:tc>
          <w:tcPr>
            <w:tcW w:w="4190" w:type="dxa"/>
            <w:tcBorders>
              <w:top w:val="nil"/>
              <w:left w:val="nil"/>
              <w:bottom w:val="nil"/>
              <w:right w:val="nil"/>
            </w:tcBorders>
            <w:shd w:val="clear" w:color="auto" w:fill="D9D9D9" w:themeFill="background1" w:themeFillShade="D9"/>
            <w:noWrap/>
            <w:vAlign w:val="bottom"/>
            <w:hideMark/>
          </w:tcPr>
          <w:p w14:paraId="13352358"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21</w:t>
            </w:r>
          </w:p>
        </w:tc>
      </w:tr>
      <w:tr w:rsidR="007366DC" w:rsidRPr="00D27BF5" w14:paraId="74FEFBF6" w14:textId="77777777" w:rsidTr="00505664">
        <w:trPr>
          <w:trHeight w:val="300"/>
        </w:trPr>
        <w:tc>
          <w:tcPr>
            <w:tcW w:w="3040" w:type="dxa"/>
            <w:tcBorders>
              <w:top w:val="nil"/>
              <w:left w:val="nil"/>
              <w:bottom w:val="nil"/>
              <w:right w:val="nil"/>
            </w:tcBorders>
            <w:shd w:val="clear" w:color="auto" w:fill="auto"/>
            <w:noWrap/>
            <w:vAlign w:val="bottom"/>
            <w:hideMark/>
          </w:tcPr>
          <w:p w14:paraId="3B9DECDB"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Japan</w:t>
            </w:r>
          </w:p>
        </w:tc>
        <w:tc>
          <w:tcPr>
            <w:tcW w:w="2131" w:type="dxa"/>
            <w:tcBorders>
              <w:top w:val="nil"/>
              <w:left w:val="nil"/>
              <w:bottom w:val="nil"/>
              <w:right w:val="nil"/>
            </w:tcBorders>
            <w:shd w:val="clear" w:color="auto" w:fill="auto"/>
            <w:vAlign w:val="bottom"/>
          </w:tcPr>
          <w:p w14:paraId="349470FD"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369 </w:t>
            </w:r>
          </w:p>
        </w:tc>
        <w:tc>
          <w:tcPr>
            <w:tcW w:w="4190" w:type="dxa"/>
            <w:tcBorders>
              <w:top w:val="nil"/>
              <w:left w:val="nil"/>
              <w:bottom w:val="nil"/>
              <w:right w:val="nil"/>
            </w:tcBorders>
            <w:shd w:val="clear" w:color="auto" w:fill="auto"/>
            <w:noWrap/>
            <w:vAlign w:val="bottom"/>
            <w:hideMark/>
          </w:tcPr>
          <w:p w14:paraId="3DBF752C"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617</w:t>
            </w:r>
          </w:p>
        </w:tc>
      </w:tr>
      <w:tr w:rsidR="007366DC" w:rsidRPr="00D27BF5" w14:paraId="6CB4F4D8"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75150A8B"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Republic of Korea</w:t>
            </w:r>
          </w:p>
        </w:tc>
        <w:tc>
          <w:tcPr>
            <w:tcW w:w="2131" w:type="dxa"/>
            <w:tcBorders>
              <w:top w:val="nil"/>
              <w:left w:val="nil"/>
              <w:bottom w:val="nil"/>
              <w:right w:val="nil"/>
            </w:tcBorders>
            <w:shd w:val="clear" w:color="auto" w:fill="D9D9D9" w:themeFill="background1" w:themeFillShade="D9"/>
            <w:vAlign w:val="bottom"/>
          </w:tcPr>
          <w:p w14:paraId="43427234"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1,827 </w:t>
            </w:r>
          </w:p>
        </w:tc>
        <w:tc>
          <w:tcPr>
            <w:tcW w:w="4190" w:type="dxa"/>
            <w:tcBorders>
              <w:top w:val="nil"/>
              <w:left w:val="nil"/>
              <w:bottom w:val="nil"/>
              <w:right w:val="nil"/>
            </w:tcBorders>
            <w:shd w:val="clear" w:color="auto" w:fill="D9D9D9" w:themeFill="background1" w:themeFillShade="D9"/>
            <w:noWrap/>
            <w:vAlign w:val="bottom"/>
            <w:hideMark/>
          </w:tcPr>
          <w:p w14:paraId="67240A88"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840</w:t>
            </w:r>
          </w:p>
        </w:tc>
      </w:tr>
      <w:tr w:rsidR="007366DC" w:rsidRPr="00D27BF5" w14:paraId="6A939320" w14:textId="77777777" w:rsidTr="00505664">
        <w:trPr>
          <w:trHeight w:val="300"/>
        </w:trPr>
        <w:tc>
          <w:tcPr>
            <w:tcW w:w="3040" w:type="dxa"/>
            <w:tcBorders>
              <w:top w:val="nil"/>
              <w:left w:val="nil"/>
              <w:bottom w:val="nil"/>
              <w:right w:val="nil"/>
            </w:tcBorders>
            <w:shd w:val="clear" w:color="auto" w:fill="auto"/>
            <w:noWrap/>
            <w:vAlign w:val="bottom"/>
            <w:hideMark/>
          </w:tcPr>
          <w:p w14:paraId="752202D1"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Mexico</w:t>
            </w:r>
          </w:p>
        </w:tc>
        <w:tc>
          <w:tcPr>
            <w:tcW w:w="2131" w:type="dxa"/>
            <w:tcBorders>
              <w:top w:val="nil"/>
              <w:left w:val="nil"/>
              <w:bottom w:val="nil"/>
              <w:right w:val="nil"/>
            </w:tcBorders>
            <w:shd w:val="clear" w:color="auto" w:fill="auto"/>
            <w:vAlign w:val="bottom"/>
          </w:tcPr>
          <w:p w14:paraId="34D311F9"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45 </w:t>
            </w:r>
          </w:p>
        </w:tc>
        <w:tc>
          <w:tcPr>
            <w:tcW w:w="4190" w:type="dxa"/>
            <w:tcBorders>
              <w:top w:val="nil"/>
              <w:left w:val="nil"/>
              <w:bottom w:val="nil"/>
              <w:right w:val="nil"/>
            </w:tcBorders>
            <w:shd w:val="clear" w:color="auto" w:fill="auto"/>
            <w:noWrap/>
            <w:vAlign w:val="bottom"/>
            <w:hideMark/>
          </w:tcPr>
          <w:p w14:paraId="206555A6"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173</w:t>
            </w:r>
          </w:p>
        </w:tc>
      </w:tr>
      <w:tr w:rsidR="007366DC" w:rsidRPr="00D27BF5" w14:paraId="3027D66C" w14:textId="77777777" w:rsidTr="00505664">
        <w:trPr>
          <w:trHeight w:val="300"/>
        </w:trPr>
        <w:tc>
          <w:tcPr>
            <w:tcW w:w="3040" w:type="dxa"/>
            <w:tcBorders>
              <w:top w:val="nil"/>
              <w:left w:val="nil"/>
              <w:bottom w:val="nil"/>
              <w:right w:val="nil"/>
            </w:tcBorders>
            <w:shd w:val="clear" w:color="auto" w:fill="D9D9D9" w:themeFill="background1" w:themeFillShade="D9"/>
            <w:noWrap/>
            <w:vAlign w:val="bottom"/>
            <w:hideMark/>
          </w:tcPr>
          <w:p w14:paraId="3A8019F4"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Russian Federation</w:t>
            </w:r>
          </w:p>
        </w:tc>
        <w:tc>
          <w:tcPr>
            <w:tcW w:w="2131" w:type="dxa"/>
            <w:tcBorders>
              <w:top w:val="nil"/>
              <w:left w:val="nil"/>
              <w:bottom w:val="nil"/>
              <w:right w:val="nil"/>
            </w:tcBorders>
            <w:shd w:val="clear" w:color="auto" w:fill="D9D9D9" w:themeFill="background1" w:themeFillShade="D9"/>
            <w:vAlign w:val="bottom"/>
          </w:tcPr>
          <w:p w14:paraId="5F706B9F"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237 </w:t>
            </w:r>
          </w:p>
        </w:tc>
        <w:tc>
          <w:tcPr>
            <w:tcW w:w="4190" w:type="dxa"/>
            <w:tcBorders>
              <w:top w:val="nil"/>
              <w:left w:val="nil"/>
              <w:bottom w:val="nil"/>
              <w:right w:val="nil"/>
            </w:tcBorders>
            <w:shd w:val="clear" w:color="auto" w:fill="D9D9D9" w:themeFill="background1" w:themeFillShade="D9"/>
            <w:noWrap/>
            <w:vAlign w:val="bottom"/>
            <w:hideMark/>
          </w:tcPr>
          <w:p w14:paraId="76DDA5A0"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392</w:t>
            </w:r>
          </w:p>
        </w:tc>
      </w:tr>
      <w:tr w:rsidR="007366DC" w:rsidRPr="00D27BF5" w14:paraId="3BCF8254" w14:textId="77777777" w:rsidTr="00505664">
        <w:trPr>
          <w:trHeight w:val="300"/>
        </w:trPr>
        <w:tc>
          <w:tcPr>
            <w:tcW w:w="3040" w:type="dxa"/>
            <w:tcBorders>
              <w:top w:val="nil"/>
              <w:left w:val="nil"/>
              <w:bottom w:val="nil"/>
              <w:right w:val="nil"/>
            </w:tcBorders>
            <w:shd w:val="clear" w:color="auto" w:fill="auto"/>
            <w:noWrap/>
            <w:vAlign w:val="bottom"/>
            <w:hideMark/>
          </w:tcPr>
          <w:p w14:paraId="0359CB46"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South Africa</w:t>
            </w:r>
          </w:p>
        </w:tc>
        <w:tc>
          <w:tcPr>
            <w:tcW w:w="2131" w:type="dxa"/>
            <w:tcBorders>
              <w:top w:val="nil"/>
              <w:left w:val="nil"/>
              <w:bottom w:val="nil"/>
              <w:right w:val="nil"/>
            </w:tcBorders>
            <w:shd w:val="clear" w:color="auto" w:fill="auto"/>
            <w:vAlign w:val="bottom"/>
          </w:tcPr>
          <w:p w14:paraId="26D7EE55"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189 </w:t>
            </w:r>
          </w:p>
        </w:tc>
        <w:tc>
          <w:tcPr>
            <w:tcW w:w="4190" w:type="dxa"/>
            <w:tcBorders>
              <w:top w:val="nil"/>
              <w:left w:val="nil"/>
              <w:bottom w:val="nil"/>
              <w:right w:val="nil"/>
            </w:tcBorders>
            <w:shd w:val="clear" w:color="auto" w:fill="auto"/>
            <w:noWrap/>
            <w:vAlign w:val="bottom"/>
            <w:hideMark/>
          </w:tcPr>
          <w:p w14:paraId="44DF0BAB"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227</w:t>
            </w:r>
          </w:p>
        </w:tc>
      </w:tr>
      <w:tr w:rsidR="007366DC" w:rsidRPr="00D27BF5" w14:paraId="54AA32A8" w14:textId="77777777" w:rsidTr="00505664">
        <w:trPr>
          <w:trHeight w:val="300"/>
        </w:trPr>
        <w:tc>
          <w:tcPr>
            <w:tcW w:w="3040" w:type="dxa"/>
            <w:tcBorders>
              <w:top w:val="nil"/>
              <w:left w:val="nil"/>
              <w:right w:val="nil"/>
            </w:tcBorders>
            <w:shd w:val="clear" w:color="auto" w:fill="D9D9D9" w:themeFill="background1" w:themeFillShade="D9"/>
            <w:noWrap/>
            <w:vAlign w:val="bottom"/>
            <w:hideMark/>
          </w:tcPr>
          <w:p w14:paraId="22C796E0"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Turkey</w:t>
            </w:r>
          </w:p>
        </w:tc>
        <w:tc>
          <w:tcPr>
            <w:tcW w:w="2131" w:type="dxa"/>
            <w:tcBorders>
              <w:top w:val="nil"/>
              <w:left w:val="nil"/>
              <w:bottom w:val="nil"/>
              <w:right w:val="nil"/>
            </w:tcBorders>
            <w:shd w:val="clear" w:color="auto" w:fill="D9D9D9" w:themeFill="background1" w:themeFillShade="D9"/>
            <w:vAlign w:val="bottom"/>
          </w:tcPr>
          <w:p w14:paraId="5DF3D85B"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278 </w:t>
            </w:r>
          </w:p>
        </w:tc>
        <w:tc>
          <w:tcPr>
            <w:tcW w:w="4190" w:type="dxa"/>
            <w:tcBorders>
              <w:top w:val="nil"/>
              <w:left w:val="nil"/>
              <w:right w:val="nil"/>
            </w:tcBorders>
            <w:shd w:val="clear" w:color="auto" w:fill="D9D9D9" w:themeFill="background1" w:themeFillShade="D9"/>
            <w:noWrap/>
            <w:vAlign w:val="bottom"/>
            <w:hideMark/>
          </w:tcPr>
          <w:p w14:paraId="6EBFF1C0"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512</w:t>
            </w:r>
          </w:p>
        </w:tc>
      </w:tr>
      <w:tr w:rsidR="007366DC" w:rsidRPr="00D27BF5" w14:paraId="56779BDD" w14:textId="77777777" w:rsidTr="00505664">
        <w:trPr>
          <w:trHeight w:val="300"/>
        </w:trPr>
        <w:tc>
          <w:tcPr>
            <w:tcW w:w="3040" w:type="dxa"/>
            <w:tcBorders>
              <w:top w:val="nil"/>
              <w:left w:val="nil"/>
              <w:bottom w:val="single" w:sz="4" w:space="0" w:color="auto"/>
              <w:right w:val="nil"/>
            </w:tcBorders>
            <w:shd w:val="clear" w:color="auto" w:fill="auto"/>
            <w:noWrap/>
            <w:vAlign w:val="bottom"/>
            <w:hideMark/>
          </w:tcPr>
          <w:p w14:paraId="2066440E" w14:textId="77777777" w:rsidR="007366DC" w:rsidRPr="00D27BF5" w:rsidRDefault="007366DC" w:rsidP="00505664">
            <w:pPr>
              <w:rPr>
                <w:rFonts w:eastAsia="Times New Roman"/>
                <w:color w:val="000000"/>
                <w:lang w:eastAsia="en-GB"/>
              </w:rPr>
            </w:pPr>
            <w:r w:rsidRPr="00D27BF5">
              <w:rPr>
                <w:rFonts w:eastAsia="Times New Roman"/>
                <w:color w:val="000000"/>
                <w:lang w:eastAsia="en-GB"/>
              </w:rPr>
              <w:t>United States</w:t>
            </w:r>
          </w:p>
        </w:tc>
        <w:tc>
          <w:tcPr>
            <w:tcW w:w="2131" w:type="dxa"/>
            <w:tcBorders>
              <w:top w:val="nil"/>
              <w:left w:val="nil"/>
              <w:bottom w:val="single" w:sz="4" w:space="0" w:color="auto"/>
              <w:right w:val="nil"/>
            </w:tcBorders>
            <w:shd w:val="clear" w:color="auto" w:fill="auto"/>
            <w:vAlign w:val="bottom"/>
          </w:tcPr>
          <w:p w14:paraId="0E4D8B94"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157 </w:t>
            </w:r>
          </w:p>
        </w:tc>
        <w:tc>
          <w:tcPr>
            <w:tcW w:w="4190" w:type="dxa"/>
            <w:tcBorders>
              <w:top w:val="nil"/>
              <w:left w:val="nil"/>
              <w:bottom w:val="single" w:sz="4" w:space="0" w:color="auto"/>
              <w:right w:val="nil"/>
            </w:tcBorders>
            <w:shd w:val="clear" w:color="auto" w:fill="auto"/>
            <w:noWrap/>
            <w:vAlign w:val="bottom"/>
            <w:hideMark/>
          </w:tcPr>
          <w:p w14:paraId="4FF072F9"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740</w:t>
            </w:r>
          </w:p>
        </w:tc>
      </w:tr>
      <w:tr w:rsidR="007366DC" w:rsidRPr="00D27BF5" w14:paraId="4193ED03" w14:textId="77777777" w:rsidTr="00505664">
        <w:trPr>
          <w:trHeight w:val="300"/>
        </w:trPr>
        <w:tc>
          <w:tcPr>
            <w:tcW w:w="3040" w:type="dxa"/>
            <w:tcBorders>
              <w:top w:val="single" w:sz="4" w:space="0" w:color="auto"/>
              <w:left w:val="nil"/>
              <w:bottom w:val="single" w:sz="4" w:space="0" w:color="auto"/>
              <w:right w:val="nil"/>
            </w:tcBorders>
            <w:shd w:val="clear" w:color="auto" w:fill="auto"/>
            <w:noWrap/>
            <w:vAlign w:val="bottom"/>
          </w:tcPr>
          <w:p w14:paraId="45A34C38" w14:textId="77777777" w:rsidR="007366DC" w:rsidRPr="0007580C" w:rsidRDefault="007366DC" w:rsidP="00505664">
            <w:pPr>
              <w:rPr>
                <w:rFonts w:eastAsia="Times New Roman"/>
                <w:b/>
                <w:color w:val="000000"/>
                <w:lang w:eastAsia="en-GB"/>
              </w:rPr>
            </w:pPr>
            <w:r>
              <w:rPr>
                <w:rFonts w:eastAsia="Times New Roman"/>
                <w:b/>
                <w:color w:val="000000"/>
                <w:lang w:eastAsia="en-GB"/>
              </w:rPr>
              <w:t xml:space="preserve">Average across </w:t>
            </w:r>
            <w:r w:rsidRPr="0007580C">
              <w:rPr>
                <w:rFonts w:eastAsia="Times New Roman"/>
                <w:b/>
                <w:color w:val="000000"/>
                <w:lang w:eastAsia="en-GB"/>
              </w:rPr>
              <w:t xml:space="preserve">G20  </w:t>
            </w:r>
          </w:p>
        </w:tc>
        <w:tc>
          <w:tcPr>
            <w:tcW w:w="2131" w:type="dxa"/>
            <w:tcBorders>
              <w:top w:val="single" w:sz="4" w:space="0" w:color="auto"/>
              <w:left w:val="nil"/>
              <w:bottom w:val="single" w:sz="4" w:space="0" w:color="auto"/>
              <w:right w:val="nil"/>
            </w:tcBorders>
            <w:shd w:val="clear" w:color="auto" w:fill="auto"/>
            <w:vAlign w:val="bottom"/>
          </w:tcPr>
          <w:p w14:paraId="24AFDF81" w14:textId="77777777" w:rsidR="007366DC" w:rsidRDefault="007366DC" w:rsidP="00505664">
            <w:pPr>
              <w:jc w:val="right"/>
              <w:rPr>
                <w:rFonts w:ascii="Arial" w:hAnsi="Arial" w:cs="Arial"/>
                <w:color w:val="000000"/>
                <w:sz w:val="20"/>
                <w:szCs w:val="20"/>
              </w:rPr>
            </w:pPr>
            <w:r>
              <w:rPr>
                <w:rFonts w:ascii="Arial" w:hAnsi="Arial" w:cs="Arial"/>
                <w:color w:val="000000"/>
                <w:sz w:val="20"/>
                <w:szCs w:val="20"/>
              </w:rPr>
              <w:t xml:space="preserve">     185 </w:t>
            </w:r>
          </w:p>
        </w:tc>
        <w:tc>
          <w:tcPr>
            <w:tcW w:w="4190" w:type="dxa"/>
            <w:tcBorders>
              <w:top w:val="single" w:sz="4" w:space="0" w:color="auto"/>
              <w:left w:val="nil"/>
              <w:bottom w:val="single" w:sz="4" w:space="0" w:color="auto"/>
              <w:right w:val="nil"/>
            </w:tcBorders>
            <w:shd w:val="clear" w:color="auto" w:fill="auto"/>
            <w:noWrap/>
            <w:vAlign w:val="bottom"/>
          </w:tcPr>
          <w:p w14:paraId="0A1E2591" w14:textId="77777777" w:rsidR="007366DC" w:rsidRPr="00D27BF5" w:rsidRDefault="007366DC" w:rsidP="00505664">
            <w:pPr>
              <w:jc w:val="right"/>
              <w:rPr>
                <w:rFonts w:eastAsia="Times New Roman"/>
                <w:color w:val="000000"/>
                <w:lang w:eastAsia="en-GB"/>
              </w:rPr>
            </w:pPr>
            <w:r>
              <w:rPr>
                <w:rFonts w:ascii="Arial" w:hAnsi="Arial" w:cs="Arial"/>
                <w:color w:val="000000"/>
                <w:sz w:val="20"/>
                <w:szCs w:val="20"/>
              </w:rPr>
              <w:t>450</w:t>
            </w:r>
          </w:p>
        </w:tc>
      </w:tr>
    </w:tbl>
    <w:p w14:paraId="62F874EA" w14:textId="77777777" w:rsidR="007366DC" w:rsidRPr="0007580C" w:rsidRDefault="007366DC" w:rsidP="007366DC"/>
    <w:p w14:paraId="70AA1344" w14:textId="6EC2E43C" w:rsidR="007366DC" w:rsidRDefault="007366DC" w:rsidP="007366DC">
      <w:pPr>
        <w:pStyle w:val="Heading2"/>
        <w:rPr>
          <w:rFonts w:ascii="Calibri" w:hAnsi="Calibri" w:cs="Calibri"/>
          <w:b w:val="0"/>
          <w:bCs w:val="0"/>
          <w:lang w:eastAsia="en-US"/>
        </w:rPr>
      </w:pPr>
      <w:r w:rsidRPr="008B333E">
        <w:rPr>
          <w:rFonts w:ascii="Calibri" w:hAnsi="Calibri" w:cs="Calibri"/>
          <w:b w:val="0"/>
          <w:bCs w:val="0"/>
          <w:lang w:eastAsia="en-US"/>
        </w:rPr>
        <w:t>The longstanding concer</w:t>
      </w:r>
      <w:r>
        <w:rPr>
          <w:rFonts w:ascii="Calibri" w:hAnsi="Calibri" w:cs="Calibri"/>
          <w:b w:val="0"/>
          <w:bCs w:val="0"/>
          <w:lang w:eastAsia="en-US"/>
        </w:rPr>
        <w:t xml:space="preserve">n over NTMs by businesses and policymakers is validated by the results presented in this </w:t>
      </w:r>
      <w:r w:rsidR="00B95442">
        <w:rPr>
          <w:rFonts w:ascii="Calibri" w:hAnsi="Calibri" w:cs="Calibri"/>
          <w:b w:val="0"/>
          <w:bCs w:val="0"/>
          <w:lang w:eastAsia="en-US"/>
        </w:rPr>
        <w:t>paper</w:t>
      </w:r>
      <w:r>
        <w:rPr>
          <w:rFonts w:ascii="Calibri" w:hAnsi="Calibri" w:cs="Calibri"/>
          <w:b w:val="0"/>
          <w:bCs w:val="0"/>
          <w:lang w:eastAsia="en-US"/>
        </w:rPr>
        <w:t>. Reducing trade costs associated with NTMs is estimated to increase global trade by 5.5% among G20 members and 4% worldwide. It could also lead to greater increases in workers’ incomes than tariff liberalisation alone.</w:t>
      </w:r>
    </w:p>
    <w:p w14:paraId="47B204E0" w14:textId="77777777" w:rsidR="007366DC" w:rsidRDefault="007366DC" w:rsidP="007366DC">
      <w:pPr>
        <w:pStyle w:val="Heading2"/>
        <w:rPr>
          <w:rFonts w:ascii="Calibri" w:hAnsi="Calibri" w:cs="Calibri"/>
          <w:b w:val="0"/>
          <w:bCs w:val="0"/>
          <w:lang w:eastAsia="en-US"/>
        </w:rPr>
      </w:pPr>
      <w:r>
        <w:rPr>
          <w:rFonts w:ascii="Calibri" w:hAnsi="Calibri" w:cs="Calibri"/>
          <w:b w:val="0"/>
          <w:bCs w:val="0"/>
          <w:lang w:eastAsia="en-US"/>
        </w:rPr>
        <w:t>The benefits of reducing unnecessary trade costs on a multilateral basis, for example by adopting internationally agreed standards, would accrue more widely. The broad-based nature of the gains subsequently reduces the potential for trade diversion, benefitting both businesses (in terms of lower compliance costs) and governments (in terms of lower enforcement costs).</w:t>
      </w:r>
    </w:p>
    <w:p w14:paraId="108D69AD" w14:textId="77777777" w:rsidR="007366DC" w:rsidRDefault="007366DC" w:rsidP="007366DC">
      <w:pPr>
        <w:pStyle w:val="Heading2"/>
        <w:rPr>
          <w:rFonts w:ascii="Calibri" w:hAnsi="Calibri" w:cs="Calibri"/>
          <w:b w:val="0"/>
          <w:bCs w:val="0"/>
          <w:lang w:eastAsia="en-US"/>
        </w:rPr>
      </w:pPr>
      <w:r>
        <w:rPr>
          <w:rFonts w:ascii="Calibri" w:hAnsi="Calibri" w:cs="Calibri"/>
          <w:b w:val="0"/>
          <w:bCs w:val="0"/>
          <w:lang w:eastAsia="en-US"/>
        </w:rPr>
        <w:t xml:space="preserve">What the results of this analysis highlights is that developing market regulations in isolation is costly and can put domestic industries at a competitive disadvantage when attempting to access global markets. The benefits of coordinated policy action can lead to improvements in domestic markets as well, given that the OECD has shown that reducing distortions </w:t>
      </w:r>
      <w:r w:rsidRPr="008B333E">
        <w:rPr>
          <w:rFonts w:ascii="Calibri" w:hAnsi="Calibri" w:cs="Calibri"/>
          <w:b w:val="0"/>
          <w:bCs w:val="0"/>
          <w:i/>
          <w:lang w:eastAsia="en-US"/>
        </w:rPr>
        <w:t>between</w:t>
      </w:r>
      <w:r>
        <w:rPr>
          <w:rFonts w:ascii="Calibri" w:hAnsi="Calibri" w:cs="Calibri"/>
          <w:b w:val="0"/>
          <w:bCs w:val="0"/>
          <w:lang w:eastAsia="en-US"/>
        </w:rPr>
        <w:t xml:space="preserve"> markets can lead to fewer distortions </w:t>
      </w:r>
      <w:r w:rsidRPr="008B333E">
        <w:rPr>
          <w:rFonts w:ascii="Calibri" w:hAnsi="Calibri" w:cs="Calibri"/>
          <w:b w:val="0"/>
          <w:bCs w:val="0"/>
          <w:i/>
          <w:lang w:eastAsia="en-US"/>
        </w:rPr>
        <w:t>within</w:t>
      </w:r>
      <w:r>
        <w:rPr>
          <w:rFonts w:ascii="Calibri" w:hAnsi="Calibri" w:cs="Calibri"/>
          <w:b w:val="0"/>
          <w:bCs w:val="0"/>
          <w:lang w:eastAsia="en-US"/>
        </w:rPr>
        <w:t xml:space="preserve"> markets, generating domestic gains beyond those tied to trade.</w:t>
      </w:r>
      <w:r>
        <w:rPr>
          <w:rStyle w:val="FootnoteReference"/>
          <w:rFonts w:ascii="Calibri" w:hAnsi="Calibri" w:cs="Calibri"/>
          <w:b w:val="0"/>
          <w:bCs w:val="0"/>
          <w:lang w:eastAsia="en-US"/>
        </w:rPr>
        <w:footnoteReference w:id="6"/>
      </w:r>
      <w:r w:rsidRPr="008B333E">
        <w:rPr>
          <w:rFonts w:ascii="Calibri" w:hAnsi="Calibri" w:cs="Calibri"/>
          <w:b w:val="0"/>
          <w:bCs w:val="0"/>
          <w:lang w:eastAsia="en-US"/>
        </w:rPr>
        <w:t xml:space="preserve"> </w:t>
      </w:r>
      <w:r>
        <w:rPr>
          <w:rFonts w:ascii="Calibri" w:hAnsi="Calibri" w:cs="Calibri"/>
          <w:b w:val="0"/>
          <w:bCs w:val="0"/>
          <w:lang w:eastAsia="en-US"/>
        </w:rPr>
        <w:t>In addition, many policies leading to efficiency gains can be implemented unilaterally.</w:t>
      </w:r>
    </w:p>
    <w:p w14:paraId="1C1BC986" w14:textId="45BAB90C" w:rsidR="007366DC" w:rsidRPr="002610AD" w:rsidRDefault="007366DC" w:rsidP="007366DC">
      <w:pPr>
        <w:pStyle w:val="Heading2"/>
        <w:rPr>
          <w:rFonts w:ascii="Calibri" w:hAnsi="Calibri" w:cs="Calibri"/>
          <w:b w:val="0"/>
          <w:bCs w:val="0"/>
          <w:lang w:eastAsia="en-US"/>
        </w:rPr>
      </w:pPr>
      <w:r w:rsidRPr="002610AD">
        <w:rPr>
          <w:rFonts w:ascii="Calibri" w:hAnsi="Calibri" w:cs="Calibri"/>
          <w:b w:val="0"/>
          <w:bCs w:val="0"/>
          <w:lang w:eastAsia="en-US"/>
        </w:rPr>
        <w:t xml:space="preserve">OECD work has </w:t>
      </w:r>
      <w:r>
        <w:rPr>
          <w:rFonts w:ascii="Calibri" w:hAnsi="Calibri" w:cs="Calibri"/>
          <w:b w:val="0"/>
          <w:bCs w:val="0"/>
          <w:lang w:eastAsia="en-US"/>
        </w:rPr>
        <w:t xml:space="preserve">also </w:t>
      </w:r>
      <w:r w:rsidRPr="002610AD">
        <w:rPr>
          <w:rFonts w:ascii="Calibri" w:hAnsi="Calibri" w:cs="Calibri"/>
          <w:b w:val="0"/>
          <w:bCs w:val="0"/>
          <w:lang w:eastAsia="en-US"/>
        </w:rPr>
        <w:t>shown that</w:t>
      </w:r>
      <w:r>
        <w:rPr>
          <w:rFonts w:ascii="Calibri" w:hAnsi="Calibri" w:cs="Calibri"/>
          <w:b w:val="0"/>
          <w:bCs w:val="0"/>
          <w:lang w:eastAsia="en-US"/>
        </w:rPr>
        <w:t xml:space="preserve"> simply increasing policy transparency can be</w:t>
      </w:r>
      <w:r w:rsidRPr="002610AD">
        <w:rPr>
          <w:rFonts w:ascii="Calibri" w:hAnsi="Calibri" w:cs="Calibri"/>
          <w:b w:val="0"/>
          <w:bCs w:val="0"/>
          <w:lang w:eastAsia="en-US"/>
        </w:rPr>
        <w:t xml:space="preserve"> enough to reduce trade costs</w:t>
      </w:r>
      <w:r>
        <w:rPr>
          <w:rFonts w:ascii="Calibri" w:hAnsi="Calibri" w:cs="Calibri"/>
          <w:b w:val="0"/>
          <w:bCs w:val="0"/>
          <w:lang w:eastAsia="en-US"/>
        </w:rPr>
        <w:t>.</w:t>
      </w:r>
      <w:r>
        <w:rPr>
          <w:rStyle w:val="FootnoteReference"/>
          <w:rFonts w:ascii="Calibri" w:hAnsi="Calibri" w:cs="Calibri"/>
          <w:b w:val="0"/>
          <w:bCs w:val="0"/>
          <w:lang w:eastAsia="en-US"/>
        </w:rPr>
        <w:footnoteReference w:id="7"/>
      </w:r>
      <w:r>
        <w:rPr>
          <w:rFonts w:ascii="Calibri" w:hAnsi="Calibri" w:cs="Calibri"/>
          <w:b w:val="0"/>
          <w:bCs w:val="0"/>
          <w:lang w:eastAsia="en-US"/>
        </w:rPr>
        <w:t xml:space="preserve"> Having r</w:t>
      </w:r>
      <w:r w:rsidRPr="002610AD">
        <w:rPr>
          <w:rFonts w:ascii="Calibri" w:hAnsi="Calibri" w:cs="Calibri"/>
          <w:b w:val="0"/>
          <w:bCs w:val="0"/>
          <w:lang w:eastAsia="en-US"/>
        </w:rPr>
        <w:t>egulato</w:t>
      </w:r>
      <w:r>
        <w:rPr>
          <w:rFonts w:ascii="Calibri" w:hAnsi="Calibri" w:cs="Calibri"/>
          <w:b w:val="0"/>
          <w:bCs w:val="0"/>
          <w:lang w:eastAsia="en-US"/>
        </w:rPr>
        <w:t xml:space="preserve">ry requirements publicly available, </w:t>
      </w:r>
      <w:r w:rsidRPr="002610AD">
        <w:rPr>
          <w:rFonts w:ascii="Calibri" w:hAnsi="Calibri" w:cs="Calibri"/>
          <w:b w:val="0"/>
          <w:bCs w:val="0"/>
          <w:lang w:eastAsia="en-US"/>
        </w:rPr>
        <w:t>clear</w:t>
      </w:r>
      <w:r>
        <w:rPr>
          <w:rFonts w:ascii="Calibri" w:hAnsi="Calibri" w:cs="Calibri"/>
          <w:b w:val="0"/>
          <w:bCs w:val="0"/>
          <w:lang w:eastAsia="en-US"/>
        </w:rPr>
        <w:t xml:space="preserve">ly stated and consistently applied increases </w:t>
      </w:r>
      <w:r>
        <w:rPr>
          <w:rFonts w:ascii="Calibri" w:hAnsi="Calibri" w:cs="Calibri"/>
          <w:b w:val="0"/>
          <w:bCs w:val="0"/>
          <w:lang w:eastAsia="en-US"/>
        </w:rPr>
        <w:lastRenderedPageBreak/>
        <w:t>predictability and certainty for traders wishing to access a</w:t>
      </w:r>
      <w:r w:rsidRPr="002610AD">
        <w:rPr>
          <w:rFonts w:ascii="Calibri" w:hAnsi="Calibri" w:cs="Calibri"/>
          <w:b w:val="0"/>
          <w:bCs w:val="0"/>
          <w:lang w:eastAsia="en-US"/>
        </w:rPr>
        <w:t xml:space="preserve"> market</w:t>
      </w:r>
      <w:r>
        <w:rPr>
          <w:rFonts w:ascii="Calibri" w:hAnsi="Calibri" w:cs="Calibri"/>
          <w:b w:val="0"/>
          <w:bCs w:val="0"/>
          <w:lang w:eastAsia="en-US"/>
        </w:rPr>
        <w:t>. This is particularly important in today’s interconnected world, characterized by the international fragmentation of production within global value chains.</w:t>
      </w:r>
    </w:p>
    <w:p w14:paraId="54C3D7FD" w14:textId="5B090A8E" w:rsidR="0036413B" w:rsidRDefault="0036413B">
      <w:pPr>
        <w:tabs>
          <w:tab w:val="clear" w:pos="850"/>
          <w:tab w:val="clear" w:pos="1191"/>
          <w:tab w:val="clear" w:pos="1531"/>
        </w:tabs>
        <w:jc w:val="left"/>
        <w:rPr>
          <w:sz w:val="24"/>
          <w:szCs w:val="24"/>
        </w:rPr>
      </w:pPr>
      <w:r>
        <w:rPr>
          <w:sz w:val="24"/>
          <w:szCs w:val="24"/>
        </w:rPr>
        <w:br w:type="page"/>
      </w:r>
    </w:p>
    <w:p w14:paraId="2185F0BD" w14:textId="77777777" w:rsidR="004649D9" w:rsidRDefault="004649D9" w:rsidP="004649D9">
      <w:pPr>
        <w:pStyle w:val="Heading2"/>
      </w:pPr>
      <w:r>
        <w:lastRenderedPageBreak/>
        <w:t>References</w:t>
      </w:r>
    </w:p>
    <w:p w14:paraId="2A71340A" w14:textId="77777777" w:rsidR="00DD3D3E" w:rsidRDefault="00DD3D3E" w:rsidP="00DD3D3E">
      <w:r>
        <w:t xml:space="preserve">Andriamananjara, S., Dean, J. M., Feinberg, R., Ferrantino, M. J., Ludema, R., </w:t>
      </w:r>
      <w:r w:rsidR="00BD79C0">
        <w:t>and M. Tsigas</w:t>
      </w:r>
      <w:r>
        <w:t xml:space="preserve"> (2004). </w:t>
      </w:r>
      <w:r w:rsidR="00BD79C0">
        <w:t>“</w:t>
      </w:r>
      <w:r>
        <w:t>The effects of nontariff</w:t>
      </w:r>
      <w:r w:rsidR="004B4FE1">
        <w:t xml:space="preserve"> </w:t>
      </w:r>
      <w:r>
        <w:t>measures on prices, trade and welfare:</w:t>
      </w:r>
      <w:r w:rsidR="00BD79C0">
        <w:t xml:space="preserve"> </w:t>
      </w:r>
      <w:r>
        <w:t>CGE</w:t>
      </w:r>
      <w:r w:rsidR="00BD79C0">
        <w:t xml:space="preserve"> </w:t>
      </w:r>
      <w:r>
        <w:t>implementation of policy-based price comparisons.</w:t>
      </w:r>
      <w:r w:rsidR="00BD79C0">
        <w:t>”</w:t>
      </w:r>
      <w:r>
        <w:t xml:space="preserve"> U.S International</w:t>
      </w:r>
      <w:r w:rsidR="004B4FE1">
        <w:t xml:space="preserve"> </w:t>
      </w:r>
      <w:r>
        <w:t>Trade Commission, Office of Economics Working Paper No. 2004-04.A.</w:t>
      </w:r>
    </w:p>
    <w:p w14:paraId="53E63202" w14:textId="77777777" w:rsidR="004B4FE1" w:rsidRDefault="004B4FE1" w:rsidP="00DD3D3E"/>
    <w:p w14:paraId="4119506A" w14:textId="77777777" w:rsidR="00BD79C0" w:rsidRDefault="00BD79C0" w:rsidP="00BD79C0">
      <w:r>
        <w:t xml:space="preserve">Bekkers, E. and J. Francois (2018) “A Parsimonious Approach to Incorporate Firm Heterogeneity in CGE-Models” </w:t>
      </w:r>
      <w:r w:rsidRPr="00BD79C0">
        <w:rPr>
          <w:i/>
        </w:rPr>
        <w:t>Journal of Global Economic Analysis</w:t>
      </w:r>
      <w:r w:rsidRPr="00BD79C0">
        <w:t>, Volume 3, No. 2, pp. 1-68.</w:t>
      </w:r>
    </w:p>
    <w:p w14:paraId="032EDC9C" w14:textId="77777777" w:rsidR="00F923B7" w:rsidRDefault="00F923B7" w:rsidP="00BD79C0"/>
    <w:p w14:paraId="37D207F1" w14:textId="77777777" w:rsidR="00F923B7" w:rsidRDefault="00F923B7" w:rsidP="00BD79C0">
      <w:pPr>
        <w:rPr>
          <w:i/>
        </w:rPr>
      </w:pPr>
      <w:r>
        <w:t>Bekkers, E. and H. R</w:t>
      </w:r>
      <w:r w:rsidR="002941A4">
        <w:t>ojas-Romago</w:t>
      </w:r>
      <w:r>
        <w:t>sa (2018). “</w:t>
      </w:r>
      <w:r w:rsidRPr="00F923B7">
        <w:t>The welfare effects of free trade agreements in quantitative trade models: A comparison of studies about Transatlantic Trade and Investment Partnership</w:t>
      </w:r>
      <w:r>
        <w:t xml:space="preserve">”, </w:t>
      </w:r>
      <w:r>
        <w:rPr>
          <w:i/>
        </w:rPr>
        <w:t>The Worl</w:t>
      </w:r>
      <w:r w:rsidRPr="00F923B7">
        <w:rPr>
          <w:i/>
        </w:rPr>
        <w:t>d Economy</w:t>
      </w:r>
    </w:p>
    <w:p w14:paraId="0F877608" w14:textId="77777777" w:rsidR="00F923B7" w:rsidRDefault="00F923B7" w:rsidP="00BD79C0">
      <w:pPr>
        <w:rPr>
          <w:i/>
        </w:rPr>
      </w:pPr>
    </w:p>
    <w:p w14:paraId="5AC7D457" w14:textId="77777777" w:rsidR="00F923B7" w:rsidRPr="00F923B7" w:rsidRDefault="00F923B7" w:rsidP="00F923B7">
      <w:r w:rsidRPr="00F923B7">
        <w:t>Cadot, O., J. Gourdon and F. van Tongeren (2018), "Estimating Ad Valorem Equivalents of Non-Tariff Measures: Combining Price-Based and Quantity-Based Approaches", OECD Trade Policy Papers, No. 215, OECD Publishing, Paris, https://doi.org/10.1787/f3cd5bdc-en.</w:t>
      </w:r>
    </w:p>
    <w:p w14:paraId="3F29F9BA" w14:textId="77777777" w:rsidR="004B4FE1" w:rsidRDefault="004B4FE1" w:rsidP="00DD3D3E"/>
    <w:p w14:paraId="485E3288" w14:textId="77777777" w:rsidR="004B4FE1" w:rsidRDefault="004B4FE1" w:rsidP="00DD3D3E">
      <w:r w:rsidRPr="004B4FE1">
        <w:t xml:space="preserve">Egger, P., J. Francois, M. Manchin, and D. Nelson. </w:t>
      </w:r>
      <w:r w:rsidR="00BD79C0">
        <w:t>(</w:t>
      </w:r>
      <w:r w:rsidRPr="004B4FE1">
        <w:t>2</w:t>
      </w:r>
      <w:r>
        <w:t>015</w:t>
      </w:r>
      <w:r w:rsidR="00BD79C0">
        <w:t>)</w:t>
      </w:r>
      <w:r>
        <w:t>. “Non-tariff Barriers, Inte</w:t>
      </w:r>
      <w:r w:rsidRPr="004B4FE1">
        <w:t xml:space="preserve">gration, and the Transatlantic Economy.” </w:t>
      </w:r>
      <w:r w:rsidRPr="00BD79C0">
        <w:rPr>
          <w:i/>
        </w:rPr>
        <w:t>Economic Policy,</w:t>
      </w:r>
      <w:r w:rsidRPr="004B4FE1">
        <w:t xml:space="preserve"> 30(1): 539–584.</w:t>
      </w:r>
    </w:p>
    <w:p w14:paraId="60C55CB4" w14:textId="77777777" w:rsidR="00F923B7" w:rsidRDefault="00F923B7" w:rsidP="00DD3D3E"/>
    <w:p w14:paraId="0E82424E" w14:textId="77777777" w:rsidR="00F923B7" w:rsidRDefault="00F923B7" w:rsidP="00DD3D3E">
      <w:r w:rsidRPr="005D413D">
        <w:t xml:space="preserve">Fontagné, L., Gourdon, J., &amp; Jean, S. (2013). </w:t>
      </w:r>
      <w:r w:rsidRPr="00F923B7">
        <w:t>« Transatlantic trade: Whither partnership, which economic consequences?</w:t>
      </w:r>
      <w:r>
        <w:t>” CEPII Policy Brief No. 1</w:t>
      </w:r>
      <w:r w:rsidRPr="00F923B7">
        <w:t xml:space="preserve">. </w:t>
      </w:r>
    </w:p>
    <w:p w14:paraId="363666CE" w14:textId="77777777" w:rsidR="004B4FE1" w:rsidRDefault="004B4FE1" w:rsidP="00DD3D3E"/>
    <w:p w14:paraId="6012B6B7" w14:textId="77777777" w:rsidR="004B4FE1" w:rsidRDefault="004B4FE1" w:rsidP="004B4FE1">
      <w:r>
        <w:t>Fuggaza</w:t>
      </w:r>
      <w:r w:rsidR="00BD79C0">
        <w:t>,</w:t>
      </w:r>
      <w:r>
        <w:t xml:space="preserve"> M. </w:t>
      </w:r>
      <w:r w:rsidR="00BD79C0">
        <w:t>and J.C. Maur</w:t>
      </w:r>
      <w:r>
        <w:t xml:space="preserve"> (2008)</w:t>
      </w:r>
      <w:r w:rsidR="00BD79C0">
        <w:t>.</w:t>
      </w:r>
      <w:r>
        <w:t xml:space="preserve"> </w:t>
      </w:r>
      <w:r w:rsidR="00BD79C0">
        <w:t>“</w:t>
      </w:r>
      <w:r>
        <w:t>Non-tariff barriers in CGE models: How useful for policy?</w:t>
      </w:r>
      <w:r w:rsidR="00BD79C0">
        <w:t xml:space="preserve">” </w:t>
      </w:r>
      <w:r w:rsidRPr="00BD79C0">
        <w:rPr>
          <w:i/>
        </w:rPr>
        <w:t>Journal of Policy Modeling</w:t>
      </w:r>
      <w:r w:rsidR="00BD79C0">
        <w:rPr>
          <w:i/>
        </w:rPr>
        <w:t xml:space="preserve">, </w:t>
      </w:r>
      <w:r w:rsidR="00BD79C0">
        <w:t xml:space="preserve"> 30 pp</w:t>
      </w:r>
      <w:r w:rsidRPr="004B4FE1">
        <w:t>475–490</w:t>
      </w:r>
    </w:p>
    <w:p w14:paraId="48F86811" w14:textId="77777777" w:rsidR="00F923B7" w:rsidRDefault="00F923B7" w:rsidP="004B4FE1"/>
    <w:p w14:paraId="7CBD28FE" w14:textId="77777777" w:rsidR="00F923B7" w:rsidRDefault="00F923B7" w:rsidP="00F923B7">
      <w:r>
        <w:t>Kee, H.L., A. Nicita and M. Olarreaga (2009), “Estimating Trade Restrictiveness Indices”; Economic Journal</w:t>
      </w:r>
    </w:p>
    <w:p w14:paraId="7FDA89C9" w14:textId="77777777" w:rsidR="00F923B7" w:rsidRDefault="00F923B7" w:rsidP="00F923B7">
      <w:r>
        <w:t>119, 172-199</w:t>
      </w:r>
    </w:p>
    <w:p w14:paraId="7DE4EB69" w14:textId="77777777" w:rsidR="00CE78D9" w:rsidRDefault="00CE78D9" w:rsidP="00CE78D9">
      <w:pPr>
        <w:tabs>
          <w:tab w:val="left" w:pos="-1440"/>
          <w:tab w:val="left" w:pos="-720"/>
          <w:tab w:val="left" w:pos="0"/>
        </w:tabs>
        <w:suppressAutoHyphens/>
        <w:ind w:left="720" w:hanging="720"/>
      </w:pPr>
    </w:p>
    <w:p w14:paraId="5228240A" w14:textId="77777777" w:rsidR="00CE78D9" w:rsidRDefault="00CE78D9" w:rsidP="00CE78D9">
      <w:pPr>
        <w:tabs>
          <w:tab w:val="left" w:pos="-1440"/>
          <w:tab w:val="left" w:pos="-720"/>
          <w:tab w:val="left" w:pos="0"/>
        </w:tabs>
        <w:suppressAutoHyphens/>
        <w:ind w:left="720" w:hanging="720"/>
      </w:pPr>
      <w:r>
        <w:t xml:space="preserve">OECD (2017) International regulatory co-operation and trade: understanding the trade costs of regulatory divergence and the remedies, OECD Publishing, Paris. </w:t>
      </w:r>
      <w:hyperlink r:id="rId22" w:history="1">
        <w:r w:rsidRPr="00537742">
          <w:rPr>
            <w:rStyle w:val="Hyperlink"/>
          </w:rPr>
          <w:t>http://dx.doi.org/10.1787/9789264275942-en</w:t>
        </w:r>
      </w:hyperlink>
    </w:p>
    <w:p w14:paraId="68FB6813" w14:textId="77777777" w:rsidR="00F923B7" w:rsidRDefault="00F923B7" w:rsidP="00F923B7"/>
    <w:p w14:paraId="69890DBF" w14:textId="77777777" w:rsidR="00F923B7" w:rsidRDefault="00F923B7" w:rsidP="004B4FE1"/>
    <w:sectPr w:rsidR="00F923B7" w:rsidSect="00FD2F6E">
      <w:footerReference w:type="default" r:id="rId23"/>
      <w:pgSz w:w="11907" w:h="16840" w:code="9"/>
      <w:pgMar w:top="1985" w:right="1247" w:bottom="1814" w:left="1191" w:header="1247" w:footer="12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5430D" w14:textId="77777777" w:rsidR="00617C40" w:rsidRDefault="00617C40">
      <w:r>
        <w:separator/>
      </w:r>
    </w:p>
  </w:endnote>
  <w:endnote w:type="continuationSeparator" w:id="0">
    <w:p w14:paraId="0B04D457" w14:textId="77777777" w:rsidR="00617C40" w:rsidRDefault="00617C40">
      <w:r>
        <w:continuationSeparator/>
      </w:r>
    </w:p>
  </w:endnote>
  <w:endnote w:type="continuationNotice" w:id="1">
    <w:p w14:paraId="289256A1" w14:textId="77777777" w:rsidR="00617C40" w:rsidRDefault="00617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073547"/>
      <w:docPartObj>
        <w:docPartGallery w:val="Page Numbers (Bottom of Page)"/>
        <w:docPartUnique/>
      </w:docPartObj>
    </w:sdtPr>
    <w:sdtEndPr/>
    <w:sdtContent>
      <w:p w14:paraId="6E343B85" w14:textId="7A83D5E2" w:rsidR="00617C40" w:rsidRDefault="00617C40">
        <w:pPr>
          <w:pStyle w:val="Footer"/>
          <w:jc w:val="center"/>
        </w:pPr>
        <w:r>
          <w:fldChar w:fldCharType="begin"/>
        </w:r>
        <w:r>
          <w:instrText xml:space="preserve"> PAGE   \* MERGEFORMAT </w:instrText>
        </w:r>
        <w:r>
          <w:fldChar w:fldCharType="separate"/>
        </w:r>
        <w:r w:rsidR="00057237">
          <w:rPr>
            <w:noProof/>
          </w:rPr>
          <w:t>13</w:t>
        </w:r>
        <w:r>
          <w:rPr>
            <w:noProof/>
          </w:rPr>
          <w:fldChar w:fldCharType="end"/>
        </w:r>
      </w:p>
    </w:sdtContent>
  </w:sdt>
  <w:p w14:paraId="64DC47CA" w14:textId="77777777" w:rsidR="00617C40" w:rsidRDefault="00617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5AD39" w14:textId="77777777" w:rsidR="00617C40" w:rsidRDefault="00617C40">
      <w:r>
        <w:separator/>
      </w:r>
    </w:p>
  </w:footnote>
  <w:footnote w:type="continuationSeparator" w:id="0">
    <w:p w14:paraId="5516AF02" w14:textId="77777777" w:rsidR="00617C40" w:rsidRDefault="00617C40">
      <w:r>
        <w:continuationSeparator/>
      </w:r>
    </w:p>
  </w:footnote>
  <w:footnote w:type="continuationNotice" w:id="1">
    <w:p w14:paraId="026D1765" w14:textId="77777777" w:rsidR="00617C40" w:rsidRDefault="00617C40"/>
  </w:footnote>
  <w:footnote w:id="2">
    <w:p w14:paraId="2DBF0218" w14:textId="77777777" w:rsidR="00617C40" w:rsidRDefault="00617C40" w:rsidP="007366DC">
      <w:pPr>
        <w:pStyle w:val="FootnoteText"/>
      </w:pPr>
      <w:r>
        <w:rPr>
          <w:rStyle w:val="FootnoteReference"/>
        </w:rPr>
        <w:footnoteRef/>
      </w:r>
      <w:r>
        <w:t xml:space="preserve"> For more information on the OECD METRO model see </w:t>
      </w:r>
      <w:hyperlink r:id="rId1" w:history="1">
        <w:r w:rsidRPr="00AA20E6">
          <w:rPr>
            <w:rStyle w:val="Hyperlink"/>
          </w:rPr>
          <w:t>https://www.oecd.org/tad/policynotes/METRO-OECD-trade-model.pdf</w:t>
        </w:r>
      </w:hyperlink>
    </w:p>
    <w:p w14:paraId="62182371" w14:textId="588BB0AF" w:rsidR="00617C40" w:rsidRDefault="00617C40">
      <w:pPr>
        <w:pStyle w:val="FootnoteText"/>
      </w:pPr>
    </w:p>
  </w:footnote>
  <w:footnote w:id="3">
    <w:p w14:paraId="26F4310C" w14:textId="77777777" w:rsidR="00617C40" w:rsidRDefault="00617C40" w:rsidP="00D43F48">
      <w:pPr>
        <w:pStyle w:val="FootnoteText"/>
      </w:pPr>
      <w:r>
        <w:rPr>
          <w:rStyle w:val="FootnoteReference"/>
        </w:rPr>
        <w:footnoteRef/>
      </w:r>
      <w:r>
        <w:t xml:space="preserve"> The scenario assumes that these differences across G20 countries are ‘actionable’, i.e. that countries are able to identify enough common ground to reduce the cost differential.</w:t>
      </w:r>
    </w:p>
  </w:footnote>
  <w:footnote w:id="4">
    <w:p w14:paraId="010A6604" w14:textId="77777777" w:rsidR="00617C40" w:rsidRDefault="00617C40" w:rsidP="00D43F48">
      <w:pPr>
        <w:pStyle w:val="FootnoteText"/>
      </w:pPr>
      <w:r>
        <w:rPr>
          <w:rStyle w:val="FootnoteReference"/>
        </w:rPr>
        <w:footnoteRef/>
      </w:r>
      <w:r>
        <w:t xml:space="preserve"> The scenario takes place prior to the implementation of any specific Brexit plan, thus the UK is included as part of the European Union.</w:t>
      </w:r>
    </w:p>
  </w:footnote>
  <w:footnote w:id="5">
    <w:p w14:paraId="1DDD5449" w14:textId="77777777" w:rsidR="00617C40" w:rsidRPr="000D4A09" w:rsidRDefault="00617C40" w:rsidP="007366DC">
      <w:pPr>
        <w:rPr>
          <w:color w:val="1F497D"/>
          <w:sz w:val="20"/>
          <w:szCs w:val="20"/>
        </w:rPr>
      </w:pPr>
      <w:r w:rsidRPr="000D4A09">
        <w:rPr>
          <w:rStyle w:val="FootnoteReference"/>
          <w:sz w:val="20"/>
          <w:szCs w:val="20"/>
        </w:rPr>
        <w:footnoteRef/>
      </w:r>
      <w:r w:rsidRPr="000D4A09">
        <w:rPr>
          <w:sz w:val="20"/>
          <w:szCs w:val="20"/>
        </w:rPr>
        <w:t xml:space="preserve"> </w:t>
      </w:r>
      <w:hyperlink r:id="rId2" w:history="1">
        <w:r w:rsidRPr="000D4A09">
          <w:rPr>
            <w:rStyle w:val="Hyperlink"/>
            <w:sz w:val="20"/>
            <w:szCs w:val="20"/>
          </w:rPr>
          <w:t>http://www.oecd.org/trade/oecd-trade-scenario-1-reducing-tariffs.pdf</w:t>
        </w:r>
      </w:hyperlink>
    </w:p>
    <w:p w14:paraId="4EF740F2" w14:textId="77777777" w:rsidR="00617C40" w:rsidRDefault="00617C40" w:rsidP="007366DC">
      <w:pPr>
        <w:pStyle w:val="FootnoteText"/>
      </w:pPr>
    </w:p>
  </w:footnote>
  <w:footnote w:id="6">
    <w:p w14:paraId="7E83683D" w14:textId="77777777" w:rsidR="00617C40" w:rsidRDefault="00617C40" w:rsidP="007366DC">
      <w:pPr>
        <w:pStyle w:val="FootnoteText"/>
        <w:jc w:val="left"/>
      </w:pPr>
      <w:r>
        <w:rPr>
          <w:rStyle w:val="FootnoteReference"/>
        </w:rPr>
        <w:footnoteRef/>
      </w:r>
      <w:r>
        <w:t xml:space="preserve"> See for example, </w:t>
      </w:r>
      <w:hyperlink r:id="rId3" w:history="1">
        <w:r w:rsidRPr="00B93DC7">
          <w:rPr>
            <w:rStyle w:val="Hyperlink"/>
          </w:rPr>
          <w:t>https://www.oecd-ilibrary.org/docserver/9789264277571-en.pdf?expires=1544027724&amp;id=id&amp;accname=ocid84004878&amp;checksum=6A4ACCE261D27382B29F9762009D14E6</w:t>
        </w:r>
      </w:hyperlink>
      <w:r>
        <w:t xml:space="preserve"> where reducing costs in trade facilitation measures reduces production costs in the domestic market.</w:t>
      </w:r>
    </w:p>
  </w:footnote>
  <w:footnote w:id="7">
    <w:p w14:paraId="1242F4AF" w14:textId="77777777" w:rsidR="00617C40" w:rsidRDefault="00617C40" w:rsidP="007366DC">
      <w:pPr>
        <w:pStyle w:val="Bibliography"/>
      </w:pPr>
      <w:r>
        <w:rPr>
          <w:rStyle w:val="FootnoteReference"/>
        </w:rPr>
        <w:footnoteRef/>
      </w:r>
      <w:r>
        <w:t xml:space="preserve"> </w:t>
      </w:r>
      <w:r w:rsidRPr="00025C82">
        <w:rPr>
          <w:rFonts w:ascii="Times New Roman" w:hAnsi="Times New Roman" w:cs="Times New Roman"/>
          <w:sz w:val="20"/>
          <w:szCs w:val="20"/>
          <w:lang w:eastAsia="zh-CN"/>
        </w:rPr>
        <w:t xml:space="preserve">OECD (2016), “Trade-Related International Regulatory Co-Operation – A Theoretical Framework”, </w:t>
      </w:r>
      <w:r w:rsidRPr="00025C82">
        <w:rPr>
          <w:rFonts w:ascii="Times New Roman" w:hAnsi="Times New Roman" w:cs="Times New Roman"/>
          <w:i/>
          <w:sz w:val="20"/>
          <w:szCs w:val="20"/>
          <w:lang w:eastAsia="zh-CN"/>
        </w:rPr>
        <w:t>OECD Publishing</w:t>
      </w:r>
      <w:r w:rsidRPr="00025C82">
        <w:rPr>
          <w:rFonts w:ascii="Times New Roman" w:hAnsi="Times New Roman" w:cs="Times New Roman"/>
          <w:sz w:val="20"/>
          <w:szCs w:val="20"/>
          <w:lang w:eastAsia="zh-CN"/>
        </w:rPr>
        <w:t xml:space="preserve">, Paris.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4531"/>
    <w:multiLevelType w:val="hybridMultilevel"/>
    <w:tmpl w:val="C0565E68"/>
    <w:lvl w:ilvl="0" w:tplc="C0C25F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C785802"/>
    <w:multiLevelType w:val="hybridMultilevel"/>
    <w:tmpl w:val="019033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C8603A"/>
    <w:multiLevelType w:val="hybridMultilevel"/>
    <w:tmpl w:val="D7FA0E40"/>
    <w:lvl w:ilvl="0" w:tplc="270A14F2">
      <w:start w:val="1"/>
      <w:numFmt w:val="decimal"/>
      <w:lvlText w:val="%1."/>
      <w:lvlJc w:val="left"/>
      <w:pPr>
        <w:tabs>
          <w:tab w:val="num" w:pos="720"/>
        </w:tabs>
        <w:ind w:left="720" w:hanging="360"/>
      </w:pPr>
    </w:lvl>
    <w:lvl w:ilvl="1" w:tplc="04348E7A" w:tentative="1">
      <w:start w:val="1"/>
      <w:numFmt w:val="decimal"/>
      <w:lvlText w:val="%2."/>
      <w:lvlJc w:val="left"/>
      <w:pPr>
        <w:tabs>
          <w:tab w:val="num" w:pos="1440"/>
        </w:tabs>
        <w:ind w:left="1440" w:hanging="360"/>
      </w:pPr>
    </w:lvl>
    <w:lvl w:ilvl="2" w:tplc="5D1EB04E" w:tentative="1">
      <w:start w:val="1"/>
      <w:numFmt w:val="decimal"/>
      <w:lvlText w:val="%3."/>
      <w:lvlJc w:val="left"/>
      <w:pPr>
        <w:tabs>
          <w:tab w:val="num" w:pos="2160"/>
        </w:tabs>
        <w:ind w:left="2160" w:hanging="360"/>
      </w:pPr>
    </w:lvl>
    <w:lvl w:ilvl="3" w:tplc="31505736" w:tentative="1">
      <w:start w:val="1"/>
      <w:numFmt w:val="decimal"/>
      <w:lvlText w:val="%4."/>
      <w:lvlJc w:val="left"/>
      <w:pPr>
        <w:tabs>
          <w:tab w:val="num" w:pos="2880"/>
        </w:tabs>
        <w:ind w:left="2880" w:hanging="360"/>
      </w:pPr>
    </w:lvl>
    <w:lvl w:ilvl="4" w:tplc="226CD46C" w:tentative="1">
      <w:start w:val="1"/>
      <w:numFmt w:val="decimal"/>
      <w:lvlText w:val="%5."/>
      <w:lvlJc w:val="left"/>
      <w:pPr>
        <w:tabs>
          <w:tab w:val="num" w:pos="3600"/>
        </w:tabs>
        <w:ind w:left="3600" w:hanging="360"/>
      </w:pPr>
    </w:lvl>
    <w:lvl w:ilvl="5" w:tplc="E12A9ADC" w:tentative="1">
      <w:start w:val="1"/>
      <w:numFmt w:val="decimal"/>
      <w:lvlText w:val="%6."/>
      <w:lvlJc w:val="left"/>
      <w:pPr>
        <w:tabs>
          <w:tab w:val="num" w:pos="4320"/>
        </w:tabs>
        <w:ind w:left="4320" w:hanging="360"/>
      </w:pPr>
    </w:lvl>
    <w:lvl w:ilvl="6" w:tplc="9A0EBAA8" w:tentative="1">
      <w:start w:val="1"/>
      <w:numFmt w:val="decimal"/>
      <w:lvlText w:val="%7."/>
      <w:lvlJc w:val="left"/>
      <w:pPr>
        <w:tabs>
          <w:tab w:val="num" w:pos="5040"/>
        </w:tabs>
        <w:ind w:left="5040" w:hanging="360"/>
      </w:pPr>
    </w:lvl>
    <w:lvl w:ilvl="7" w:tplc="35127838" w:tentative="1">
      <w:start w:val="1"/>
      <w:numFmt w:val="decimal"/>
      <w:lvlText w:val="%8."/>
      <w:lvlJc w:val="left"/>
      <w:pPr>
        <w:tabs>
          <w:tab w:val="num" w:pos="5760"/>
        </w:tabs>
        <w:ind w:left="5760" w:hanging="360"/>
      </w:pPr>
    </w:lvl>
    <w:lvl w:ilvl="8" w:tplc="82F45658" w:tentative="1">
      <w:start w:val="1"/>
      <w:numFmt w:val="decimal"/>
      <w:lvlText w:val="%9."/>
      <w:lvlJc w:val="left"/>
      <w:pPr>
        <w:tabs>
          <w:tab w:val="num" w:pos="6480"/>
        </w:tabs>
        <w:ind w:left="6480" w:hanging="360"/>
      </w:pPr>
    </w:lvl>
  </w:abstractNum>
  <w:abstractNum w:abstractNumId="3" w15:restartNumberingAfterBreak="0">
    <w:nsid w:val="7B1060FD"/>
    <w:multiLevelType w:val="hybridMultilevel"/>
    <w:tmpl w:val="2E2E09A2"/>
    <w:lvl w:ilvl="0" w:tplc="F2CCFD02">
      <w:start w:val="1"/>
      <w:numFmt w:val="bullet"/>
      <w:lvlText w:val="•"/>
      <w:lvlJc w:val="left"/>
      <w:pPr>
        <w:tabs>
          <w:tab w:val="num" w:pos="720"/>
        </w:tabs>
        <w:ind w:left="720" w:hanging="360"/>
      </w:pPr>
      <w:rPr>
        <w:rFonts w:ascii="Times New Roman" w:hAnsi="Times New Roman" w:hint="default"/>
      </w:rPr>
    </w:lvl>
    <w:lvl w:ilvl="1" w:tplc="F2A66248" w:tentative="1">
      <w:start w:val="1"/>
      <w:numFmt w:val="bullet"/>
      <w:lvlText w:val="•"/>
      <w:lvlJc w:val="left"/>
      <w:pPr>
        <w:tabs>
          <w:tab w:val="num" w:pos="1440"/>
        </w:tabs>
        <w:ind w:left="1440" w:hanging="360"/>
      </w:pPr>
      <w:rPr>
        <w:rFonts w:ascii="Times New Roman" w:hAnsi="Times New Roman" w:hint="default"/>
      </w:rPr>
    </w:lvl>
    <w:lvl w:ilvl="2" w:tplc="B9B87B74" w:tentative="1">
      <w:start w:val="1"/>
      <w:numFmt w:val="bullet"/>
      <w:lvlText w:val="•"/>
      <w:lvlJc w:val="left"/>
      <w:pPr>
        <w:tabs>
          <w:tab w:val="num" w:pos="2160"/>
        </w:tabs>
        <w:ind w:left="2160" w:hanging="360"/>
      </w:pPr>
      <w:rPr>
        <w:rFonts w:ascii="Times New Roman" w:hAnsi="Times New Roman" w:hint="default"/>
      </w:rPr>
    </w:lvl>
    <w:lvl w:ilvl="3" w:tplc="7D6C3A10" w:tentative="1">
      <w:start w:val="1"/>
      <w:numFmt w:val="bullet"/>
      <w:lvlText w:val="•"/>
      <w:lvlJc w:val="left"/>
      <w:pPr>
        <w:tabs>
          <w:tab w:val="num" w:pos="2880"/>
        </w:tabs>
        <w:ind w:left="2880" w:hanging="360"/>
      </w:pPr>
      <w:rPr>
        <w:rFonts w:ascii="Times New Roman" w:hAnsi="Times New Roman" w:hint="default"/>
      </w:rPr>
    </w:lvl>
    <w:lvl w:ilvl="4" w:tplc="E0B0707E" w:tentative="1">
      <w:start w:val="1"/>
      <w:numFmt w:val="bullet"/>
      <w:lvlText w:val="•"/>
      <w:lvlJc w:val="left"/>
      <w:pPr>
        <w:tabs>
          <w:tab w:val="num" w:pos="3600"/>
        </w:tabs>
        <w:ind w:left="3600" w:hanging="360"/>
      </w:pPr>
      <w:rPr>
        <w:rFonts w:ascii="Times New Roman" w:hAnsi="Times New Roman" w:hint="default"/>
      </w:rPr>
    </w:lvl>
    <w:lvl w:ilvl="5" w:tplc="F7041E6A" w:tentative="1">
      <w:start w:val="1"/>
      <w:numFmt w:val="bullet"/>
      <w:lvlText w:val="•"/>
      <w:lvlJc w:val="left"/>
      <w:pPr>
        <w:tabs>
          <w:tab w:val="num" w:pos="4320"/>
        </w:tabs>
        <w:ind w:left="4320" w:hanging="360"/>
      </w:pPr>
      <w:rPr>
        <w:rFonts w:ascii="Times New Roman" w:hAnsi="Times New Roman" w:hint="default"/>
      </w:rPr>
    </w:lvl>
    <w:lvl w:ilvl="6" w:tplc="08A86412" w:tentative="1">
      <w:start w:val="1"/>
      <w:numFmt w:val="bullet"/>
      <w:lvlText w:val="•"/>
      <w:lvlJc w:val="left"/>
      <w:pPr>
        <w:tabs>
          <w:tab w:val="num" w:pos="5040"/>
        </w:tabs>
        <w:ind w:left="5040" w:hanging="360"/>
      </w:pPr>
      <w:rPr>
        <w:rFonts w:ascii="Times New Roman" w:hAnsi="Times New Roman" w:hint="default"/>
      </w:rPr>
    </w:lvl>
    <w:lvl w:ilvl="7" w:tplc="5D005600" w:tentative="1">
      <w:start w:val="1"/>
      <w:numFmt w:val="bullet"/>
      <w:lvlText w:val="•"/>
      <w:lvlJc w:val="left"/>
      <w:pPr>
        <w:tabs>
          <w:tab w:val="num" w:pos="5760"/>
        </w:tabs>
        <w:ind w:left="5760" w:hanging="360"/>
      </w:pPr>
      <w:rPr>
        <w:rFonts w:ascii="Times New Roman" w:hAnsi="Times New Roman" w:hint="default"/>
      </w:rPr>
    </w:lvl>
    <w:lvl w:ilvl="8" w:tplc="DA8A848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7FC21C6B"/>
    <w:multiLevelType w:val="hybridMultilevel"/>
    <w:tmpl w:val="B18853F8"/>
    <w:lvl w:ilvl="0" w:tplc="A9907710">
      <w:start w:val="1"/>
      <w:numFmt w:val="decimal"/>
      <w:pStyle w:val="Para"/>
      <w:lvlText w:val="%1."/>
      <w:lvlJc w:val="left"/>
      <w:pPr>
        <w:ind w:left="720" w:hanging="360"/>
      </w:pPr>
      <w:rPr>
        <w:rFonts w:hint="default"/>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4"/>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720"/>
  <w:hyphenationZone w:val="283"/>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49A"/>
    <w:rsid w:val="00004399"/>
    <w:rsid w:val="00005154"/>
    <w:rsid w:val="00012309"/>
    <w:rsid w:val="000154AA"/>
    <w:rsid w:val="0002505E"/>
    <w:rsid w:val="00034E8C"/>
    <w:rsid w:val="00034F1B"/>
    <w:rsid w:val="00036B9D"/>
    <w:rsid w:val="00057237"/>
    <w:rsid w:val="00064F83"/>
    <w:rsid w:val="00080C13"/>
    <w:rsid w:val="00082883"/>
    <w:rsid w:val="000837B2"/>
    <w:rsid w:val="00094DFC"/>
    <w:rsid w:val="00095F5C"/>
    <w:rsid w:val="000A0114"/>
    <w:rsid w:val="000A5815"/>
    <w:rsid w:val="000B2F57"/>
    <w:rsid w:val="000B61CA"/>
    <w:rsid w:val="000C03D6"/>
    <w:rsid w:val="000C5F7A"/>
    <w:rsid w:val="000D4A63"/>
    <w:rsid w:val="000E36B2"/>
    <w:rsid w:val="000E7EB2"/>
    <w:rsid w:val="000F4147"/>
    <w:rsid w:val="00112ABA"/>
    <w:rsid w:val="00117422"/>
    <w:rsid w:val="00133033"/>
    <w:rsid w:val="00134237"/>
    <w:rsid w:val="00160F6B"/>
    <w:rsid w:val="00166200"/>
    <w:rsid w:val="001A4E87"/>
    <w:rsid w:val="001B4D8C"/>
    <w:rsid w:val="001C3CCD"/>
    <w:rsid w:val="001E12BF"/>
    <w:rsid w:val="00203462"/>
    <w:rsid w:val="00203AF1"/>
    <w:rsid w:val="002267B0"/>
    <w:rsid w:val="0023595C"/>
    <w:rsid w:val="00240BF7"/>
    <w:rsid w:val="00247C82"/>
    <w:rsid w:val="002766B8"/>
    <w:rsid w:val="00284DD5"/>
    <w:rsid w:val="00286033"/>
    <w:rsid w:val="002941A4"/>
    <w:rsid w:val="0029646F"/>
    <w:rsid w:val="002D2446"/>
    <w:rsid w:val="002E547F"/>
    <w:rsid w:val="002E6CA7"/>
    <w:rsid w:val="002F26B8"/>
    <w:rsid w:val="002F4B9E"/>
    <w:rsid w:val="003074E8"/>
    <w:rsid w:val="00307DA8"/>
    <w:rsid w:val="00322527"/>
    <w:rsid w:val="00325540"/>
    <w:rsid w:val="00336D95"/>
    <w:rsid w:val="00345BFD"/>
    <w:rsid w:val="0036413B"/>
    <w:rsid w:val="003720A4"/>
    <w:rsid w:val="003978FB"/>
    <w:rsid w:val="003B0F4B"/>
    <w:rsid w:val="003C095A"/>
    <w:rsid w:val="003D2855"/>
    <w:rsid w:val="003D2E8A"/>
    <w:rsid w:val="003D712F"/>
    <w:rsid w:val="003E5468"/>
    <w:rsid w:val="003E5485"/>
    <w:rsid w:val="003E65FF"/>
    <w:rsid w:val="003F0B68"/>
    <w:rsid w:val="003F7F2A"/>
    <w:rsid w:val="004101A3"/>
    <w:rsid w:val="00415416"/>
    <w:rsid w:val="00416C7C"/>
    <w:rsid w:val="00417CCD"/>
    <w:rsid w:val="00437427"/>
    <w:rsid w:val="004376B7"/>
    <w:rsid w:val="00445C8A"/>
    <w:rsid w:val="00461FF8"/>
    <w:rsid w:val="00463667"/>
    <w:rsid w:val="004649D9"/>
    <w:rsid w:val="00476475"/>
    <w:rsid w:val="004809CE"/>
    <w:rsid w:val="00484B45"/>
    <w:rsid w:val="00485714"/>
    <w:rsid w:val="0049216D"/>
    <w:rsid w:val="004B4FE1"/>
    <w:rsid w:val="004C511D"/>
    <w:rsid w:val="004C61CA"/>
    <w:rsid w:val="004C6C32"/>
    <w:rsid w:val="004E0E16"/>
    <w:rsid w:val="004E39B1"/>
    <w:rsid w:val="004F0BA3"/>
    <w:rsid w:val="004F5540"/>
    <w:rsid w:val="00504751"/>
    <w:rsid w:val="00505664"/>
    <w:rsid w:val="00550E90"/>
    <w:rsid w:val="00554F84"/>
    <w:rsid w:val="00563497"/>
    <w:rsid w:val="00566143"/>
    <w:rsid w:val="00567E91"/>
    <w:rsid w:val="00582E10"/>
    <w:rsid w:val="005C7F50"/>
    <w:rsid w:val="005D413D"/>
    <w:rsid w:val="005E3EE2"/>
    <w:rsid w:val="005E7FAE"/>
    <w:rsid w:val="005F3D3A"/>
    <w:rsid w:val="00607D79"/>
    <w:rsid w:val="00612837"/>
    <w:rsid w:val="0061347E"/>
    <w:rsid w:val="00617C40"/>
    <w:rsid w:val="0063185C"/>
    <w:rsid w:val="006340D8"/>
    <w:rsid w:val="00636C53"/>
    <w:rsid w:val="00643811"/>
    <w:rsid w:val="006662FE"/>
    <w:rsid w:val="0067287C"/>
    <w:rsid w:val="00686181"/>
    <w:rsid w:val="0069462D"/>
    <w:rsid w:val="006B4545"/>
    <w:rsid w:val="006C1B1C"/>
    <w:rsid w:val="006C79FC"/>
    <w:rsid w:val="006D25C6"/>
    <w:rsid w:val="006D6039"/>
    <w:rsid w:val="006F098C"/>
    <w:rsid w:val="006F20E0"/>
    <w:rsid w:val="006F524D"/>
    <w:rsid w:val="006F596A"/>
    <w:rsid w:val="00701C91"/>
    <w:rsid w:val="00703575"/>
    <w:rsid w:val="007259AF"/>
    <w:rsid w:val="007350DD"/>
    <w:rsid w:val="007366DC"/>
    <w:rsid w:val="00736E19"/>
    <w:rsid w:val="007402C8"/>
    <w:rsid w:val="0074417B"/>
    <w:rsid w:val="007802AA"/>
    <w:rsid w:val="007A4318"/>
    <w:rsid w:val="007D0053"/>
    <w:rsid w:val="007D347E"/>
    <w:rsid w:val="007F59A0"/>
    <w:rsid w:val="00800BE9"/>
    <w:rsid w:val="008015DE"/>
    <w:rsid w:val="008103D3"/>
    <w:rsid w:val="0081207C"/>
    <w:rsid w:val="00830D6C"/>
    <w:rsid w:val="00836A80"/>
    <w:rsid w:val="00845334"/>
    <w:rsid w:val="00852214"/>
    <w:rsid w:val="00856650"/>
    <w:rsid w:val="00861A64"/>
    <w:rsid w:val="0086235A"/>
    <w:rsid w:val="0086718E"/>
    <w:rsid w:val="0089356C"/>
    <w:rsid w:val="008A7C26"/>
    <w:rsid w:val="008B3133"/>
    <w:rsid w:val="008C6285"/>
    <w:rsid w:val="008E6C46"/>
    <w:rsid w:val="009011AA"/>
    <w:rsid w:val="0090412E"/>
    <w:rsid w:val="009146D3"/>
    <w:rsid w:val="0091580D"/>
    <w:rsid w:val="00936F2C"/>
    <w:rsid w:val="00946595"/>
    <w:rsid w:val="00946B75"/>
    <w:rsid w:val="00954CFE"/>
    <w:rsid w:val="00961425"/>
    <w:rsid w:val="00961C2E"/>
    <w:rsid w:val="00966229"/>
    <w:rsid w:val="00993CBD"/>
    <w:rsid w:val="009A62BC"/>
    <w:rsid w:val="009A7142"/>
    <w:rsid w:val="009B1BA7"/>
    <w:rsid w:val="009E3FDE"/>
    <w:rsid w:val="009E4166"/>
    <w:rsid w:val="00A011AA"/>
    <w:rsid w:val="00A25522"/>
    <w:rsid w:val="00A33CE6"/>
    <w:rsid w:val="00A3749A"/>
    <w:rsid w:val="00A4378B"/>
    <w:rsid w:val="00A43DF3"/>
    <w:rsid w:val="00A44C59"/>
    <w:rsid w:val="00A658D1"/>
    <w:rsid w:val="00A731AD"/>
    <w:rsid w:val="00A7411B"/>
    <w:rsid w:val="00A80879"/>
    <w:rsid w:val="00A91409"/>
    <w:rsid w:val="00A9705C"/>
    <w:rsid w:val="00AA101B"/>
    <w:rsid w:val="00AB2BFD"/>
    <w:rsid w:val="00AD12DA"/>
    <w:rsid w:val="00AD1B62"/>
    <w:rsid w:val="00AE0E05"/>
    <w:rsid w:val="00B37D26"/>
    <w:rsid w:val="00B72312"/>
    <w:rsid w:val="00B73666"/>
    <w:rsid w:val="00B95442"/>
    <w:rsid w:val="00B958C8"/>
    <w:rsid w:val="00B97201"/>
    <w:rsid w:val="00BA7BC3"/>
    <w:rsid w:val="00BB203D"/>
    <w:rsid w:val="00BB3EF9"/>
    <w:rsid w:val="00BB5AC2"/>
    <w:rsid w:val="00BC60DE"/>
    <w:rsid w:val="00BD729D"/>
    <w:rsid w:val="00BD757A"/>
    <w:rsid w:val="00BD79C0"/>
    <w:rsid w:val="00C00C24"/>
    <w:rsid w:val="00C35720"/>
    <w:rsid w:val="00C357C6"/>
    <w:rsid w:val="00C7180B"/>
    <w:rsid w:val="00C75386"/>
    <w:rsid w:val="00C875A3"/>
    <w:rsid w:val="00CC3242"/>
    <w:rsid w:val="00CE64F1"/>
    <w:rsid w:val="00CE78D9"/>
    <w:rsid w:val="00CF470D"/>
    <w:rsid w:val="00CF5291"/>
    <w:rsid w:val="00D10E53"/>
    <w:rsid w:val="00D43F48"/>
    <w:rsid w:val="00D66112"/>
    <w:rsid w:val="00D67D5E"/>
    <w:rsid w:val="00D72008"/>
    <w:rsid w:val="00D72619"/>
    <w:rsid w:val="00D7606F"/>
    <w:rsid w:val="00D83542"/>
    <w:rsid w:val="00D852E9"/>
    <w:rsid w:val="00D94333"/>
    <w:rsid w:val="00D96706"/>
    <w:rsid w:val="00DA24E6"/>
    <w:rsid w:val="00DA4302"/>
    <w:rsid w:val="00DB1FBB"/>
    <w:rsid w:val="00DB3E12"/>
    <w:rsid w:val="00DD3D3E"/>
    <w:rsid w:val="00DD52A9"/>
    <w:rsid w:val="00DD5C97"/>
    <w:rsid w:val="00DF727C"/>
    <w:rsid w:val="00E1092B"/>
    <w:rsid w:val="00E13073"/>
    <w:rsid w:val="00E206ED"/>
    <w:rsid w:val="00E251C1"/>
    <w:rsid w:val="00E52E4F"/>
    <w:rsid w:val="00E70A6F"/>
    <w:rsid w:val="00E71862"/>
    <w:rsid w:val="00E77FC4"/>
    <w:rsid w:val="00E84D2C"/>
    <w:rsid w:val="00E936C6"/>
    <w:rsid w:val="00E970A8"/>
    <w:rsid w:val="00E978CF"/>
    <w:rsid w:val="00EA1D89"/>
    <w:rsid w:val="00EA7B87"/>
    <w:rsid w:val="00EB5D28"/>
    <w:rsid w:val="00EC14E0"/>
    <w:rsid w:val="00EC5561"/>
    <w:rsid w:val="00EC6DE5"/>
    <w:rsid w:val="00ED03A8"/>
    <w:rsid w:val="00EE1FE9"/>
    <w:rsid w:val="00F131FD"/>
    <w:rsid w:val="00F35312"/>
    <w:rsid w:val="00F36077"/>
    <w:rsid w:val="00F36A4C"/>
    <w:rsid w:val="00F46634"/>
    <w:rsid w:val="00F64386"/>
    <w:rsid w:val="00F675C8"/>
    <w:rsid w:val="00F715E3"/>
    <w:rsid w:val="00F756AF"/>
    <w:rsid w:val="00F83270"/>
    <w:rsid w:val="00F85E47"/>
    <w:rsid w:val="00F90A33"/>
    <w:rsid w:val="00F91799"/>
    <w:rsid w:val="00F923B7"/>
    <w:rsid w:val="00FA467E"/>
    <w:rsid w:val="00FD2F6E"/>
    <w:rsid w:val="00FD3997"/>
    <w:rsid w:val="00FE0BAF"/>
    <w:rsid w:val="00FF53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5827A"/>
  <w15:docId w15:val="{063849E7-3094-464A-A6E9-27183466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2A9"/>
    <w:pPr>
      <w:tabs>
        <w:tab w:val="left" w:pos="850"/>
        <w:tab w:val="left" w:pos="1191"/>
        <w:tab w:val="left" w:pos="1531"/>
      </w:tabs>
      <w:jc w:val="both"/>
    </w:pPr>
    <w:rPr>
      <w:sz w:val="22"/>
      <w:szCs w:val="22"/>
      <w:lang w:val="en-GB" w:eastAsia="zh-CN"/>
    </w:rPr>
  </w:style>
  <w:style w:type="paragraph" w:styleId="Heading1">
    <w:name w:val="heading 1"/>
    <w:basedOn w:val="Normal"/>
    <w:next w:val="Normal"/>
    <w:link w:val="Heading1Char"/>
    <w:qFormat/>
    <w:rsid w:val="00DD52A9"/>
    <w:pPr>
      <w:keepNext/>
      <w:spacing w:before="1200" w:after="720"/>
      <w:jc w:val="center"/>
      <w:outlineLvl w:val="0"/>
    </w:pPr>
    <w:rPr>
      <w:b/>
      <w:bCs/>
      <w:caps/>
      <w:kern w:val="28"/>
    </w:rPr>
  </w:style>
  <w:style w:type="paragraph" w:styleId="Heading2">
    <w:name w:val="heading 2"/>
    <w:basedOn w:val="Normal"/>
    <w:next w:val="Normal"/>
    <w:link w:val="Heading2Char"/>
    <w:qFormat/>
    <w:rsid w:val="00DD52A9"/>
    <w:pPr>
      <w:keepNext/>
      <w:spacing w:before="240" w:after="240"/>
      <w:outlineLvl w:val="1"/>
    </w:pPr>
    <w:rPr>
      <w:b/>
      <w:bCs/>
    </w:rPr>
  </w:style>
  <w:style w:type="paragraph" w:styleId="Heading3">
    <w:name w:val="heading 3"/>
    <w:basedOn w:val="Normal"/>
    <w:next w:val="Normal"/>
    <w:link w:val="Heading3Char"/>
    <w:qFormat/>
    <w:rsid w:val="00DD52A9"/>
    <w:pPr>
      <w:keepNext/>
      <w:spacing w:before="240" w:after="240"/>
      <w:outlineLvl w:val="2"/>
    </w:pPr>
    <w:rPr>
      <w:b/>
      <w:bCs/>
      <w:i/>
      <w:iCs/>
    </w:rPr>
  </w:style>
  <w:style w:type="paragraph" w:styleId="Heading4">
    <w:name w:val="heading 4"/>
    <w:basedOn w:val="Normal"/>
    <w:next w:val="Normal"/>
    <w:link w:val="Heading4Char"/>
    <w:qFormat/>
    <w:rsid w:val="00DD52A9"/>
    <w:pPr>
      <w:keepNext/>
      <w:spacing w:before="240" w:after="240"/>
      <w:outlineLvl w:val="3"/>
    </w:pPr>
    <w:rPr>
      <w:i/>
      <w:iCs/>
    </w:rPr>
  </w:style>
  <w:style w:type="paragraph" w:styleId="Heading5">
    <w:name w:val="heading 5"/>
    <w:basedOn w:val="Normal"/>
    <w:next w:val="Normal"/>
    <w:link w:val="Heading5Char"/>
    <w:qFormat/>
    <w:rsid w:val="00DD52A9"/>
    <w:pPr>
      <w:spacing w:before="240" w:after="240"/>
      <w:outlineLvl w:val="4"/>
    </w:pPr>
  </w:style>
  <w:style w:type="paragraph" w:styleId="Heading6">
    <w:name w:val="heading 6"/>
    <w:basedOn w:val="Normal"/>
    <w:next w:val="Normal"/>
    <w:link w:val="Heading6Char"/>
    <w:qFormat/>
    <w:rsid w:val="00DD52A9"/>
    <w:pPr>
      <w:spacing w:before="240" w:after="60"/>
      <w:outlineLvl w:val="5"/>
    </w:pPr>
    <w:rPr>
      <w:b/>
      <w:bCs/>
    </w:rPr>
  </w:style>
  <w:style w:type="paragraph" w:styleId="Heading7">
    <w:name w:val="heading 7"/>
    <w:basedOn w:val="Normal"/>
    <w:next w:val="Normal"/>
    <w:link w:val="Heading7Char"/>
    <w:qFormat/>
    <w:rsid w:val="00DD52A9"/>
    <w:pPr>
      <w:spacing w:before="240" w:after="60"/>
      <w:outlineLvl w:val="6"/>
    </w:pPr>
    <w:rPr>
      <w:sz w:val="24"/>
      <w:szCs w:val="24"/>
    </w:rPr>
  </w:style>
  <w:style w:type="paragraph" w:styleId="Heading8">
    <w:name w:val="heading 8"/>
    <w:basedOn w:val="Normal"/>
    <w:next w:val="Normal"/>
    <w:link w:val="Heading8Char"/>
    <w:qFormat/>
    <w:rsid w:val="00DD52A9"/>
    <w:pPr>
      <w:spacing w:before="240" w:after="60"/>
      <w:outlineLvl w:val="7"/>
    </w:pPr>
    <w:rPr>
      <w:i/>
      <w:iCs/>
      <w:sz w:val="24"/>
      <w:szCs w:val="24"/>
    </w:rPr>
  </w:style>
  <w:style w:type="paragraph" w:styleId="Heading9">
    <w:name w:val="heading 9"/>
    <w:basedOn w:val="Normal"/>
    <w:next w:val="Normal"/>
    <w:link w:val="Heading9Char"/>
    <w:qFormat/>
    <w:rsid w:val="00DD52A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52A9"/>
    <w:rPr>
      <w:b/>
      <w:bCs/>
      <w:caps/>
      <w:kern w:val="28"/>
      <w:sz w:val="22"/>
      <w:szCs w:val="22"/>
      <w:lang w:val="en-GB" w:eastAsia="zh-CN"/>
    </w:rPr>
  </w:style>
  <w:style w:type="character" w:customStyle="1" w:styleId="Heading2Char">
    <w:name w:val="Heading 2 Char"/>
    <w:basedOn w:val="DefaultParagraphFont"/>
    <w:link w:val="Heading2"/>
    <w:rsid w:val="00DD52A9"/>
    <w:rPr>
      <w:b/>
      <w:bCs/>
      <w:sz w:val="22"/>
      <w:szCs w:val="22"/>
      <w:lang w:val="en-GB" w:eastAsia="zh-CN"/>
    </w:rPr>
  </w:style>
  <w:style w:type="character" w:customStyle="1" w:styleId="Heading3Char">
    <w:name w:val="Heading 3 Char"/>
    <w:basedOn w:val="DefaultParagraphFont"/>
    <w:link w:val="Heading3"/>
    <w:rsid w:val="00DD52A9"/>
    <w:rPr>
      <w:b/>
      <w:bCs/>
      <w:i/>
      <w:iCs/>
      <w:sz w:val="22"/>
      <w:szCs w:val="22"/>
      <w:lang w:val="en-GB" w:eastAsia="zh-CN"/>
    </w:rPr>
  </w:style>
  <w:style w:type="character" w:customStyle="1" w:styleId="Heading4Char">
    <w:name w:val="Heading 4 Char"/>
    <w:basedOn w:val="DefaultParagraphFont"/>
    <w:link w:val="Heading4"/>
    <w:rsid w:val="00DD52A9"/>
    <w:rPr>
      <w:i/>
      <w:iCs/>
      <w:sz w:val="22"/>
      <w:szCs w:val="22"/>
      <w:lang w:val="en-GB" w:eastAsia="zh-CN"/>
    </w:rPr>
  </w:style>
  <w:style w:type="character" w:customStyle="1" w:styleId="Heading5Char">
    <w:name w:val="Heading 5 Char"/>
    <w:basedOn w:val="DefaultParagraphFont"/>
    <w:link w:val="Heading5"/>
    <w:rsid w:val="00DD52A9"/>
    <w:rPr>
      <w:sz w:val="22"/>
      <w:szCs w:val="22"/>
      <w:lang w:val="en-GB" w:eastAsia="zh-CN"/>
    </w:rPr>
  </w:style>
  <w:style w:type="character" w:customStyle="1" w:styleId="Heading6Char">
    <w:name w:val="Heading 6 Char"/>
    <w:basedOn w:val="DefaultParagraphFont"/>
    <w:link w:val="Heading6"/>
    <w:rsid w:val="00DD52A9"/>
    <w:rPr>
      <w:b/>
      <w:bCs/>
      <w:sz w:val="22"/>
      <w:szCs w:val="22"/>
      <w:lang w:val="en-GB" w:eastAsia="zh-CN"/>
    </w:rPr>
  </w:style>
  <w:style w:type="character" w:customStyle="1" w:styleId="Heading7Char">
    <w:name w:val="Heading 7 Char"/>
    <w:basedOn w:val="DefaultParagraphFont"/>
    <w:link w:val="Heading7"/>
    <w:rsid w:val="00DD52A9"/>
    <w:rPr>
      <w:sz w:val="24"/>
      <w:szCs w:val="24"/>
      <w:lang w:val="en-GB" w:eastAsia="zh-CN"/>
    </w:rPr>
  </w:style>
  <w:style w:type="character" w:customStyle="1" w:styleId="Heading8Char">
    <w:name w:val="Heading 8 Char"/>
    <w:basedOn w:val="DefaultParagraphFont"/>
    <w:link w:val="Heading8"/>
    <w:rsid w:val="00DD52A9"/>
    <w:rPr>
      <w:i/>
      <w:iCs/>
      <w:sz w:val="24"/>
      <w:szCs w:val="24"/>
      <w:lang w:val="en-GB" w:eastAsia="zh-CN"/>
    </w:rPr>
  </w:style>
  <w:style w:type="character" w:customStyle="1" w:styleId="Heading9Char">
    <w:name w:val="Heading 9 Char"/>
    <w:basedOn w:val="DefaultParagraphFont"/>
    <w:link w:val="Heading9"/>
    <w:rsid w:val="00DD52A9"/>
    <w:rPr>
      <w:rFonts w:ascii="Arial" w:hAnsi="Arial" w:cs="Arial"/>
      <w:sz w:val="22"/>
      <w:szCs w:val="22"/>
      <w:lang w:val="en-GB" w:eastAsia="zh-CN"/>
    </w:rPr>
  </w:style>
  <w:style w:type="paragraph" w:styleId="TOC1">
    <w:name w:val="toc 1"/>
    <w:basedOn w:val="Normal"/>
    <w:next w:val="Normal"/>
    <w:uiPriority w:val="39"/>
    <w:qFormat/>
    <w:rsid w:val="00DD52A9"/>
    <w:pPr>
      <w:tabs>
        <w:tab w:val="clear" w:pos="850"/>
        <w:tab w:val="clear" w:pos="1191"/>
        <w:tab w:val="clear" w:pos="1531"/>
        <w:tab w:val="right" w:leader="dot" w:pos="6803"/>
      </w:tabs>
      <w:spacing w:before="120" w:after="120"/>
    </w:pPr>
    <w:rPr>
      <w:caps/>
    </w:rPr>
  </w:style>
  <w:style w:type="paragraph" w:styleId="TOC2">
    <w:name w:val="toc 2"/>
    <w:basedOn w:val="Normal"/>
    <w:next w:val="Normal"/>
    <w:uiPriority w:val="39"/>
    <w:qFormat/>
    <w:rsid w:val="00DD52A9"/>
    <w:pPr>
      <w:tabs>
        <w:tab w:val="clear" w:pos="850"/>
        <w:tab w:val="clear" w:pos="1191"/>
        <w:tab w:val="clear" w:pos="1531"/>
        <w:tab w:val="right" w:leader="dot" w:pos="6803"/>
      </w:tabs>
      <w:ind w:left="198"/>
    </w:pPr>
  </w:style>
  <w:style w:type="paragraph" w:styleId="TOC3">
    <w:name w:val="toc 3"/>
    <w:basedOn w:val="Normal"/>
    <w:next w:val="Normal"/>
    <w:qFormat/>
    <w:rsid w:val="00DD52A9"/>
    <w:pPr>
      <w:tabs>
        <w:tab w:val="clear" w:pos="850"/>
        <w:tab w:val="clear" w:pos="1191"/>
        <w:tab w:val="clear" w:pos="1531"/>
        <w:tab w:val="right" w:leader="dot" w:pos="6803"/>
      </w:tabs>
      <w:ind w:left="397"/>
    </w:pPr>
  </w:style>
  <w:style w:type="paragraph" w:styleId="TOC4">
    <w:name w:val="toc 4"/>
    <w:basedOn w:val="Normal"/>
    <w:next w:val="Normal"/>
    <w:qFormat/>
    <w:rsid w:val="00DD52A9"/>
    <w:pPr>
      <w:tabs>
        <w:tab w:val="clear" w:pos="850"/>
        <w:tab w:val="clear" w:pos="1191"/>
        <w:tab w:val="clear" w:pos="1531"/>
        <w:tab w:val="right" w:leader="dot" w:pos="6803"/>
      </w:tabs>
      <w:ind w:left="595"/>
    </w:pPr>
    <w:rPr>
      <w:noProof/>
    </w:rPr>
  </w:style>
  <w:style w:type="paragraph" w:styleId="TOC5">
    <w:name w:val="toc 5"/>
    <w:basedOn w:val="Normal"/>
    <w:next w:val="Normal"/>
    <w:qFormat/>
    <w:rsid w:val="00DD52A9"/>
    <w:pPr>
      <w:tabs>
        <w:tab w:val="clear" w:pos="850"/>
        <w:tab w:val="clear" w:pos="1191"/>
        <w:tab w:val="clear" w:pos="1531"/>
        <w:tab w:val="right" w:leader="dot" w:pos="6803"/>
      </w:tabs>
      <w:ind w:left="794"/>
    </w:pPr>
    <w:rPr>
      <w:noProof/>
    </w:rPr>
  </w:style>
  <w:style w:type="paragraph" w:styleId="TOC6">
    <w:name w:val="toc 6"/>
    <w:basedOn w:val="Normal"/>
    <w:next w:val="Normal"/>
    <w:qFormat/>
    <w:rsid w:val="00DD52A9"/>
    <w:pPr>
      <w:tabs>
        <w:tab w:val="clear" w:pos="850"/>
        <w:tab w:val="clear" w:pos="1191"/>
        <w:tab w:val="clear" w:pos="1531"/>
      </w:tabs>
      <w:ind w:left="1100"/>
    </w:pPr>
  </w:style>
  <w:style w:type="paragraph" w:styleId="TOC7">
    <w:name w:val="toc 7"/>
    <w:basedOn w:val="Normal"/>
    <w:next w:val="Normal"/>
    <w:qFormat/>
    <w:rsid w:val="00DD52A9"/>
    <w:pPr>
      <w:tabs>
        <w:tab w:val="clear" w:pos="850"/>
        <w:tab w:val="clear" w:pos="1191"/>
        <w:tab w:val="clear" w:pos="1531"/>
      </w:tabs>
      <w:ind w:left="1320"/>
    </w:pPr>
  </w:style>
  <w:style w:type="paragraph" w:styleId="TOC8">
    <w:name w:val="toc 8"/>
    <w:basedOn w:val="Normal"/>
    <w:next w:val="Normal"/>
    <w:qFormat/>
    <w:rsid w:val="00DD52A9"/>
    <w:pPr>
      <w:tabs>
        <w:tab w:val="clear" w:pos="850"/>
        <w:tab w:val="clear" w:pos="1191"/>
        <w:tab w:val="clear" w:pos="1531"/>
      </w:tabs>
      <w:ind w:left="1540"/>
    </w:pPr>
  </w:style>
  <w:style w:type="paragraph" w:styleId="TOC9">
    <w:name w:val="toc 9"/>
    <w:basedOn w:val="Normal"/>
    <w:next w:val="Normal"/>
    <w:qFormat/>
    <w:rsid w:val="00DD52A9"/>
    <w:pPr>
      <w:tabs>
        <w:tab w:val="clear" w:pos="850"/>
        <w:tab w:val="clear" w:pos="1191"/>
        <w:tab w:val="clear" w:pos="1531"/>
      </w:tabs>
      <w:ind w:left="1760"/>
    </w:pPr>
  </w:style>
  <w:style w:type="paragraph" w:styleId="Caption">
    <w:name w:val="caption"/>
    <w:basedOn w:val="Normal"/>
    <w:next w:val="Normal"/>
    <w:qFormat/>
    <w:rsid w:val="00DD52A9"/>
    <w:pPr>
      <w:spacing w:before="120" w:after="120"/>
    </w:pPr>
    <w:rPr>
      <w:b/>
      <w:bCs/>
      <w:sz w:val="20"/>
      <w:szCs w:val="20"/>
    </w:rPr>
  </w:style>
  <w:style w:type="paragraph" w:styleId="Title">
    <w:name w:val="Title"/>
    <w:basedOn w:val="Normal"/>
    <w:link w:val="TitleChar"/>
    <w:qFormat/>
    <w:rsid w:val="00DD52A9"/>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D52A9"/>
    <w:rPr>
      <w:rFonts w:ascii="Arial" w:hAnsi="Arial" w:cs="Arial"/>
      <w:b/>
      <w:bCs/>
      <w:kern w:val="28"/>
      <w:sz w:val="32"/>
      <w:szCs w:val="32"/>
      <w:lang w:val="en-GB" w:eastAsia="zh-CN"/>
    </w:rPr>
  </w:style>
  <w:style w:type="paragraph" w:styleId="Subtitle">
    <w:name w:val="Subtitle"/>
    <w:basedOn w:val="Normal"/>
    <w:link w:val="SubtitleChar"/>
    <w:qFormat/>
    <w:rsid w:val="00DD52A9"/>
    <w:pPr>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DD52A9"/>
    <w:rPr>
      <w:rFonts w:ascii="Arial" w:hAnsi="Arial" w:cs="Arial"/>
      <w:sz w:val="24"/>
      <w:szCs w:val="24"/>
      <w:lang w:val="en-GB" w:eastAsia="zh-CN"/>
    </w:rPr>
  </w:style>
  <w:style w:type="paragraph" w:styleId="Header">
    <w:name w:val="header"/>
    <w:basedOn w:val="Normal"/>
    <w:link w:val="HeaderChar"/>
    <w:uiPriority w:val="99"/>
    <w:semiHidden/>
    <w:unhideWhenUsed/>
    <w:rsid w:val="006D6039"/>
    <w:pPr>
      <w:tabs>
        <w:tab w:val="clear" w:pos="850"/>
        <w:tab w:val="clear" w:pos="1191"/>
        <w:tab w:val="clear" w:pos="1531"/>
        <w:tab w:val="center" w:pos="4680"/>
        <w:tab w:val="right" w:pos="9360"/>
      </w:tabs>
    </w:pPr>
  </w:style>
  <w:style w:type="character" w:customStyle="1" w:styleId="HeaderChar">
    <w:name w:val="Header Char"/>
    <w:basedOn w:val="DefaultParagraphFont"/>
    <w:link w:val="Header"/>
    <w:uiPriority w:val="99"/>
    <w:semiHidden/>
    <w:rsid w:val="006D6039"/>
    <w:rPr>
      <w:sz w:val="22"/>
      <w:szCs w:val="22"/>
      <w:lang w:val="en-GB" w:eastAsia="zh-CN"/>
    </w:rPr>
  </w:style>
  <w:style w:type="paragraph" w:styleId="Footer">
    <w:name w:val="footer"/>
    <w:basedOn w:val="Normal"/>
    <w:link w:val="FooterChar"/>
    <w:uiPriority w:val="99"/>
    <w:unhideWhenUsed/>
    <w:rsid w:val="006D6039"/>
    <w:pPr>
      <w:tabs>
        <w:tab w:val="clear" w:pos="850"/>
        <w:tab w:val="clear" w:pos="1191"/>
        <w:tab w:val="clear" w:pos="1531"/>
        <w:tab w:val="center" w:pos="4680"/>
        <w:tab w:val="right" w:pos="9360"/>
      </w:tabs>
    </w:pPr>
  </w:style>
  <w:style w:type="character" w:customStyle="1" w:styleId="FooterChar">
    <w:name w:val="Footer Char"/>
    <w:basedOn w:val="DefaultParagraphFont"/>
    <w:link w:val="Footer"/>
    <w:uiPriority w:val="99"/>
    <w:rsid w:val="006D6039"/>
    <w:rPr>
      <w:sz w:val="22"/>
      <w:szCs w:val="22"/>
      <w:lang w:val="en-GB" w:eastAsia="zh-CN"/>
    </w:rPr>
  </w:style>
  <w:style w:type="paragraph" w:styleId="FootnoteText">
    <w:name w:val="footnote text"/>
    <w:basedOn w:val="Normal"/>
    <w:link w:val="FootnoteTextChar"/>
    <w:uiPriority w:val="99"/>
    <w:semiHidden/>
    <w:unhideWhenUsed/>
    <w:rsid w:val="00636C53"/>
    <w:rPr>
      <w:sz w:val="20"/>
      <w:szCs w:val="20"/>
    </w:rPr>
  </w:style>
  <w:style w:type="character" w:customStyle="1" w:styleId="FootnoteTextChar">
    <w:name w:val="Footnote Text Char"/>
    <w:basedOn w:val="DefaultParagraphFont"/>
    <w:link w:val="FootnoteText"/>
    <w:uiPriority w:val="99"/>
    <w:semiHidden/>
    <w:rsid w:val="00636C53"/>
    <w:rPr>
      <w:lang w:val="en-GB" w:eastAsia="zh-CN"/>
    </w:rPr>
  </w:style>
  <w:style w:type="character" w:styleId="FootnoteReference">
    <w:name w:val="footnote reference"/>
    <w:basedOn w:val="DefaultParagraphFont"/>
    <w:unhideWhenUsed/>
    <w:rsid w:val="00636C53"/>
    <w:rPr>
      <w:vertAlign w:val="superscript"/>
    </w:rPr>
  </w:style>
  <w:style w:type="character" w:styleId="PlaceholderText">
    <w:name w:val="Placeholder Text"/>
    <w:basedOn w:val="DefaultParagraphFont"/>
    <w:uiPriority w:val="99"/>
    <w:semiHidden/>
    <w:rsid w:val="003D2E8A"/>
    <w:rPr>
      <w:color w:val="808080"/>
    </w:rPr>
  </w:style>
  <w:style w:type="paragraph" w:styleId="ListParagraph">
    <w:name w:val="List Paragraph"/>
    <w:basedOn w:val="Normal"/>
    <w:uiPriority w:val="34"/>
    <w:qFormat/>
    <w:rsid w:val="00E978CF"/>
    <w:pPr>
      <w:ind w:left="720"/>
      <w:contextualSpacing/>
    </w:pPr>
  </w:style>
  <w:style w:type="paragraph" w:styleId="BalloonText">
    <w:name w:val="Balloon Text"/>
    <w:basedOn w:val="Normal"/>
    <w:link w:val="BalloonTextChar"/>
    <w:uiPriority w:val="99"/>
    <w:semiHidden/>
    <w:unhideWhenUsed/>
    <w:rsid w:val="00B97201"/>
    <w:rPr>
      <w:rFonts w:ascii="Tahoma" w:hAnsi="Tahoma" w:cs="Tahoma"/>
      <w:sz w:val="16"/>
      <w:szCs w:val="16"/>
    </w:rPr>
  </w:style>
  <w:style w:type="character" w:customStyle="1" w:styleId="BalloonTextChar">
    <w:name w:val="Balloon Text Char"/>
    <w:basedOn w:val="DefaultParagraphFont"/>
    <w:link w:val="BalloonText"/>
    <w:uiPriority w:val="99"/>
    <w:semiHidden/>
    <w:rsid w:val="00B97201"/>
    <w:rPr>
      <w:rFonts w:ascii="Tahoma" w:hAnsi="Tahoma" w:cs="Tahoma"/>
      <w:sz w:val="16"/>
      <w:szCs w:val="16"/>
      <w:lang w:val="en-GB" w:eastAsia="zh-CN"/>
    </w:rPr>
  </w:style>
  <w:style w:type="paragraph" w:customStyle="1" w:styleId="Para">
    <w:name w:val="Para #"/>
    <w:basedOn w:val="Normal"/>
    <w:rsid w:val="00C35720"/>
    <w:pPr>
      <w:numPr>
        <w:numId w:val="2"/>
      </w:numPr>
    </w:pPr>
  </w:style>
  <w:style w:type="paragraph" w:styleId="BodyText">
    <w:name w:val="Body Text"/>
    <w:basedOn w:val="Normal"/>
    <w:link w:val="BodyTextChar"/>
    <w:uiPriority w:val="99"/>
    <w:semiHidden/>
    <w:unhideWhenUsed/>
    <w:rsid w:val="00643811"/>
    <w:pPr>
      <w:tabs>
        <w:tab w:val="clear" w:pos="850"/>
        <w:tab w:val="clear" w:pos="1191"/>
        <w:tab w:val="clear" w:pos="1531"/>
      </w:tabs>
      <w:spacing w:after="240"/>
      <w:ind w:firstLine="442"/>
    </w:pPr>
  </w:style>
  <w:style w:type="character" w:customStyle="1" w:styleId="BodyTextChar">
    <w:name w:val="Body Text Char"/>
    <w:basedOn w:val="DefaultParagraphFont"/>
    <w:link w:val="BodyText"/>
    <w:uiPriority w:val="99"/>
    <w:semiHidden/>
    <w:rsid w:val="00643811"/>
    <w:rPr>
      <w:sz w:val="22"/>
      <w:szCs w:val="22"/>
      <w:lang w:val="en-GB" w:eastAsia="zh-CN"/>
    </w:rPr>
  </w:style>
  <w:style w:type="character" w:styleId="CommentReference">
    <w:name w:val="annotation reference"/>
    <w:basedOn w:val="DefaultParagraphFont"/>
    <w:uiPriority w:val="99"/>
    <w:semiHidden/>
    <w:unhideWhenUsed/>
    <w:rsid w:val="00203AF1"/>
    <w:rPr>
      <w:sz w:val="16"/>
      <w:szCs w:val="16"/>
    </w:rPr>
  </w:style>
  <w:style w:type="paragraph" w:styleId="CommentText">
    <w:name w:val="annotation text"/>
    <w:basedOn w:val="Normal"/>
    <w:link w:val="CommentTextChar"/>
    <w:uiPriority w:val="99"/>
    <w:semiHidden/>
    <w:unhideWhenUsed/>
    <w:rsid w:val="00203AF1"/>
    <w:rPr>
      <w:sz w:val="20"/>
      <w:szCs w:val="20"/>
    </w:rPr>
  </w:style>
  <w:style w:type="character" w:customStyle="1" w:styleId="CommentTextChar">
    <w:name w:val="Comment Text Char"/>
    <w:basedOn w:val="DefaultParagraphFont"/>
    <w:link w:val="CommentText"/>
    <w:uiPriority w:val="99"/>
    <w:semiHidden/>
    <w:rsid w:val="00203AF1"/>
    <w:rPr>
      <w:lang w:val="en-GB" w:eastAsia="zh-CN"/>
    </w:rPr>
  </w:style>
  <w:style w:type="paragraph" w:styleId="CommentSubject">
    <w:name w:val="annotation subject"/>
    <w:basedOn w:val="CommentText"/>
    <w:next w:val="CommentText"/>
    <w:link w:val="CommentSubjectChar"/>
    <w:uiPriority w:val="99"/>
    <w:semiHidden/>
    <w:unhideWhenUsed/>
    <w:rsid w:val="00203AF1"/>
    <w:rPr>
      <w:b/>
      <w:bCs/>
    </w:rPr>
  </w:style>
  <w:style w:type="character" w:customStyle="1" w:styleId="CommentSubjectChar">
    <w:name w:val="Comment Subject Char"/>
    <w:basedOn w:val="CommentTextChar"/>
    <w:link w:val="CommentSubject"/>
    <w:uiPriority w:val="99"/>
    <w:semiHidden/>
    <w:rsid w:val="00203AF1"/>
    <w:rPr>
      <w:b/>
      <w:bCs/>
      <w:lang w:val="en-GB" w:eastAsia="zh-CN"/>
    </w:rPr>
  </w:style>
  <w:style w:type="character" w:styleId="Hyperlink">
    <w:name w:val="Hyperlink"/>
    <w:uiPriority w:val="99"/>
    <w:rsid w:val="00CE78D9"/>
    <w:rPr>
      <w:color w:val="0000FF"/>
      <w:u w:val="single"/>
    </w:rPr>
  </w:style>
  <w:style w:type="paragraph" w:styleId="Revision">
    <w:name w:val="Revision"/>
    <w:hidden/>
    <w:uiPriority w:val="99"/>
    <w:semiHidden/>
    <w:rsid w:val="00EA1D89"/>
    <w:rPr>
      <w:sz w:val="22"/>
      <w:szCs w:val="22"/>
      <w:lang w:val="en-GB" w:eastAsia="zh-CN"/>
    </w:rPr>
  </w:style>
  <w:style w:type="paragraph" w:styleId="NormalWeb">
    <w:name w:val="Normal (Web)"/>
    <w:basedOn w:val="Normal"/>
    <w:uiPriority w:val="99"/>
    <w:unhideWhenUsed/>
    <w:rsid w:val="00A43DF3"/>
    <w:pPr>
      <w:tabs>
        <w:tab w:val="clear" w:pos="850"/>
        <w:tab w:val="clear" w:pos="1191"/>
        <w:tab w:val="clear" w:pos="1531"/>
      </w:tabs>
      <w:spacing w:before="100" w:beforeAutospacing="1" w:after="100" w:afterAutospacing="1"/>
      <w:jc w:val="left"/>
    </w:pPr>
    <w:rPr>
      <w:rFonts w:eastAsiaTheme="minorEastAsia"/>
      <w:sz w:val="24"/>
      <w:szCs w:val="24"/>
      <w:lang w:eastAsia="en-GB"/>
    </w:rPr>
  </w:style>
  <w:style w:type="character" w:customStyle="1" w:styleId="Hyperlink0">
    <w:name w:val="Hyperlink.0"/>
    <w:basedOn w:val="Hyperlink"/>
    <w:rsid w:val="007366DC"/>
    <w:rPr>
      <w:color w:val="0000FF"/>
      <w:u w:val="single" w:color="0000FF"/>
    </w:rPr>
  </w:style>
  <w:style w:type="paragraph" w:styleId="Bibliography">
    <w:name w:val="Bibliography"/>
    <w:basedOn w:val="Normal"/>
    <w:next w:val="Normal"/>
    <w:uiPriority w:val="37"/>
    <w:unhideWhenUsed/>
    <w:rsid w:val="007366DC"/>
    <w:pPr>
      <w:tabs>
        <w:tab w:val="clear" w:pos="850"/>
        <w:tab w:val="clear" w:pos="1191"/>
        <w:tab w:val="clear" w:pos="1531"/>
      </w:tabs>
      <w:jc w:val="left"/>
    </w:pPr>
    <w:rPr>
      <w:rFonts w:ascii="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1360">
      <w:bodyDiv w:val="1"/>
      <w:marLeft w:val="0"/>
      <w:marRight w:val="0"/>
      <w:marTop w:val="0"/>
      <w:marBottom w:val="0"/>
      <w:divBdr>
        <w:top w:val="none" w:sz="0" w:space="0" w:color="auto"/>
        <w:left w:val="none" w:sz="0" w:space="0" w:color="auto"/>
        <w:bottom w:val="none" w:sz="0" w:space="0" w:color="auto"/>
        <w:right w:val="none" w:sz="0" w:space="0" w:color="auto"/>
      </w:divBdr>
    </w:div>
    <w:div w:id="83887188">
      <w:bodyDiv w:val="1"/>
      <w:marLeft w:val="0"/>
      <w:marRight w:val="0"/>
      <w:marTop w:val="0"/>
      <w:marBottom w:val="0"/>
      <w:divBdr>
        <w:top w:val="none" w:sz="0" w:space="0" w:color="auto"/>
        <w:left w:val="none" w:sz="0" w:space="0" w:color="auto"/>
        <w:bottom w:val="none" w:sz="0" w:space="0" w:color="auto"/>
        <w:right w:val="none" w:sz="0" w:space="0" w:color="auto"/>
      </w:divBdr>
    </w:div>
    <w:div w:id="660276522">
      <w:bodyDiv w:val="1"/>
      <w:marLeft w:val="0"/>
      <w:marRight w:val="0"/>
      <w:marTop w:val="0"/>
      <w:marBottom w:val="0"/>
      <w:divBdr>
        <w:top w:val="none" w:sz="0" w:space="0" w:color="auto"/>
        <w:left w:val="none" w:sz="0" w:space="0" w:color="auto"/>
        <w:bottom w:val="none" w:sz="0" w:space="0" w:color="auto"/>
        <w:right w:val="none" w:sz="0" w:space="0" w:color="auto"/>
      </w:divBdr>
      <w:divsChild>
        <w:div w:id="1632055412">
          <w:marLeft w:val="547"/>
          <w:marRight w:val="0"/>
          <w:marTop w:val="77"/>
          <w:marBottom w:val="0"/>
          <w:divBdr>
            <w:top w:val="none" w:sz="0" w:space="0" w:color="auto"/>
            <w:left w:val="none" w:sz="0" w:space="0" w:color="auto"/>
            <w:bottom w:val="none" w:sz="0" w:space="0" w:color="auto"/>
            <w:right w:val="none" w:sz="0" w:space="0" w:color="auto"/>
          </w:divBdr>
        </w:div>
        <w:div w:id="327950785">
          <w:marLeft w:val="547"/>
          <w:marRight w:val="0"/>
          <w:marTop w:val="77"/>
          <w:marBottom w:val="0"/>
          <w:divBdr>
            <w:top w:val="none" w:sz="0" w:space="0" w:color="auto"/>
            <w:left w:val="none" w:sz="0" w:space="0" w:color="auto"/>
            <w:bottom w:val="none" w:sz="0" w:space="0" w:color="auto"/>
            <w:right w:val="none" w:sz="0" w:space="0" w:color="auto"/>
          </w:divBdr>
        </w:div>
        <w:div w:id="596448400">
          <w:marLeft w:val="547"/>
          <w:marRight w:val="0"/>
          <w:marTop w:val="77"/>
          <w:marBottom w:val="0"/>
          <w:divBdr>
            <w:top w:val="none" w:sz="0" w:space="0" w:color="auto"/>
            <w:left w:val="none" w:sz="0" w:space="0" w:color="auto"/>
            <w:bottom w:val="none" w:sz="0" w:space="0" w:color="auto"/>
            <w:right w:val="none" w:sz="0" w:space="0" w:color="auto"/>
          </w:divBdr>
        </w:div>
        <w:div w:id="42682524">
          <w:marLeft w:val="547"/>
          <w:marRight w:val="0"/>
          <w:marTop w:val="77"/>
          <w:marBottom w:val="0"/>
          <w:divBdr>
            <w:top w:val="none" w:sz="0" w:space="0" w:color="auto"/>
            <w:left w:val="none" w:sz="0" w:space="0" w:color="auto"/>
            <w:bottom w:val="none" w:sz="0" w:space="0" w:color="auto"/>
            <w:right w:val="none" w:sz="0" w:space="0" w:color="auto"/>
          </w:divBdr>
        </w:div>
        <w:div w:id="1265115220">
          <w:marLeft w:val="547"/>
          <w:marRight w:val="0"/>
          <w:marTop w:val="77"/>
          <w:marBottom w:val="0"/>
          <w:divBdr>
            <w:top w:val="none" w:sz="0" w:space="0" w:color="auto"/>
            <w:left w:val="none" w:sz="0" w:space="0" w:color="auto"/>
            <w:bottom w:val="none" w:sz="0" w:space="0" w:color="auto"/>
            <w:right w:val="none" w:sz="0" w:space="0" w:color="auto"/>
          </w:divBdr>
        </w:div>
        <w:div w:id="138039483">
          <w:marLeft w:val="547"/>
          <w:marRight w:val="0"/>
          <w:marTop w:val="77"/>
          <w:marBottom w:val="0"/>
          <w:divBdr>
            <w:top w:val="none" w:sz="0" w:space="0" w:color="auto"/>
            <w:left w:val="none" w:sz="0" w:space="0" w:color="auto"/>
            <w:bottom w:val="none" w:sz="0" w:space="0" w:color="auto"/>
            <w:right w:val="none" w:sz="0" w:space="0" w:color="auto"/>
          </w:divBdr>
        </w:div>
      </w:divsChild>
    </w:div>
    <w:div w:id="1109353648">
      <w:bodyDiv w:val="1"/>
      <w:marLeft w:val="0"/>
      <w:marRight w:val="0"/>
      <w:marTop w:val="0"/>
      <w:marBottom w:val="0"/>
      <w:divBdr>
        <w:top w:val="none" w:sz="0" w:space="0" w:color="auto"/>
        <w:left w:val="none" w:sz="0" w:space="0" w:color="auto"/>
        <w:bottom w:val="none" w:sz="0" w:space="0" w:color="auto"/>
        <w:right w:val="none" w:sz="0" w:space="0" w:color="auto"/>
      </w:divBdr>
      <w:divsChild>
        <w:div w:id="447357995">
          <w:marLeft w:val="547"/>
          <w:marRight w:val="0"/>
          <w:marTop w:val="0"/>
          <w:marBottom w:val="0"/>
          <w:divBdr>
            <w:top w:val="none" w:sz="0" w:space="0" w:color="auto"/>
            <w:left w:val="none" w:sz="0" w:space="0" w:color="auto"/>
            <w:bottom w:val="none" w:sz="0" w:space="0" w:color="auto"/>
            <w:right w:val="none" w:sz="0" w:space="0" w:color="auto"/>
          </w:divBdr>
        </w:div>
        <w:div w:id="1806582960">
          <w:marLeft w:val="547"/>
          <w:marRight w:val="0"/>
          <w:marTop w:val="0"/>
          <w:marBottom w:val="0"/>
          <w:divBdr>
            <w:top w:val="none" w:sz="0" w:space="0" w:color="auto"/>
            <w:left w:val="none" w:sz="0" w:space="0" w:color="auto"/>
            <w:bottom w:val="none" w:sz="0" w:space="0" w:color="auto"/>
            <w:right w:val="none" w:sz="0" w:space="0" w:color="auto"/>
          </w:divBdr>
        </w:div>
      </w:divsChild>
    </w:div>
    <w:div w:id="1355500714">
      <w:bodyDiv w:val="1"/>
      <w:marLeft w:val="0"/>
      <w:marRight w:val="0"/>
      <w:marTop w:val="0"/>
      <w:marBottom w:val="0"/>
      <w:divBdr>
        <w:top w:val="none" w:sz="0" w:space="0" w:color="auto"/>
        <w:left w:val="none" w:sz="0" w:space="0" w:color="auto"/>
        <w:bottom w:val="none" w:sz="0" w:space="0" w:color="auto"/>
        <w:right w:val="none" w:sz="0" w:space="0" w:color="auto"/>
      </w:divBdr>
    </w:div>
    <w:div w:id="1804808577">
      <w:bodyDiv w:val="1"/>
      <w:marLeft w:val="0"/>
      <w:marRight w:val="0"/>
      <w:marTop w:val="0"/>
      <w:marBottom w:val="0"/>
      <w:divBdr>
        <w:top w:val="none" w:sz="0" w:space="0" w:color="auto"/>
        <w:left w:val="none" w:sz="0" w:space="0" w:color="auto"/>
        <w:bottom w:val="none" w:sz="0" w:space="0" w:color="auto"/>
        <w:right w:val="none" w:sz="0" w:space="0" w:color="auto"/>
      </w:divBdr>
    </w:div>
    <w:div w:id="213347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dx.doi.org/10.1787/9789264275942-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oecd-ilibrary.org/docserver/9789264277571-en.pdf?expires=1544027724&amp;id=id&amp;accname=ocid84004878&amp;checksum=6A4ACCE261D27382B29F9762009D14E6" TargetMode="External"/><Relationship Id="rId2" Type="http://schemas.openxmlformats.org/officeDocument/2006/relationships/hyperlink" Target="http://www.oecd.org/trade/oecd-trade-scenario-1-reducing-tariffs.pdf" TargetMode="External"/><Relationship Id="rId1" Type="http://schemas.openxmlformats.org/officeDocument/2006/relationships/hyperlink" Target="https://www.oecd.org/tad/policynotes/METRO-OECD-trade-model.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main.oecd.org\sdataTAD\Data\PTA\Trade_Scenarios_2018\Scenario%203\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main.oecd.org\sdataTAD\Data\PTA\Trade_Scenarios_2018\Scenario%203\Analysis_cm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main.oecd.org\sdataTAD\Data\PTA\Trade_Scenarios_2018\Scenario%203\Brief_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main.oecd.org\sdataTAD\Data\PTA\Trade_Scenarios_2018\Scenario%203\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main.oecd.org\sdataTAD\Data\PTA\Trade_Scenarios\2018\Scenario%203\Brief_Chart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386940645695997E-2"/>
          <c:y val="5.3333333333333337E-2"/>
          <c:w val="0.8837876193380404"/>
          <c:h val="0.52162099737532808"/>
        </c:manualLayout>
      </c:layout>
      <c:barChart>
        <c:barDir val="col"/>
        <c:grouping val="clustered"/>
        <c:varyColors val="0"/>
        <c:ser>
          <c:idx val="1"/>
          <c:order val="1"/>
          <c:tx>
            <c:strRef>
              <c:f>NTMs!$C$27:$C$28</c:f>
              <c:strCache>
                <c:ptCount val="2"/>
                <c:pt idx="0">
                  <c:v>G20</c:v>
                </c:pt>
                <c:pt idx="1">
                  <c:v>Average AVE</c:v>
                </c:pt>
              </c:strCache>
              <c:extLst xmlns:c15="http://schemas.microsoft.com/office/drawing/2012/chart"/>
            </c:strRef>
          </c:tx>
          <c:spPr>
            <a:solidFill>
              <a:schemeClr val="accent2"/>
            </a:solidFill>
            <a:ln>
              <a:noFill/>
            </a:ln>
            <a:effectLst/>
          </c:spPr>
          <c:invertIfNegative val="0"/>
          <c:cat>
            <c:strRef>
              <c:f>NTMs!$A$29:$A$45</c:f>
              <c:strCache>
                <c:ptCount val="16"/>
                <c:pt idx="0">
                  <c:v>Cereal grains</c:v>
                </c:pt>
                <c:pt idx="1">
                  <c:v>Other agriculture</c:v>
                </c:pt>
                <c:pt idx="2">
                  <c:v>Oil seeds</c:v>
                </c:pt>
                <c:pt idx="3">
                  <c:v>Dairy</c:v>
                </c:pt>
                <c:pt idx="4">
                  <c:v>Meats</c:v>
                </c:pt>
                <c:pt idx="5">
                  <c:v>Food and beverage</c:v>
                </c:pt>
                <c:pt idx="6">
                  <c:v>Textile and wearing apparel</c:v>
                </c:pt>
                <c:pt idx="7">
                  <c:v>Mineral products</c:v>
                </c:pt>
                <c:pt idx="8">
                  <c:v>Ferrous metals</c:v>
                </c:pt>
                <c:pt idx="9">
                  <c:v>Nonferrous metals</c:v>
                </c:pt>
                <c:pt idx="10">
                  <c:v>Metal products</c:v>
                </c:pt>
                <c:pt idx="11">
                  <c:v>Motor vehicles and parts</c:v>
                </c:pt>
                <c:pt idx="12">
                  <c:v>Transport equipment</c:v>
                </c:pt>
                <c:pt idx="13">
                  <c:v>Electronic equipment</c:v>
                </c:pt>
                <c:pt idx="14">
                  <c:v>Machinery and equipment</c:v>
                </c:pt>
                <c:pt idx="15">
                  <c:v>Other manufacturing</c:v>
                </c:pt>
              </c:strCache>
            </c:strRef>
          </c:cat>
          <c:val>
            <c:numRef>
              <c:f>NTMs!$C$29:$C$45</c:f>
              <c:numCache>
                <c:formatCode>General</c:formatCode>
                <c:ptCount val="16"/>
                <c:pt idx="0">
                  <c:v>22.126000000000001</c:v>
                </c:pt>
                <c:pt idx="1">
                  <c:v>13.319000000000001</c:v>
                </c:pt>
                <c:pt idx="2">
                  <c:v>6.5490000000000004</c:v>
                </c:pt>
                <c:pt idx="3">
                  <c:v>20.149999999999999</c:v>
                </c:pt>
                <c:pt idx="4">
                  <c:v>26.009</c:v>
                </c:pt>
                <c:pt idx="5">
                  <c:v>15.539</c:v>
                </c:pt>
                <c:pt idx="6">
                  <c:v>13.106999999999999</c:v>
                </c:pt>
                <c:pt idx="7">
                  <c:v>8.9909999999999997</c:v>
                </c:pt>
                <c:pt idx="8">
                  <c:v>8.9149999999999991</c:v>
                </c:pt>
                <c:pt idx="9">
                  <c:v>2.508</c:v>
                </c:pt>
                <c:pt idx="10">
                  <c:v>6.5990000000000002</c:v>
                </c:pt>
                <c:pt idx="11">
                  <c:v>23.175999999999998</c:v>
                </c:pt>
                <c:pt idx="12">
                  <c:v>5.2329999999999997</c:v>
                </c:pt>
                <c:pt idx="13">
                  <c:v>6.0250000000000004</c:v>
                </c:pt>
                <c:pt idx="14">
                  <c:v>7.9589999999999996</c:v>
                </c:pt>
                <c:pt idx="15">
                  <c:v>10.804</c:v>
                </c:pt>
              </c:numCache>
            </c:numRef>
          </c:val>
          <c:extLst xmlns:c15="http://schemas.microsoft.com/office/drawing/2012/chart">
            <c:ext xmlns:c16="http://schemas.microsoft.com/office/drawing/2014/chart" uri="{C3380CC4-5D6E-409C-BE32-E72D297353CC}">
              <c16:uniqueId val="{00000000-F942-460F-8436-2531A38AD5CA}"/>
            </c:ext>
          </c:extLst>
        </c:ser>
        <c:dLbls>
          <c:showLegendKey val="0"/>
          <c:showVal val="0"/>
          <c:showCatName val="0"/>
          <c:showSerName val="0"/>
          <c:showPercent val="0"/>
          <c:showBubbleSize val="0"/>
        </c:dLbls>
        <c:gapWidth val="150"/>
        <c:axId val="524232592"/>
        <c:axId val="524235872"/>
        <c:extLst>
          <c:ext xmlns:c15="http://schemas.microsoft.com/office/drawing/2012/chart" uri="{02D57815-91ED-43cb-92C2-25804820EDAC}">
            <c15:filteredBarSeries>
              <c15:ser>
                <c:idx val="0"/>
                <c:order val="0"/>
                <c:tx>
                  <c:strRef>
                    <c:extLst>
                      <c:ext uri="{02D57815-91ED-43cb-92C2-25804820EDAC}">
                        <c15:formulaRef>
                          <c15:sqref>NTMs!$B$27:$B$28</c15:sqref>
                        </c15:formulaRef>
                      </c:ext>
                    </c:extLst>
                    <c:strCache>
                      <c:ptCount val="2"/>
                      <c:pt idx="0">
                        <c:v>Lowest </c:v>
                      </c:pt>
                      <c:pt idx="1">
                        <c:v>G20 AVE</c:v>
                      </c:pt>
                    </c:strCache>
                  </c:strRef>
                </c:tx>
                <c:spPr>
                  <a:solidFill>
                    <a:schemeClr val="accent1"/>
                  </a:solidFill>
                  <a:ln>
                    <a:noFill/>
                  </a:ln>
                  <a:effectLst/>
                </c:spPr>
                <c:invertIfNegative val="0"/>
                <c:cat>
                  <c:strRef>
                    <c:extLst>
                      <c:ext uri="{02D57815-91ED-43cb-92C2-25804820EDAC}">
                        <c15:formulaRef>
                          <c15:sqref>NTMs!$A$29:$A$45</c15:sqref>
                        </c15:formulaRef>
                      </c:ext>
                    </c:extLst>
                    <c:strCache>
                      <c:ptCount val="16"/>
                      <c:pt idx="0">
                        <c:v>Cereal grains</c:v>
                      </c:pt>
                      <c:pt idx="1">
                        <c:v>Other agriculture</c:v>
                      </c:pt>
                      <c:pt idx="2">
                        <c:v>Oil seeds</c:v>
                      </c:pt>
                      <c:pt idx="3">
                        <c:v>Dairy</c:v>
                      </c:pt>
                      <c:pt idx="4">
                        <c:v>Meats</c:v>
                      </c:pt>
                      <c:pt idx="5">
                        <c:v>Food and beverage</c:v>
                      </c:pt>
                      <c:pt idx="6">
                        <c:v>Textile and wearing apparel</c:v>
                      </c:pt>
                      <c:pt idx="7">
                        <c:v>Mineral products</c:v>
                      </c:pt>
                      <c:pt idx="8">
                        <c:v>Ferrous metals</c:v>
                      </c:pt>
                      <c:pt idx="9">
                        <c:v>Nonferrous metals</c:v>
                      </c:pt>
                      <c:pt idx="10">
                        <c:v>Metal products</c:v>
                      </c:pt>
                      <c:pt idx="11">
                        <c:v>Motor vehicles and parts</c:v>
                      </c:pt>
                      <c:pt idx="12">
                        <c:v>Transport equipment</c:v>
                      </c:pt>
                      <c:pt idx="13">
                        <c:v>Electronic equipment</c:v>
                      </c:pt>
                      <c:pt idx="14">
                        <c:v>Machinery and equipment</c:v>
                      </c:pt>
                      <c:pt idx="15">
                        <c:v>Other manufacturing</c:v>
                      </c:pt>
                    </c:strCache>
                  </c:strRef>
                </c:cat>
                <c:val>
                  <c:numRef>
                    <c:extLst>
                      <c:ext uri="{02D57815-91ED-43cb-92C2-25804820EDAC}">
                        <c15:formulaRef>
                          <c15:sqref>NTMs!$B$29:$B$45</c15:sqref>
                        </c15:formulaRef>
                      </c:ext>
                    </c:extLst>
                    <c:numCache>
                      <c:formatCode>General</c:formatCode>
                      <c:ptCount val="16"/>
                      <c:pt idx="0">
                        <c:v>0.123</c:v>
                      </c:pt>
                      <c:pt idx="1">
                        <c:v>4.218</c:v>
                      </c:pt>
                      <c:pt idx="2">
                        <c:v>1.4E-2</c:v>
                      </c:pt>
                      <c:pt idx="3">
                        <c:v>5.5540000000000003</c:v>
                      </c:pt>
                      <c:pt idx="4">
                        <c:v>3.7749999999999999</c:v>
                      </c:pt>
                      <c:pt idx="5">
                        <c:v>3.5379999999999998</c:v>
                      </c:pt>
                      <c:pt idx="6">
                        <c:v>1.8160000000000001</c:v>
                      </c:pt>
                      <c:pt idx="7">
                        <c:v>0.505</c:v>
                      </c:pt>
                      <c:pt idx="8">
                        <c:v>3.5000000000000003E-2</c:v>
                      </c:pt>
                      <c:pt idx="9">
                        <c:v>0.02</c:v>
                      </c:pt>
                      <c:pt idx="10">
                        <c:v>0.52700000000000002</c:v>
                      </c:pt>
                      <c:pt idx="11">
                        <c:v>7.9749999999999996</c:v>
                      </c:pt>
                      <c:pt idx="12">
                        <c:v>0.60699999999999998</c:v>
                      </c:pt>
                      <c:pt idx="13">
                        <c:v>2.0619999999999998</c:v>
                      </c:pt>
                      <c:pt idx="14">
                        <c:v>2.9470000000000001</c:v>
                      </c:pt>
                      <c:pt idx="15">
                        <c:v>3.7440000000000002</c:v>
                      </c:pt>
                    </c:numCache>
                  </c:numRef>
                </c:val>
                <c:extLst>
                  <c:ext xmlns:c16="http://schemas.microsoft.com/office/drawing/2014/chart" uri="{C3380CC4-5D6E-409C-BE32-E72D297353CC}">
                    <c16:uniqueId val="{0000000B-F942-460F-8436-2531A38AD5CA}"/>
                  </c:ext>
                </c:extLst>
              </c15:ser>
            </c15:filteredBarSeries>
          </c:ext>
        </c:extLst>
      </c:barChart>
      <c:lineChart>
        <c:grouping val="standard"/>
        <c:varyColors val="0"/>
        <c:ser>
          <c:idx val="2"/>
          <c:order val="2"/>
          <c:tx>
            <c:strRef>
              <c:f>NTMs!$D$27:$D$28</c:f>
              <c:strCache>
                <c:ptCount val="2"/>
                <c:pt idx="0">
                  <c:v>Average</c:v>
                </c:pt>
                <c:pt idx="1">
                  <c:v>Cost Reduction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1"/>
              <c:layout>
                <c:manualLayout>
                  <c:x val="-1.9083407688412168E-2"/>
                  <c:y val="-0.1161973597844846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F942-460F-8436-2531A38AD5CA}"/>
                </c:ext>
              </c:extLst>
            </c:dLbl>
            <c:dLbl>
              <c:idx val="3"/>
              <c:layout>
                <c:manualLayout>
                  <c:x val="-3.9222726792691939E-2"/>
                  <c:y val="-0.14194567005162334"/>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F942-460F-8436-2531A38AD5CA}"/>
                </c:ext>
              </c:extLst>
            </c:dLbl>
            <c:dLbl>
              <c:idx val="4"/>
              <c:layout>
                <c:manualLayout>
                  <c:x val="1.9917625937269059E-2"/>
                  <c:y val="-6.4700739250207182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F942-460F-8436-2531A38AD5CA}"/>
                </c:ext>
              </c:extLst>
            </c:dLbl>
            <c:dLbl>
              <c:idx val="5"/>
              <c:layout>
                <c:manualLayout>
                  <c:x val="-3.2886260428767557E-2"/>
                  <c:y val="-0.10654174343430765"/>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F942-460F-8436-2531A38AD5CA}"/>
                </c:ext>
              </c:extLst>
            </c:dLbl>
            <c:dLbl>
              <c:idx val="6"/>
              <c:layout>
                <c:manualLayout>
                  <c:x val="-2.8661949519484635E-2"/>
                  <c:y val="-6.148220046681483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F942-460F-8436-2531A38AD5CA}"/>
                </c:ext>
              </c:extLst>
            </c:dLbl>
            <c:dLbl>
              <c:idx val="11"/>
              <c:layout>
                <c:manualLayout>
                  <c:x val="1.1469004118703137E-2"/>
                  <c:y val="-4.538950654985313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F942-460F-8436-2531A38AD5CA}"/>
                </c:ext>
              </c:extLst>
            </c:dLbl>
            <c:dLbl>
              <c:idx val="13"/>
              <c:layout>
                <c:manualLayout>
                  <c:x val="-2.3307718597695089E-2"/>
                  <c:y val="-8.401197195056121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F942-460F-8436-2531A38AD5CA}"/>
                </c:ext>
              </c:extLst>
            </c:dLbl>
            <c:dLbl>
              <c:idx val="14"/>
              <c:layout>
                <c:manualLayout>
                  <c:x val="-2.3307718597695089E-2"/>
                  <c:y val="-9.0449049517345892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F942-460F-8436-2531A38AD5CA}"/>
                </c:ext>
              </c:extLst>
            </c:dLbl>
            <c:dLbl>
              <c:idx val="15"/>
              <c:layout>
                <c:manualLayout>
                  <c:x val="-2.3307718597695089E-2"/>
                  <c:y val="-0.10010466586752298"/>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F942-460F-8436-2531A38AD5CA}"/>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Lit>
              <c:ptCount val="16"/>
              <c:pt idx="0">
                <c:v>Cereal grains</c:v>
              </c:pt>
              <c:pt idx="1">
                <c:v>Other agriculture</c:v>
              </c:pt>
              <c:pt idx="2">
                <c:v>Oil seeds</c:v>
              </c:pt>
              <c:pt idx="3">
                <c:v>Dairy</c:v>
              </c:pt>
              <c:pt idx="4">
                <c:v>Meats</c:v>
              </c:pt>
              <c:pt idx="5">
                <c:v>Food and beverage</c:v>
              </c:pt>
              <c:pt idx="6">
                <c:v>Textile and wearing apparel</c:v>
              </c:pt>
              <c:pt idx="7">
                <c:v>Mineral products</c:v>
              </c:pt>
              <c:pt idx="8">
                <c:v>Ferrous metals</c:v>
              </c:pt>
              <c:pt idx="9">
                <c:v>Nonferrous metals</c:v>
              </c:pt>
              <c:pt idx="10">
                <c:v>Metal products</c:v>
              </c:pt>
              <c:pt idx="11">
                <c:v>Motor vehicles and parts</c:v>
              </c:pt>
              <c:pt idx="12">
                <c:v>Transport equipment</c:v>
              </c:pt>
              <c:pt idx="13">
                <c:v>Electronic equipment</c:v>
              </c:pt>
              <c:pt idx="14">
                <c:v>Machinery and equipment</c:v>
              </c:pt>
              <c:pt idx="15">
                <c:v>Other manufacturing</c:v>
              </c:pt>
              <c:extLst>
                <c:ext xmlns:c15="http://schemas.microsoft.com/office/drawing/2012/chart" uri="{02D57815-91ED-43cb-92C2-25804820EDAC}">
                  <c15:autoCat val="1"/>
                </c:ext>
              </c:extLst>
            </c:strLit>
          </c:cat>
          <c:val>
            <c:numRef>
              <c:f>NTMs!$D$29:$D$45</c:f>
              <c:numCache>
                <c:formatCode>0</c:formatCode>
                <c:ptCount val="16"/>
                <c:pt idx="0">
                  <c:v>22.003</c:v>
                </c:pt>
                <c:pt idx="1">
                  <c:v>9.1010000000000009</c:v>
                </c:pt>
                <c:pt idx="2">
                  <c:v>6.5350000000000001</c:v>
                </c:pt>
                <c:pt idx="3">
                  <c:v>14.595999999999998</c:v>
                </c:pt>
                <c:pt idx="4">
                  <c:v>22.234000000000002</c:v>
                </c:pt>
                <c:pt idx="5">
                  <c:v>12.000999999999999</c:v>
                </c:pt>
                <c:pt idx="6">
                  <c:v>11.290999999999999</c:v>
                </c:pt>
                <c:pt idx="7">
                  <c:v>8.4859999999999989</c:v>
                </c:pt>
                <c:pt idx="8">
                  <c:v>8.879999999999999</c:v>
                </c:pt>
                <c:pt idx="9">
                  <c:v>2.488</c:v>
                </c:pt>
                <c:pt idx="10">
                  <c:v>6.0720000000000001</c:v>
                </c:pt>
                <c:pt idx="11">
                  <c:v>15.200999999999999</c:v>
                </c:pt>
                <c:pt idx="12">
                  <c:v>4.6259999999999994</c:v>
                </c:pt>
                <c:pt idx="13">
                  <c:v>3.9630000000000005</c:v>
                </c:pt>
                <c:pt idx="14">
                  <c:v>5.0119999999999996</c:v>
                </c:pt>
                <c:pt idx="15">
                  <c:v>7.0600000000000005</c:v>
                </c:pt>
              </c:numCache>
            </c:numRef>
          </c:val>
          <c:smooth val="0"/>
          <c:extLst>
            <c:ext xmlns:c16="http://schemas.microsoft.com/office/drawing/2014/chart" uri="{C3380CC4-5D6E-409C-BE32-E72D297353CC}">
              <c16:uniqueId val="{0000000A-F942-460F-8436-2531A38AD5CA}"/>
            </c:ext>
          </c:extLst>
        </c:ser>
        <c:dLbls>
          <c:showLegendKey val="0"/>
          <c:showVal val="0"/>
          <c:showCatName val="0"/>
          <c:showSerName val="0"/>
          <c:showPercent val="0"/>
          <c:showBubbleSize val="0"/>
        </c:dLbls>
        <c:marker val="1"/>
        <c:smooth val="0"/>
        <c:axId val="524232592"/>
        <c:axId val="524235872"/>
      </c:lineChart>
      <c:catAx>
        <c:axId val="52423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24235872"/>
        <c:crosses val="autoZero"/>
        <c:auto val="1"/>
        <c:lblAlgn val="ctr"/>
        <c:lblOffset val="100"/>
        <c:noMultiLvlLbl val="0"/>
      </c:catAx>
      <c:valAx>
        <c:axId val="524235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i="0" baseline="0"/>
                  <a:t>Percent reduction in trade costs</a:t>
                </a:r>
              </a:p>
            </c:rich>
          </c:tx>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42325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1"/>
          <c:order val="0"/>
          <c:tx>
            <c:strRef>
              <c:f>'Figure XX b'!$B$1</c:f>
              <c:strCache>
                <c:ptCount val="1"/>
                <c:pt idx="0">
                  <c:v>Argentina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w="9525" cap="rnd">
                <a:solidFill>
                  <a:schemeClr val="accent4">
                    <a:lumMod val="8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b'!$B$2</c:f>
              <c:numCache>
                <c:formatCode>General</c:formatCode>
                <c:ptCount val="1"/>
                <c:pt idx="0">
                  <c:v>16.239999999999998</c:v>
                </c:pt>
              </c:numCache>
            </c:numRef>
          </c:xVal>
          <c:yVal>
            <c:numRef>
              <c:f>'Figure XX b'!$B$3</c:f>
              <c:numCache>
                <c:formatCode>General</c:formatCode>
                <c:ptCount val="1"/>
                <c:pt idx="0">
                  <c:v>10.94</c:v>
                </c:pt>
              </c:numCache>
            </c:numRef>
          </c:yVal>
          <c:smooth val="0"/>
          <c:extLst>
            <c:ext xmlns:c16="http://schemas.microsoft.com/office/drawing/2014/chart" uri="{C3380CC4-5D6E-409C-BE32-E72D297353CC}">
              <c16:uniqueId val="{00000000-131E-4B84-B49B-15A0A44F4908}"/>
            </c:ext>
          </c:extLst>
        </c:ser>
        <c:ser>
          <c:idx val="0"/>
          <c:order val="1"/>
          <c:tx>
            <c:strRef>
              <c:f>'Figure XX b'!$C$1</c:f>
              <c:strCache>
                <c:ptCount val="1"/>
                <c:pt idx="0">
                  <c:v>Aus/NZ</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9009399091773078E-2"/>
                  <c:y val="2.9487652045705862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1-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b'!$C$2</c:f>
              <c:numCache>
                <c:formatCode>General</c:formatCode>
                <c:ptCount val="1"/>
                <c:pt idx="0">
                  <c:v>9.52</c:v>
                </c:pt>
              </c:numCache>
            </c:numRef>
          </c:xVal>
          <c:yVal>
            <c:numRef>
              <c:f>'Figure XX b'!$C$3</c:f>
              <c:numCache>
                <c:formatCode>General</c:formatCode>
                <c:ptCount val="1"/>
                <c:pt idx="0">
                  <c:v>6.92</c:v>
                </c:pt>
              </c:numCache>
            </c:numRef>
          </c:yVal>
          <c:smooth val="0"/>
          <c:extLst>
            <c:ext xmlns:c16="http://schemas.microsoft.com/office/drawing/2014/chart" uri="{C3380CC4-5D6E-409C-BE32-E72D297353CC}">
              <c16:uniqueId val="{00000002-131E-4B84-B49B-15A0A44F4908}"/>
            </c:ext>
          </c:extLst>
        </c:ser>
        <c:ser>
          <c:idx val="1"/>
          <c:order val="2"/>
          <c:tx>
            <c:strRef>
              <c:f>'Figure XX b'!$D$1</c:f>
              <c:strCache>
                <c:ptCount val="1"/>
                <c:pt idx="0">
                  <c:v>Brazil</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b'!$D$2</c:f>
              <c:numCache>
                <c:formatCode>General</c:formatCode>
                <c:ptCount val="1"/>
                <c:pt idx="0">
                  <c:v>11.46</c:v>
                </c:pt>
              </c:numCache>
            </c:numRef>
          </c:xVal>
          <c:yVal>
            <c:numRef>
              <c:f>'Figure XX b'!$D$3</c:f>
              <c:numCache>
                <c:formatCode>General</c:formatCode>
                <c:ptCount val="1"/>
                <c:pt idx="0">
                  <c:v>9.9600000000000009</c:v>
                </c:pt>
              </c:numCache>
            </c:numRef>
          </c:yVal>
          <c:smooth val="0"/>
          <c:extLst>
            <c:ext xmlns:c16="http://schemas.microsoft.com/office/drawing/2014/chart" uri="{C3380CC4-5D6E-409C-BE32-E72D297353CC}">
              <c16:uniqueId val="{00000003-131E-4B84-B49B-15A0A44F4908}"/>
            </c:ext>
          </c:extLst>
        </c:ser>
        <c:ser>
          <c:idx val="2"/>
          <c:order val="3"/>
          <c:tx>
            <c:strRef>
              <c:f>'Figure XX b'!$E$1</c:f>
              <c:strCache>
                <c:ptCount val="1"/>
                <c:pt idx="0">
                  <c:v>Canada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b'!$E$2</c:f>
              <c:numCache>
                <c:formatCode>General</c:formatCode>
                <c:ptCount val="1"/>
                <c:pt idx="0">
                  <c:v>11.81</c:v>
                </c:pt>
              </c:numCache>
            </c:numRef>
          </c:xVal>
          <c:yVal>
            <c:numRef>
              <c:f>'Figure XX b'!$E$3</c:f>
              <c:numCache>
                <c:formatCode>General</c:formatCode>
                <c:ptCount val="1"/>
                <c:pt idx="0">
                  <c:v>11.38</c:v>
                </c:pt>
              </c:numCache>
            </c:numRef>
          </c:yVal>
          <c:smooth val="0"/>
          <c:extLst>
            <c:ext xmlns:c16="http://schemas.microsoft.com/office/drawing/2014/chart" uri="{C3380CC4-5D6E-409C-BE32-E72D297353CC}">
              <c16:uniqueId val="{00000004-131E-4B84-B49B-15A0A44F4908}"/>
            </c:ext>
          </c:extLst>
        </c:ser>
        <c:ser>
          <c:idx val="3"/>
          <c:order val="4"/>
          <c:tx>
            <c:strRef>
              <c:f>'Figure XX b'!$F$1</c:f>
              <c:strCache>
                <c:ptCount val="1"/>
                <c:pt idx="0">
                  <c:v>China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b'!$F$2</c:f>
              <c:numCache>
                <c:formatCode>General</c:formatCode>
                <c:ptCount val="1"/>
                <c:pt idx="0">
                  <c:v>10.06</c:v>
                </c:pt>
              </c:numCache>
            </c:numRef>
          </c:xVal>
          <c:yVal>
            <c:numRef>
              <c:f>'Figure XX b'!$F$3</c:f>
              <c:numCache>
                <c:formatCode>General</c:formatCode>
                <c:ptCount val="1"/>
                <c:pt idx="0">
                  <c:v>8.8800000000000008</c:v>
                </c:pt>
              </c:numCache>
            </c:numRef>
          </c:yVal>
          <c:smooth val="0"/>
          <c:extLst>
            <c:ext xmlns:c16="http://schemas.microsoft.com/office/drawing/2014/chart" uri="{C3380CC4-5D6E-409C-BE32-E72D297353CC}">
              <c16:uniqueId val="{00000005-131E-4B84-B49B-15A0A44F4908}"/>
            </c:ext>
          </c:extLst>
        </c:ser>
        <c:ser>
          <c:idx val="4"/>
          <c:order val="5"/>
          <c:tx>
            <c:strRef>
              <c:f>'Figure XX b'!$G$1</c:f>
              <c:strCache>
                <c:ptCount val="1"/>
                <c:pt idx="0">
                  <c:v>France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6.6764850270004922E-2"/>
                  <c:y val="-3.316749585406302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6-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b'!$G$2</c:f>
              <c:numCache>
                <c:formatCode>General</c:formatCode>
                <c:ptCount val="1"/>
                <c:pt idx="0">
                  <c:v>1.73</c:v>
                </c:pt>
              </c:numCache>
            </c:numRef>
          </c:xVal>
          <c:yVal>
            <c:numRef>
              <c:f>'Figure XX b'!$G$3</c:f>
              <c:numCache>
                <c:formatCode>General</c:formatCode>
                <c:ptCount val="1"/>
                <c:pt idx="0">
                  <c:v>1.81</c:v>
                </c:pt>
              </c:numCache>
            </c:numRef>
          </c:yVal>
          <c:smooth val="0"/>
          <c:extLst>
            <c:ext xmlns:c16="http://schemas.microsoft.com/office/drawing/2014/chart" uri="{C3380CC4-5D6E-409C-BE32-E72D297353CC}">
              <c16:uniqueId val="{00000007-131E-4B84-B49B-15A0A44F4908}"/>
            </c:ext>
          </c:extLst>
        </c:ser>
        <c:ser>
          <c:idx val="5"/>
          <c:order val="6"/>
          <c:tx>
            <c:strRef>
              <c:f>'Figure XX b'!$H$1</c:f>
              <c:strCache>
                <c:ptCount val="1"/>
                <c:pt idx="0">
                  <c:v>Germany</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5.3019145802650956E-2"/>
                  <c:y val="-4.3117744610281922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8-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b'!$H$2</c:f>
              <c:numCache>
                <c:formatCode>General</c:formatCode>
                <c:ptCount val="1"/>
                <c:pt idx="0">
                  <c:v>1.58</c:v>
                </c:pt>
              </c:numCache>
            </c:numRef>
          </c:xVal>
          <c:yVal>
            <c:numRef>
              <c:f>'Figure XX b'!$H$3</c:f>
              <c:numCache>
                <c:formatCode>General</c:formatCode>
                <c:ptCount val="1"/>
                <c:pt idx="0">
                  <c:v>2.31</c:v>
                </c:pt>
              </c:numCache>
            </c:numRef>
          </c:yVal>
          <c:smooth val="0"/>
          <c:extLst>
            <c:ext xmlns:c16="http://schemas.microsoft.com/office/drawing/2014/chart" uri="{C3380CC4-5D6E-409C-BE32-E72D297353CC}">
              <c16:uniqueId val="{00000009-131E-4B84-B49B-15A0A44F4908}"/>
            </c:ext>
          </c:extLst>
        </c:ser>
        <c:ser>
          <c:idx val="6"/>
          <c:order val="7"/>
          <c:tx>
            <c:strRef>
              <c:f>'Figure XX b'!$I$1</c:f>
              <c:strCache>
                <c:ptCount val="1"/>
                <c:pt idx="0">
                  <c:v>UK</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b'!$I$2</c:f>
              <c:numCache>
                <c:formatCode>General</c:formatCode>
                <c:ptCount val="1"/>
                <c:pt idx="0">
                  <c:v>2.09</c:v>
                </c:pt>
              </c:numCache>
            </c:numRef>
          </c:xVal>
          <c:yVal>
            <c:numRef>
              <c:f>'Figure XX b'!$I$3</c:f>
              <c:numCache>
                <c:formatCode>General</c:formatCode>
                <c:ptCount val="1"/>
                <c:pt idx="0">
                  <c:v>2.2799999999999998</c:v>
                </c:pt>
              </c:numCache>
            </c:numRef>
          </c:yVal>
          <c:smooth val="0"/>
          <c:extLst>
            <c:ext xmlns:c16="http://schemas.microsoft.com/office/drawing/2014/chart" uri="{C3380CC4-5D6E-409C-BE32-E72D297353CC}">
              <c16:uniqueId val="{0000000A-131E-4B84-B49B-15A0A44F4908}"/>
            </c:ext>
          </c:extLst>
        </c:ser>
        <c:ser>
          <c:idx val="7"/>
          <c:order val="8"/>
          <c:tx>
            <c:strRef>
              <c:f>'Figure XX b'!$J$1</c:f>
              <c:strCache>
                <c:ptCount val="1"/>
                <c:pt idx="0">
                  <c:v>Italy</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cap="rnd">
                <a:solidFill>
                  <a:schemeClr val="accent2">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b'!$J$2</c:f>
              <c:numCache>
                <c:formatCode>General</c:formatCode>
                <c:ptCount val="1"/>
                <c:pt idx="0">
                  <c:v>1.63</c:v>
                </c:pt>
              </c:numCache>
            </c:numRef>
          </c:xVal>
          <c:yVal>
            <c:numRef>
              <c:f>'Figure XX b'!$J$3</c:f>
              <c:numCache>
                <c:formatCode>General</c:formatCode>
                <c:ptCount val="1"/>
                <c:pt idx="0">
                  <c:v>2.23</c:v>
                </c:pt>
              </c:numCache>
            </c:numRef>
          </c:yVal>
          <c:smooth val="0"/>
          <c:extLst>
            <c:ext xmlns:c16="http://schemas.microsoft.com/office/drawing/2014/chart" uri="{C3380CC4-5D6E-409C-BE32-E72D297353CC}">
              <c16:uniqueId val="{0000000B-131E-4B84-B49B-15A0A44F4908}"/>
            </c:ext>
          </c:extLst>
        </c:ser>
        <c:ser>
          <c:idx val="8"/>
          <c:order val="9"/>
          <c:tx>
            <c:strRef>
              <c:f>'Figure XX b'!$K$1</c:f>
              <c:strCache>
                <c:ptCount val="1"/>
                <c:pt idx="0">
                  <c:v>EU24</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cap="rnd">
                <a:solidFill>
                  <a:schemeClr val="accent3">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9636720667648502E-3"/>
                  <c:y val="2.6533996683250415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C-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b'!$K$2</c:f>
              <c:numCache>
                <c:formatCode>General</c:formatCode>
                <c:ptCount val="1"/>
                <c:pt idx="0">
                  <c:v>0.45</c:v>
                </c:pt>
              </c:numCache>
            </c:numRef>
          </c:xVal>
          <c:yVal>
            <c:numRef>
              <c:f>'Figure XX b'!$K$3</c:f>
              <c:numCache>
                <c:formatCode>General</c:formatCode>
                <c:ptCount val="1"/>
                <c:pt idx="0">
                  <c:v>0.92</c:v>
                </c:pt>
              </c:numCache>
            </c:numRef>
          </c:yVal>
          <c:smooth val="0"/>
          <c:extLst>
            <c:ext xmlns:c16="http://schemas.microsoft.com/office/drawing/2014/chart" uri="{C3380CC4-5D6E-409C-BE32-E72D297353CC}">
              <c16:uniqueId val="{0000000D-131E-4B84-B49B-15A0A44F4908}"/>
            </c:ext>
          </c:extLst>
        </c:ser>
        <c:ser>
          <c:idx val="9"/>
          <c:order val="10"/>
          <c:tx>
            <c:strRef>
              <c:f>'Figure XX b'!$L$1</c:f>
              <c:strCache>
                <c:ptCount val="1"/>
                <c:pt idx="0">
                  <c:v>Indonesia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cap="rnd">
                <a:solidFill>
                  <a:schemeClr val="accent4">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b'!$L$2</c:f>
              <c:numCache>
                <c:formatCode>General</c:formatCode>
                <c:ptCount val="1"/>
                <c:pt idx="0">
                  <c:v>6.33</c:v>
                </c:pt>
              </c:numCache>
            </c:numRef>
          </c:xVal>
          <c:yVal>
            <c:numRef>
              <c:f>'Figure XX b'!$L$3</c:f>
              <c:numCache>
                <c:formatCode>General</c:formatCode>
                <c:ptCount val="1"/>
                <c:pt idx="0">
                  <c:v>6.29</c:v>
                </c:pt>
              </c:numCache>
            </c:numRef>
          </c:yVal>
          <c:smooth val="0"/>
          <c:extLst>
            <c:ext xmlns:c16="http://schemas.microsoft.com/office/drawing/2014/chart" uri="{C3380CC4-5D6E-409C-BE32-E72D297353CC}">
              <c16:uniqueId val="{0000000E-131E-4B84-B49B-15A0A44F4908}"/>
            </c:ext>
          </c:extLst>
        </c:ser>
        <c:ser>
          <c:idx val="10"/>
          <c:order val="11"/>
          <c:tx>
            <c:strRef>
              <c:f>'Figure XX b'!$M$1</c:f>
              <c:strCache>
                <c:ptCount val="1"/>
                <c:pt idx="0">
                  <c:v>India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cap="rnd">
                <a:solidFill>
                  <a:schemeClr val="accent5">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b'!$M$2</c:f>
              <c:numCache>
                <c:formatCode>General</c:formatCode>
                <c:ptCount val="1"/>
                <c:pt idx="0">
                  <c:v>4.9400000000000004</c:v>
                </c:pt>
              </c:numCache>
            </c:numRef>
          </c:xVal>
          <c:yVal>
            <c:numRef>
              <c:f>'Figure XX b'!$M$3</c:f>
              <c:numCache>
                <c:formatCode>General</c:formatCode>
                <c:ptCount val="1"/>
                <c:pt idx="0">
                  <c:v>6.81</c:v>
                </c:pt>
              </c:numCache>
            </c:numRef>
          </c:yVal>
          <c:smooth val="0"/>
          <c:extLst>
            <c:ext xmlns:c16="http://schemas.microsoft.com/office/drawing/2014/chart" uri="{C3380CC4-5D6E-409C-BE32-E72D297353CC}">
              <c16:uniqueId val="{0000000F-131E-4B84-B49B-15A0A44F4908}"/>
            </c:ext>
          </c:extLst>
        </c:ser>
        <c:ser>
          <c:idx val="11"/>
          <c:order val="12"/>
          <c:tx>
            <c:strRef>
              <c:f>'Figure XX b'!$N$1</c:f>
              <c:strCache>
                <c:ptCount val="1"/>
                <c:pt idx="0">
                  <c:v>Japan</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cap="rnd">
                <a:solidFill>
                  <a:schemeClr val="accent6">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9636720667648502E-3"/>
                  <c:y val="-6.6334991708126645E-3"/>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10-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b'!$N$2</c:f>
              <c:numCache>
                <c:formatCode>General</c:formatCode>
                <c:ptCount val="1"/>
                <c:pt idx="0">
                  <c:v>7.58</c:v>
                </c:pt>
              </c:numCache>
            </c:numRef>
          </c:xVal>
          <c:yVal>
            <c:numRef>
              <c:f>'Figure XX b'!$N$3</c:f>
              <c:numCache>
                <c:formatCode>General</c:formatCode>
                <c:ptCount val="1"/>
                <c:pt idx="0">
                  <c:v>7.95</c:v>
                </c:pt>
              </c:numCache>
            </c:numRef>
          </c:yVal>
          <c:smooth val="0"/>
          <c:extLst>
            <c:ext xmlns:c16="http://schemas.microsoft.com/office/drawing/2014/chart" uri="{C3380CC4-5D6E-409C-BE32-E72D297353CC}">
              <c16:uniqueId val="{00000011-131E-4B84-B49B-15A0A44F4908}"/>
            </c:ext>
          </c:extLst>
        </c:ser>
        <c:ser>
          <c:idx val="12"/>
          <c:order val="13"/>
          <c:tx>
            <c:strRef>
              <c:f>'Figure XX b'!$O$1</c:f>
              <c:strCache>
                <c:ptCount val="1"/>
                <c:pt idx="0">
                  <c:v>Korea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w="9525" cap="rnd">
                <a:solidFill>
                  <a:schemeClr val="accent1">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b'!$O$2</c:f>
              <c:numCache>
                <c:formatCode>General</c:formatCode>
                <c:ptCount val="1"/>
                <c:pt idx="0">
                  <c:v>8.6199999999999992</c:v>
                </c:pt>
              </c:numCache>
            </c:numRef>
          </c:xVal>
          <c:yVal>
            <c:numRef>
              <c:f>'Figure XX b'!$O$3</c:f>
              <c:numCache>
                <c:formatCode>General</c:formatCode>
                <c:ptCount val="1"/>
                <c:pt idx="0">
                  <c:v>8.33</c:v>
                </c:pt>
              </c:numCache>
            </c:numRef>
          </c:yVal>
          <c:smooth val="0"/>
          <c:extLst>
            <c:ext xmlns:c16="http://schemas.microsoft.com/office/drawing/2014/chart" uri="{C3380CC4-5D6E-409C-BE32-E72D297353CC}">
              <c16:uniqueId val="{00000012-131E-4B84-B49B-15A0A44F4908}"/>
            </c:ext>
          </c:extLst>
        </c:ser>
        <c:ser>
          <c:idx val="13"/>
          <c:order val="14"/>
          <c:tx>
            <c:strRef>
              <c:f>'Figure XX b'!$P$1</c:f>
              <c:strCache>
                <c:ptCount val="1"/>
                <c:pt idx="0">
                  <c:v>Mexico</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w="9525" cap="rnd">
                <a:solidFill>
                  <a:schemeClr val="accent2">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b'!$P$2</c:f>
              <c:numCache>
                <c:formatCode>General</c:formatCode>
                <c:ptCount val="1"/>
                <c:pt idx="0">
                  <c:v>3.77</c:v>
                </c:pt>
              </c:numCache>
            </c:numRef>
          </c:xVal>
          <c:yVal>
            <c:numRef>
              <c:f>'Figure XX b'!$P$3</c:f>
              <c:numCache>
                <c:formatCode>General</c:formatCode>
                <c:ptCount val="1"/>
                <c:pt idx="0">
                  <c:v>5.66</c:v>
                </c:pt>
              </c:numCache>
            </c:numRef>
          </c:yVal>
          <c:smooth val="0"/>
          <c:extLst>
            <c:ext xmlns:c16="http://schemas.microsoft.com/office/drawing/2014/chart" uri="{C3380CC4-5D6E-409C-BE32-E72D297353CC}">
              <c16:uniqueId val="{00000013-131E-4B84-B49B-15A0A44F4908}"/>
            </c:ext>
          </c:extLst>
        </c:ser>
        <c:ser>
          <c:idx val="14"/>
          <c:order val="15"/>
          <c:tx>
            <c:strRef>
              <c:f>'Figure XX b'!$Q$1</c:f>
              <c:strCache>
                <c:ptCount val="1"/>
                <c:pt idx="0">
                  <c:v>Russia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w="9525" cap="rnd">
                <a:solidFill>
                  <a:schemeClr val="accent3">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b'!$Q$2</c:f>
              <c:numCache>
                <c:formatCode>General</c:formatCode>
                <c:ptCount val="1"/>
                <c:pt idx="0">
                  <c:v>11.8</c:v>
                </c:pt>
              </c:numCache>
            </c:numRef>
          </c:xVal>
          <c:yVal>
            <c:numRef>
              <c:f>'Figure XX b'!$Q$3</c:f>
              <c:numCache>
                <c:formatCode>General</c:formatCode>
                <c:ptCount val="1"/>
                <c:pt idx="0">
                  <c:v>5.42</c:v>
                </c:pt>
              </c:numCache>
            </c:numRef>
          </c:yVal>
          <c:smooth val="0"/>
          <c:extLst>
            <c:ext xmlns:c16="http://schemas.microsoft.com/office/drawing/2014/chart" uri="{C3380CC4-5D6E-409C-BE32-E72D297353CC}">
              <c16:uniqueId val="{00000014-131E-4B84-B49B-15A0A44F4908}"/>
            </c:ext>
          </c:extLst>
        </c:ser>
        <c:ser>
          <c:idx val="15"/>
          <c:order val="16"/>
          <c:tx>
            <c:strRef>
              <c:f>'Figure XX b'!$R$1</c:f>
              <c:strCache>
                <c:ptCount val="1"/>
                <c:pt idx="0">
                  <c:v>South Africa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w="9525" cap="rnd">
                <a:solidFill>
                  <a:schemeClr val="accent4">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b'!$R$2</c:f>
              <c:numCache>
                <c:formatCode>General</c:formatCode>
                <c:ptCount val="1"/>
                <c:pt idx="0">
                  <c:v>8.11</c:v>
                </c:pt>
              </c:numCache>
            </c:numRef>
          </c:xVal>
          <c:yVal>
            <c:numRef>
              <c:f>'Figure XX b'!$R$3</c:f>
              <c:numCache>
                <c:formatCode>General</c:formatCode>
                <c:ptCount val="1"/>
                <c:pt idx="0">
                  <c:v>7.2</c:v>
                </c:pt>
              </c:numCache>
            </c:numRef>
          </c:yVal>
          <c:smooth val="0"/>
          <c:extLst>
            <c:ext xmlns:c16="http://schemas.microsoft.com/office/drawing/2014/chart" uri="{C3380CC4-5D6E-409C-BE32-E72D297353CC}">
              <c16:uniqueId val="{00000015-131E-4B84-B49B-15A0A44F4908}"/>
            </c:ext>
          </c:extLst>
        </c:ser>
        <c:ser>
          <c:idx val="16"/>
          <c:order val="17"/>
          <c:tx>
            <c:strRef>
              <c:f>'Figure XX b'!$S$1</c:f>
              <c:strCache>
                <c:ptCount val="1"/>
                <c:pt idx="0">
                  <c:v>Turkey</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w="9525" cap="rnd">
                <a:solidFill>
                  <a:schemeClr val="accent5">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b'!$S$2</c:f>
              <c:numCache>
                <c:formatCode>General</c:formatCode>
                <c:ptCount val="1"/>
                <c:pt idx="0">
                  <c:v>15.14</c:v>
                </c:pt>
              </c:numCache>
            </c:numRef>
          </c:xVal>
          <c:yVal>
            <c:numRef>
              <c:f>'Figure XX b'!$S$3</c:f>
              <c:numCache>
                <c:formatCode>General</c:formatCode>
                <c:ptCount val="1"/>
                <c:pt idx="0">
                  <c:v>20</c:v>
                </c:pt>
              </c:numCache>
            </c:numRef>
          </c:yVal>
          <c:smooth val="0"/>
          <c:extLst>
            <c:ext xmlns:c16="http://schemas.microsoft.com/office/drawing/2014/chart" uri="{C3380CC4-5D6E-409C-BE32-E72D297353CC}">
              <c16:uniqueId val="{00000016-131E-4B84-B49B-15A0A44F4908}"/>
            </c:ext>
          </c:extLst>
        </c:ser>
        <c:ser>
          <c:idx val="17"/>
          <c:order val="18"/>
          <c:tx>
            <c:strRef>
              <c:f>'Figure XX b'!$T$1</c:f>
              <c:strCache>
                <c:ptCount val="1"/>
                <c:pt idx="0">
                  <c:v>USA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w="9525" cap="rnd">
                <a:solidFill>
                  <a:schemeClr val="accent6">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9636720667648502E-3"/>
                  <c:y val="-3.6484245439469321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17-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b'!$T$2</c:f>
              <c:numCache>
                <c:formatCode>General</c:formatCode>
                <c:ptCount val="1"/>
                <c:pt idx="0">
                  <c:v>8.3800000000000008</c:v>
                </c:pt>
              </c:numCache>
            </c:numRef>
          </c:xVal>
          <c:yVal>
            <c:numRef>
              <c:f>'Figure XX b'!$T$3</c:f>
              <c:numCache>
                <c:formatCode>General</c:formatCode>
                <c:ptCount val="1"/>
                <c:pt idx="0">
                  <c:v>10.220000000000001</c:v>
                </c:pt>
              </c:numCache>
            </c:numRef>
          </c:yVal>
          <c:smooth val="0"/>
          <c:extLst>
            <c:ext xmlns:c16="http://schemas.microsoft.com/office/drawing/2014/chart" uri="{C3380CC4-5D6E-409C-BE32-E72D297353CC}">
              <c16:uniqueId val="{00000018-131E-4B84-B49B-15A0A44F4908}"/>
            </c:ext>
          </c:extLst>
        </c:ser>
        <c:ser>
          <c:idx val="18"/>
          <c:order val="19"/>
          <c:tx>
            <c:strRef>
              <c:f>'Figure XX b'!$U$1</c:f>
              <c:strCache>
                <c:ptCount val="1"/>
                <c:pt idx="0">
                  <c:v>Latin America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w="9525" cap="rnd">
                <a:solidFill>
                  <a:schemeClr val="accent1">
                    <a:lumMod val="8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0.12371134020618559"/>
                  <c:y val="-3.6484245439469321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19-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b'!$U$2</c:f>
              <c:numCache>
                <c:formatCode>General</c:formatCode>
                <c:ptCount val="1"/>
                <c:pt idx="0">
                  <c:v>-1.74</c:v>
                </c:pt>
              </c:numCache>
            </c:numRef>
          </c:xVal>
          <c:yVal>
            <c:numRef>
              <c:f>'Figure XX b'!$U$3</c:f>
              <c:numCache>
                <c:formatCode>General</c:formatCode>
                <c:ptCount val="1"/>
                <c:pt idx="0">
                  <c:v>-0.62</c:v>
                </c:pt>
              </c:numCache>
            </c:numRef>
          </c:yVal>
          <c:smooth val="0"/>
          <c:extLst>
            <c:ext xmlns:c16="http://schemas.microsoft.com/office/drawing/2014/chart" uri="{C3380CC4-5D6E-409C-BE32-E72D297353CC}">
              <c16:uniqueId val="{0000001A-131E-4B84-B49B-15A0A44F4908}"/>
            </c:ext>
          </c:extLst>
        </c:ser>
        <c:ser>
          <c:idx val="19"/>
          <c:order val="20"/>
          <c:tx>
            <c:strRef>
              <c:f>'Figure XX b'!$V$1</c:f>
              <c:strCache>
                <c:ptCount val="1"/>
                <c:pt idx="0">
                  <c:v>South East Asia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w="9525" cap="rnd">
                <a:solidFill>
                  <a:schemeClr val="accent2">
                    <a:lumMod val="8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0"/>
                  <c:y val="2.6533996683250415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1B-131E-4B84-B49B-15A0A44F49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XX b'!$V$2</c:f>
              <c:numCache>
                <c:formatCode>General</c:formatCode>
                <c:ptCount val="1"/>
                <c:pt idx="0">
                  <c:v>-2.84</c:v>
                </c:pt>
              </c:numCache>
            </c:numRef>
          </c:xVal>
          <c:yVal>
            <c:numRef>
              <c:f>'Figure XX b'!$V$3</c:f>
              <c:numCache>
                <c:formatCode>General</c:formatCode>
                <c:ptCount val="1"/>
                <c:pt idx="0">
                  <c:v>-1.68</c:v>
                </c:pt>
              </c:numCache>
            </c:numRef>
          </c:yVal>
          <c:smooth val="0"/>
          <c:extLst>
            <c:ext xmlns:c16="http://schemas.microsoft.com/office/drawing/2014/chart" uri="{C3380CC4-5D6E-409C-BE32-E72D297353CC}">
              <c16:uniqueId val="{0000001C-131E-4B84-B49B-15A0A44F4908}"/>
            </c:ext>
          </c:extLst>
        </c:ser>
        <c:ser>
          <c:idx val="20"/>
          <c:order val="21"/>
          <c:tx>
            <c:strRef>
              <c:f>'Figure XX b'!$W$1</c:f>
              <c:strCache>
                <c:ptCount val="1"/>
                <c:pt idx="0">
                  <c:v>Rest of World</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w="9525" cap="rnd">
                <a:solidFill>
                  <a:schemeClr val="accent3">
                    <a:lumMod val="8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XX b'!$W$2</c:f>
              <c:numCache>
                <c:formatCode>General</c:formatCode>
                <c:ptCount val="1"/>
                <c:pt idx="0">
                  <c:v>-1.58</c:v>
                </c:pt>
              </c:numCache>
            </c:numRef>
          </c:xVal>
          <c:yVal>
            <c:numRef>
              <c:f>'Figure XX b'!$W$3</c:f>
              <c:numCache>
                <c:formatCode>General</c:formatCode>
                <c:ptCount val="1"/>
                <c:pt idx="0">
                  <c:v>-1.08</c:v>
                </c:pt>
              </c:numCache>
            </c:numRef>
          </c:yVal>
          <c:smooth val="0"/>
          <c:extLst>
            <c:ext xmlns:c16="http://schemas.microsoft.com/office/drawing/2014/chart" uri="{C3380CC4-5D6E-409C-BE32-E72D297353CC}">
              <c16:uniqueId val="{0000001D-131E-4B84-B49B-15A0A44F4908}"/>
            </c:ext>
          </c:extLst>
        </c:ser>
        <c:ser>
          <c:idx val="22"/>
          <c:order val="22"/>
          <c:tx>
            <c:v>equal line</c:v>
          </c:tx>
          <c:spPr>
            <a:ln w="12700" cap="rnd">
              <a:solidFill>
                <a:schemeClr val="tx1"/>
              </a:solidFill>
              <a:round/>
            </a:ln>
            <a:effectLst>
              <a:outerShdw blurRad="57150" dist="19050" dir="5400000" algn="ctr" rotWithShape="0">
                <a:srgbClr val="000000">
                  <a:alpha val="63000"/>
                </a:srgbClr>
              </a:outerShdw>
            </a:effectLst>
          </c:spPr>
          <c:marker>
            <c:symbol val="none"/>
          </c:marker>
          <c:dPt>
            <c:idx val="1"/>
            <c:marker>
              <c:symbol val="none"/>
            </c:marker>
            <c:bubble3D val="0"/>
            <c:spPr>
              <a:ln w="12700" cap="rnd">
                <a:solidFill>
                  <a:schemeClr val="tx1">
                    <a:lumMod val="50000"/>
                    <a:lumOff val="50000"/>
                  </a:schemeClr>
                </a:solidFill>
                <a:round/>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F-131E-4B84-B49B-15A0A44F4908}"/>
              </c:ext>
            </c:extLst>
          </c:dPt>
          <c:xVal>
            <c:numRef>
              <c:f>'Figure XX b'!$N$11:$N$12</c:f>
              <c:numCache>
                <c:formatCode>General</c:formatCode>
                <c:ptCount val="2"/>
                <c:pt idx="0">
                  <c:v>-4</c:v>
                </c:pt>
                <c:pt idx="1">
                  <c:v>20</c:v>
                </c:pt>
              </c:numCache>
            </c:numRef>
          </c:xVal>
          <c:yVal>
            <c:numRef>
              <c:f>'Figure XX b'!$O$11:$O$12</c:f>
              <c:numCache>
                <c:formatCode>General</c:formatCode>
                <c:ptCount val="2"/>
                <c:pt idx="0">
                  <c:v>-4</c:v>
                </c:pt>
                <c:pt idx="1">
                  <c:v>20</c:v>
                </c:pt>
              </c:numCache>
            </c:numRef>
          </c:yVal>
          <c:smooth val="0"/>
          <c:extLst>
            <c:ext xmlns:c16="http://schemas.microsoft.com/office/drawing/2014/chart" uri="{C3380CC4-5D6E-409C-BE32-E72D297353CC}">
              <c16:uniqueId val="{00000020-131E-4B84-B49B-15A0A44F4908}"/>
            </c:ext>
          </c:extLst>
        </c:ser>
        <c:dLbls>
          <c:showLegendKey val="0"/>
          <c:showVal val="0"/>
          <c:showCatName val="0"/>
          <c:showSerName val="0"/>
          <c:showPercent val="0"/>
          <c:showBubbleSize val="0"/>
        </c:dLbls>
        <c:axId val="461974248"/>
        <c:axId val="461974904"/>
      </c:scatterChart>
      <c:valAx>
        <c:axId val="461974248"/>
        <c:scaling>
          <c:orientation val="minMax"/>
          <c:max val="20"/>
          <c:min val="-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Export demand change (in %)</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974904"/>
        <c:crosses val="autoZero"/>
        <c:crossBetween val="midCat"/>
        <c:majorUnit val="2"/>
      </c:valAx>
      <c:valAx>
        <c:axId val="461974904"/>
        <c:scaling>
          <c:orientation val="minMax"/>
          <c:max val="20"/>
          <c:min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Import demand Change (in %)</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974248"/>
        <c:crosses val="autoZero"/>
        <c:crossBetween val="midCat"/>
        <c:majorUnit val="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'exports (2)'!$B$71</c:f>
              <c:strCache>
                <c:ptCount val="1"/>
                <c:pt idx="0">
                  <c:v>Intermediate Exports</c:v>
                </c:pt>
              </c:strCache>
            </c:strRef>
          </c:tx>
          <c:spPr>
            <a:solidFill>
              <a:schemeClr val="accent1"/>
            </a:solidFill>
            <a:ln>
              <a:noFill/>
            </a:ln>
            <a:effectLst/>
          </c:spPr>
          <c:invertIfNegative val="0"/>
          <c:cat>
            <c:strRef>
              <c:f>'exports (2)'!$A$72:$A$90</c:f>
              <c:strCache>
                <c:ptCount val="19"/>
                <c:pt idx="0">
                  <c:v>Argentina</c:v>
                </c:pt>
                <c:pt idx="1">
                  <c:v>Australia and New Zealand</c:v>
                </c:pt>
                <c:pt idx="2">
                  <c:v>Brazil</c:v>
                </c:pt>
                <c:pt idx="3">
                  <c:v>Canada</c:v>
                </c:pt>
                <c:pt idx="4">
                  <c:v>China</c:v>
                </c:pt>
                <c:pt idx="5">
                  <c:v>France</c:v>
                </c:pt>
                <c:pt idx="6">
                  <c:v>Germany</c:v>
                </c:pt>
                <c:pt idx="7">
                  <c:v>United Kingdom</c:v>
                </c:pt>
                <c:pt idx="8">
                  <c:v>Italy</c:v>
                </c:pt>
                <c:pt idx="9">
                  <c:v>European Union (24)</c:v>
                </c:pt>
                <c:pt idx="10">
                  <c:v>Indonesia</c:v>
                </c:pt>
                <c:pt idx="11">
                  <c:v>India</c:v>
                </c:pt>
                <c:pt idx="12">
                  <c:v>Japan</c:v>
                </c:pt>
                <c:pt idx="13">
                  <c:v>Republic of Korea</c:v>
                </c:pt>
                <c:pt idx="14">
                  <c:v>Mexico</c:v>
                </c:pt>
                <c:pt idx="15">
                  <c:v>Russian Federation</c:v>
                </c:pt>
                <c:pt idx="16">
                  <c:v>South Africa</c:v>
                </c:pt>
                <c:pt idx="17">
                  <c:v>Turkey</c:v>
                </c:pt>
                <c:pt idx="18">
                  <c:v>United States</c:v>
                </c:pt>
              </c:strCache>
            </c:strRef>
          </c:cat>
          <c:val>
            <c:numRef>
              <c:f>'exports (2)'!$B$72:$B$90</c:f>
              <c:numCache>
                <c:formatCode>0.00%</c:formatCode>
                <c:ptCount val="19"/>
                <c:pt idx="0">
                  <c:v>9.7900000000000001E-2</c:v>
                </c:pt>
                <c:pt idx="1">
                  <c:v>3.9800000000000002E-2</c:v>
                </c:pt>
                <c:pt idx="2">
                  <c:v>8.5500000000000007E-2</c:v>
                </c:pt>
                <c:pt idx="3">
                  <c:v>7.7700000000000005E-2</c:v>
                </c:pt>
                <c:pt idx="4">
                  <c:v>6.88E-2</c:v>
                </c:pt>
                <c:pt idx="5">
                  <c:v>1.24E-2</c:v>
                </c:pt>
                <c:pt idx="6">
                  <c:v>1.67E-2</c:v>
                </c:pt>
                <c:pt idx="7">
                  <c:v>1.9800000000000002E-2</c:v>
                </c:pt>
                <c:pt idx="8">
                  <c:v>1.5699999999999999E-2</c:v>
                </c:pt>
                <c:pt idx="9">
                  <c:v>7.1000000000000004E-3</c:v>
                </c:pt>
                <c:pt idx="10">
                  <c:v>4.4400000000000002E-2</c:v>
                </c:pt>
                <c:pt idx="11">
                  <c:v>6.1400000000000003E-2</c:v>
                </c:pt>
                <c:pt idx="12">
                  <c:v>8.3699999999999997E-2</c:v>
                </c:pt>
                <c:pt idx="13">
                  <c:v>9.0800000000000006E-2</c:v>
                </c:pt>
                <c:pt idx="14">
                  <c:v>4.6300000000000001E-2</c:v>
                </c:pt>
                <c:pt idx="15">
                  <c:v>6.4100000000000004E-2</c:v>
                </c:pt>
                <c:pt idx="16">
                  <c:v>5.9299999999999999E-2</c:v>
                </c:pt>
                <c:pt idx="17">
                  <c:v>0.21790000000000001</c:v>
                </c:pt>
                <c:pt idx="18">
                  <c:v>0.1096</c:v>
                </c:pt>
              </c:numCache>
            </c:numRef>
          </c:val>
          <c:extLst>
            <c:ext xmlns:c16="http://schemas.microsoft.com/office/drawing/2014/chart" uri="{C3380CC4-5D6E-409C-BE32-E72D297353CC}">
              <c16:uniqueId val="{00000000-D550-4818-A5A6-B6AF3FE908BB}"/>
            </c:ext>
          </c:extLst>
        </c:ser>
        <c:ser>
          <c:idx val="1"/>
          <c:order val="1"/>
          <c:tx>
            <c:strRef>
              <c:f>'exports (2)'!$C$71</c:f>
              <c:strCache>
                <c:ptCount val="1"/>
                <c:pt idx="0">
                  <c:v>Final Goods Exports</c:v>
                </c:pt>
              </c:strCache>
            </c:strRef>
          </c:tx>
          <c:spPr>
            <a:solidFill>
              <a:schemeClr val="accent2"/>
            </a:solidFill>
            <a:ln>
              <a:noFill/>
            </a:ln>
            <a:effectLst/>
          </c:spPr>
          <c:invertIfNegative val="0"/>
          <c:cat>
            <c:strRef>
              <c:f>'exports (2)'!$A$72:$A$90</c:f>
              <c:strCache>
                <c:ptCount val="19"/>
                <c:pt idx="0">
                  <c:v>Argentina</c:v>
                </c:pt>
                <c:pt idx="1">
                  <c:v>Australia and New Zealand</c:v>
                </c:pt>
                <c:pt idx="2">
                  <c:v>Brazil</c:v>
                </c:pt>
                <c:pt idx="3">
                  <c:v>Canada</c:v>
                </c:pt>
                <c:pt idx="4">
                  <c:v>China</c:v>
                </c:pt>
                <c:pt idx="5">
                  <c:v>France</c:v>
                </c:pt>
                <c:pt idx="6">
                  <c:v>Germany</c:v>
                </c:pt>
                <c:pt idx="7">
                  <c:v>United Kingdom</c:v>
                </c:pt>
                <c:pt idx="8">
                  <c:v>Italy</c:v>
                </c:pt>
                <c:pt idx="9">
                  <c:v>European Union (24)</c:v>
                </c:pt>
                <c:pt idx="10">
                  <c:v>Indonesia</c:v>
                </c:pt>
                <c:pt idx="11">
                  <c:v>India</c:v>
                </c:pt>
                <c:pt idx="12">
                  <c:v>Japan</c:v>
                </c:pt>
                <c:pt idx="13">
                  <c:v>Republic of Korea</c:v>
                </c:pt>
                <c:pt idx="14">
                  <c:v>Mexico</c:v>
                </c:pt>
                <c:pt idx="15">
                  <c:v>Russian Federation</c:v>
                </c:pt>
                <c:pt idx="16">
                  <c:v>South Africa</c:v>
                </c:pt>
                <c:pt idx="17">
                  <c:v>Turkey</c:v>
                </c:pt>
                <c:pt idx="18">
                  <c:v>United States</c:v>
                </c:pt>
              </c:strCache>
            </c:strRef>
          </c:cat>
          <c:val>
            <c:numRef>
              <c:f>'exports (2)'!$C$72:$C$90</c:f>
              <c:numCache>
                <c:formatCode>0.00%</c:formatCode>
                <c:ptCount val="19"/>
                <c:pt idx="0">
                  <c:v>9.1700000000000004E-2</c:v>
                </c:pt>
                <c:pt idx="1">
                  <c:v>0.23039999999999999</c:v>
                </c:pt>
                <c:pt idx="2">
                  <c:v>0.1983</c:v>
                </c:pt>
                <c:pt idx="3">
                  <c:v>0.17</c:v>
                </c:pt>
                <c:pt idx="4">
                  <c:v>0.17030000000000001</c:v>
                </c:pt>
                <c:pt idx="5">
                  <c:v>3.7199999999999997E-2</c:v>
                </c:pt>
                <c:pt idx="6">
                  <c:v>3.6299999999999999E-2</c:v>
                </c:pt>
                <c:pt idx="7">
                  <c:v>2.8299999999999999E-2</c:v>
                </c:pt>
                <c:pt idx="8">
                  <c:v>3.7100000000000001E-2</c:v>
                </c:pt>
                <c:pt idx="9">
                  <c:v>2.5100000000000001E-2</c:v>
                </c:pt>
                <c:pt idx="10">
                  <c:v>0.17369999999999999</c:v>
                </c:pt>
                <c:pt idx="11">
                  <c:v>0.10050000000000001</c:v>
                </c:pt>
                <c:pt idx="12">
                  <c:v>9.8699999999999996E-2</c:v>
                </c:pt>
                <c:pt idx="13">
                  <c:v>8.2299999999999998E-2</c:v>
                </c:pt>
                <c:pt idx="14">
                  <c:v>0.1371</c:v>
                </c:pt>
                <c:pt idx="15">
                  <c:v>9.4600000000000004E-2</c:v>
                </c:pt>
                <c:pt idx="16">
                  <c:v>0.1095</c:v>
                </c:pt>
                <c:pt idx="17">
                  <c:v>6.9900000000000004E-2</c:v>
                </c:pt>
                <c:pt idx="18">
                  <c:v>0.109</c:v>
                </c:pt>
              </c:numCache>
            </c:numRef>
          </c:val>
          <c:extLst>
            <c:ext xmlns:c16="http://schemas.microsoft.com/office/drawing/2014/chart" uri="{C3380CC4-5D6E-409C-BE32-E72D297353CC}">
              <c16:uniqueId val="{00000001-D550-4818-A5A6-B6AF3FE908BB}"/>
            </c:ext>
          </c:extLst>
        </c:ser>
        <c:dLbls>
          <c:showLegendKey val="0"/>
          <c:showVal val="0"/>
          <c:showCatName val="0"/>
          <c:showSerName val="0"/>
          <c:showPercent val="0"/>
          <c:showBubbleSize val="0"/>
        </c:dLbls>
        <c:gapWidth val="219"/>
        <c:overlap val="-27"/>
        <c:axId val="487419600"/>
        <c:axId val="487423536"/>
      </c:barChart>
      <c:catAx>
        <c:axId val="48741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7423536"/>
        <c:crosses val="autoZero"/>
        <c:auto val="1"/>
        <c:lblAlgn val="ctr"/>
        <c:lblOffset val="100"/>
        <c:noMultiLvlLbl val="0"/>
      </c:catAx>
      <c:valAx>
        <c:axId val="487423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7419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Deamnd</c:v>
          </c:tx>
          <c:spPr>
            <a:solidFill>
              <a:schemeClr val="accent1"/>
            </a:solidFill>
            <a:ln>
              <a:noFill/>
            </a:ln>
            <a:effectLst/>
          </c:spPr>
          <c:invertIfNegative val="0"/>
          <c:cat>
            <c:strRef>
              <c:f>sector!$A$30:$A$46</c:f>
              <c:strCache>
                <c:ptCount val="16"/>
                <c:pt idx="0">
                  <c:v>Cereal grains</c:v>
                </c:pt>
                <c:pt idx="1">
                  <c:v>Other agriculture</c:v>
                </c:pt>
                <c:pt idx="2">
                  <c:v>Oil seeds</c:v>
                </c:pt>
                <c:pt idx="3">
                  <c:v>Dairy</c:v>
                </c:pt>
                <c:pt idx="4">
                  <c:v>Meats</c:v>
                </c:pt>
                <c:pt idx="5">
                  <c:v>Food and beverage</c:v>
                </c:pt>
                <c:pt idx="6">
                  <c:v>Textile and wearing apparel</c:v>
                </c:pt>
                <c:pt idx="7">
                  <c:v>Mineral products</c:v>
                </c:pt>
                <c:pt idx="8">
                  <c:v>Ferrous metals</c:v>
                </c:pt>
                <c:pt idx="9">
                  <c:v>Nonferrous metals</c:v>
                </c:pt>
                <c:pt idx="10">
                  <c:v>Metal products</c:v>
                </c:pt>
                <c:pt idx="11">
                  <c:v>Motor vehicles and parts</c:v>
                </c:pt>
                <c:pt idx="12">
                  <c:v>Transport equipment</c:v>
                </c:pt>
                <c:pt idx="13">
                  <c:v>Electronic equipment</c:v>
                </c:pt>
                <c:pt idx="14">
                  <c:v>Machinery and equipment</c:v>
                </c:pt>
                <c:pt idx="15">
                  <c:v>Other manufacturing</c:v>
                </c:pt>
              </c:strCache>
              <c:extLst/>
            </c:strRef>
          </c:cat>
          <c:val>
            <c:numRef>
              <c:f>sector!$E$30:$E$46</c:f>
              <c:numCache>
                <c:formatCode>0.00</c:formatCode>
                <c:ptCount val="16"/>
                <c:pt idx="0">
                  <c:v>0.694554911562272</c:v>
                </c:pt>
                <c:pt idx="1">
                  <c:v>0.98297966863852071</c:v>
                </c:pt>
                <c:pt idx="2">
                  <c:v>1.0341004695327365</c:v>
                </c:pt>
                <c:pt idx="3">
                  <c:v>1.1390408535297931</c:v>
                </c:pt>
                <c:pt idx="4">
                  <c:v>1.9873868211668084</c:v>
                </c:pt>
                <c:pt idx="5">
                  <c:v>1.5907884561949313</c:v>
                </c:pt>
                <c:pt idx="6">
                  <c:v>2.9354055422703618</c:v>
                </c:pt>
                <c:pt idx="7">
                  <c:v>0.82486102974525677</c:v>
                </c:pt>
                <c:pt idx="8">
                  <c:v>0.4476338695403197</c:v>
                </c:pt>
                <c:pt idx="9">
                  <c:v>-0.11996822742772795</c:v>
                </c:pt>
                <c:pt idx="10">
                  <c:v>0.78951372096423522</c:v>
                </c:pt>
                <c:pt idx="11">
                  <c:v>1.6437951929073915</c:v>
                </c:pt>
                <c:pt idx="12">
                  <c:v>1.2007706752366829</c:v>
                </c:pt>
                <c:pt idx="13">
                  <c:v>0.92885912192370257</c:v>
                </c:pt>
                <c:pt idx="14">
                  <c:v>0.87735321548002987</c:v>
                </c:pt>
                <c:pt idx="15">
                  <c:v>1.0724337880032535</c:v>
                </c:pt>
              </c:numCache>
              <c:extLst/>
            </c:numRef>
          </c:val>
          <c:extLst>
            <c:ext xmlns:c16="http://schemas.microsoft.com/office/drawing/2014/chart" uri="{C3380CC4-5D6E-409C-BE32-E72D297353CC}">
              <c16:uniqueId val="{00000000-4A50-46EB-998D-84BFD4840D74}"/>
            </c:ext>
          </c:extLst>
        </c:ser>
        <c:ser>
          <c:idx val="1"/>
          <c:order val="1"/>
          <c:tx>
            <c:v>Price</c:v>
          </c:tx>
          <c:spPr>
            <a:solidFill>
              <a:schemeClr val="accent2"/>
            </a:solidFill>
            <a:ln>
              <a:noFill/>
            </a:ln>
            <a:effectLst/>
          </c:spPr>
          <c:invertIfNegative val="0"/>
          <c:cat>
            <c:strLit>
              <c:ptCount val="16"/>
              <c:pt idx="0">
                <c:v>Cereal grains</c:v>
              </c:pt>
              <c:pt idx="1">
                <c:v>Other agriculture</c:v>
              </c:pt>
              <c:pt idx="2">
                <c:v>Oil seeds</c:v>
              </c:pt>
              <c:pt idx="3">
                <c:v>Dairy</c:v>
              </c:pt>
              <c:pt idx="4">
                <c:v>Meats</c:v>
              </c:pt>
              <c:pt idx="5">
                <c:v>Food and beverage</c:v>
              </c:pt>
              <c:pt idx="6">
                <c:v>Textile and wearing apparel</c:v>
              </c:pt>
              <c:pt idx="7">
                <c:v>Mineral products</c:v>
              </c:pt>
              <c:pt idx="8">
                <c:v>Ferrous metals</c:v>
              </c:pt>
              <c:pt idx="9">
                <c:v>Nonferrous metals</c:v>
              </c:pt>
              <c:pt idx="10">
                <c:v>Metal products</c:v>
              </c:pt>
              <c:pt idx="11">
                <c:v>Motor vehicles and parts</c:v>
              </c:pt>
              <c:pt idx="12">
                <c:v>Transport equipment</c:v>
              </c:pt>
              <c:pt idx="13">
                <c:v>Electronic equipment</c:v>
              </c:pt>
              <c:pt idx="14">
                <c:v>Machinery and equipment</c:v>
              </c:pt>
              <c:pt idx="15">
                <c:v>Other manufacturing</c:v>
              </c:pt>
              <c:extLst>
                <c:ext xmlns:c15="http://schemas.microsoft.com/office/drawing/2012/chart" uri="{02D57815-91ED-43cb-92C2-25804820EDAC}">
                  <c15:autoCat val="1"/>
                </c:ext>
              </c:extLst>
            </c:strLit>
          </c:cat>
          <c:val>
            <c:numRef>
              <c:f>sector!$F$30:$F$46</c:f>
              <c:numCache>
                <c:formatCode>General</c:formatCode>
                <c:ptCount val="16"/>
                <c:pt idx="0">
                  <c:v>7.0000000000000007E-2</c:v>
                </c:pt>
                <c:pt idx="1">
                  <c:v>2.7E-2</c:v>
                </c:pt>
                <c:pt idx="2">
                  <c:v>0.87</c:v>
                </c:pt>
                <c:pt idx="3">
                  <c:v>-0.7</c:v>
                </c:pt>
                <c:pt idx="4">
                  <c:v>-2.2599999999999998</c:v>
                </c:pt>
                <c:pt idx="5">
                  <c:v>-1.23</c:v>
                </c:pt>
                <c:pt idx="6">
                  <c:v>-4.3150000000000004</c:v>
                </c:pt>
                <c:pt idx="7">
                  <c:v>-0.433</c:v>
                </c:pt>
                <c:pt idx="8">
                  <c:v>-0.115</c:v>
                </c:pt>
                <c:pt idx="9">
                  <c:v>-4.8000000000000001E-2</c:v>
                </c:pt>
                <c:pt idx="10">
                  <c:v>-0.81499999999999995</c:v>
                </c:pt>
                <c:pt idx="11">
                  <c:v>-3.35</c:v>
                </c:pt>
                <c:pt idx="12">
                  <c:v>-1.7</c:v>
                </c:pt>
                <c:pt idx="13">
                  <c:v>-0.69</c:v>
                </c:pt>
                <c:pt idx="14">
                  <c:v>-1.23</c:v>
                </c:pt>
                <c:pt idx="15">
                  <c:v>-1.51</c:v>
                </c:pt>
              </c:numCache>
              <c:extLst/>
            </c:numRef>
          </c:val>
          <c:extLst>
            <c:ext xmlns:c16="http://schemas.microsoft.com/office/drawing/2014/chart" uri="{C3380CC4-5D6E-409C-BE32-E72D297353CC}">
              <c16:uniqueId val="{00000001-4A50-46EB-998D-84BFD4840D74}"/>
            </c:ext>
          </c:extLst>
        </c:ser>
        <c:dLbls>
          <c:showLegendKey val="0"/>
          <c:showVal val="0"/>
          <c:showCatName val="0"/>
          <c:showSerName val="0"/>
          <c:showPercent val="0"/>
          <c:showBubbleSize val="0"/>
        </c:dLbls>
        <c:gapWidth val="75"/>
        <c:overlap val="-25"/>
        <c:axId val="704751632"/>
        <c:axId val="704749664"/>
      </c:barChart>
      <c:catAx>
        <c:axId val="704751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04749664"/>
        <c:crosses val="autoZero"/>
        <c:auto val="1"/>
        <c:lblAlgn val="ctr"/>
        <c:lblOffset val="100"/>
        <c:noMultiLvlLbl val="0"/>
      </c:catAx>
      <c:valAx>
        <c:axId val="704749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7047516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1"/>
          <c:order val="0"/>
          <c:tx>
            <c:strRef>
              <c:f>'Figure 6'!$B$64</c:f>
              <c:strCache>
                <c:ptCount val="1"/>
                <c:pt idx="0">
                  <c:v>Argentina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w="9525" cap="rnd">
                <a:solidFill>
                  <a:schemeClr val="accent4">
                    <a:lumMod val="8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6'!$B$65</c:f>
              <c:numCache>
                <c:formatCode>_(* #,##0.00_);_(* \(#,##0.00\);_(* "-"??_);_(@_)</c:formatCode>
                <c:ptCount val="1"/>
                <c:pt idx="0">
                  <c:v>2.87</c:v>
                </c:pt>
              </c:numCache>
            </c:numRef>
          </c:xVal>
          <c:yVal>
            <c:numRef>
              <c:f>'Figure 6'!$B$66</c:f>
              <c:numCache>
                <c:formatCode>General</c:formatCode>
                <c:ptCount val="1"/>
                <c:pt idx="0">
                  <c:v>1.8</c:v>
                </c:pt>
              </c:numCache>
            </c:numRef>
          </c:yVal>
          <c:smooth val="0"/>
          <c:extLst>
            <c:ext xmlns:c16="http://schemas.microsoft.com/office/drawing/2014/chart" uri="{C3380CC4-5D6E-409C-BE32-E72D297353CC}">
              <c16:uniqueId val="{00000000-71C7-4328-A01E-39B791491A3F}"/>
            </c:ext>
          </c:extLst>
        </c:ser>
        <c:ser>
          <c:idx val="0"/>
          <c:order val="1"/>
          <c:tx>
            <c:strRef>
              <c:f>'Figure 6'!$C$64</c:f>
              <c:strCache>
                <c:ptCount val="1"/>
                <c:pt idx="0">
                  <c:v>Aus/NZ</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6'!$C$65</c:f>
              <c:numCache>
                <c:formatCode>_(* #,##0.00_);_(* \(#,##0.00\);_(* "-"??_);_(@_)</c:formatCode>
                <c:ptCount val="1"/>
                <c:pt idx="0">
                  <c:v>2.4300000000000002</c:v>
                </c:pt>
              </c:numCache>
            </c:numRef>
          </c:xVal>
          <c:yVal>
            <c:numRef>
              <c:f>'Figure 6'!$C$66</c:f>
              <c:numCache>
                <c:formatCode>General</c:formatCode>
                <c:ptCount val="1"/>
                <c:pt idx="0">
                  <c:v>1.1599999999999999</c:v>
                </c:pt>
              </c:numCache>
            </c:numRef>
          </c:yVal>
          <c:smooth val="0"/>
          <c:extLst>
            <c:ext xmlns:c16="http://schemas.microsoft.com/office/drawing/2014/chart" uri="{C3380CC4-5D6E-409C-BE32-E72D297353CC}">
              <c16:uniqueId val="{00000001-71C7-4328-A01E-39B791491A3F}"/>
            </c:ext>
          </c:extLst>
        </c:ser>
        <c:ser>
          <c:idx val="1"/>
          <c:order val="2"/>
          <c:tx>
            <c:strRef>
              <c:f>'Figure 6'!$D$64</c:f>
              <c:strCache>
                <c:ptCount val="1"/>
                <c:pt idx="0">
                  <c:v>Brazil</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6'!$D$65</c:f>
              <c:numCache>
                <c:formatCode>_(* #,##0.00_);_(* \(#,##0.00\);_(* "-"??_);_(@_)</c:formatCode>
                <c:ptCount val="1"/>
                <c:pt idx="0">
                  <c:v>1.29</c:v>
                </c:pt>
              </c:numCache>
            </c:numRef>
          </c:xVal>
          <c:yVal>
            <c:numRef>
              <c:f>'Figure 6'!$D$66</c:f>
              <c:numCache>
                <c:formatCode>General</c:formatCode>
                <c:ptCount val="1"/>
                <c:pt idx="0">
                  <c:v>0.71</c:v>
                </c:pt>
              </c:numCache>
            </c:numRef>
          </c:yVal>
          <c:smooth val="0"/>
          <c:extLst>
            <c:ext xmlns:c16="http://schemas.microsoft.com/office/drawing/2014/chart" uri="{C3380CC4-5D6E-409C-BE32-E72D297353CC}">
              <c16:uniqueId val="{00000002-71C7-4328-A01E-39B791491A3F}"/>
            </c:ext>
          </c:extLst>
        </c:ser>
        <c:ser>
          <c:idx val="2"/>
          <c:order val="3"/>
          <c:tx>
            <c:strRef>
              <c:f>'Figure 6'!$E$64</c:f>
              <c:strCache>
                <c:ptCount val="1"/>
                <c:pt idx="0">
                  <c:v>Canada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6'!$E$65</c:f>
              <c:numCache>
                <c:formatCode>_(* #,##0.00_);_(* \(#,##0.00\);_(* "-"??_);_(@_)</c:formatCode>
                <c:ptCount val="1"/>
                <c:pt idx="0">
                  <c:v>3.92</c:v>
                </c:pt>
              </c:numCache>
            </c:numRef>
          </c:xVal>
          <c:yVal>
            <c:numRef>
              <c:f>'Figure 6'!$E$66</c:f>
              <c:numCache>
                <c:formatCode>General</c:formatCode>
                <c:ptCount val="1"/>
                <c:pt idx="0">
                  <c:v>2.2000000000000002</c:v>
                </c:pt>
              </c:numCache>
            </c:numRef>
          </c:yVal>
          <c:smooth val="0"/>
          <c:extLst>
            <c:ext xmlns:c16="http://schemas.microsoft.com/office/drawing/2014/chart" uri="{C3380CC4-5D6E-409C-BE32-E72D297353CC}">
              <c16:uniqueId val="{00000003-71C7-4328-A01E-39B791491A3F}"/>
            </c:ext>
          </c:extLst>
        </c:ser>
        <c:ser>
          <c:idx val="3"/>
          <c:order val="4"/>
          <c:tx>
            <c:strRef>
              <c:f>'Figure 6'!$F$64</c:f>
              <c:strCache>
                <c:ptCount val="1"/>
                <c:pt idx="0">
                  <c:v>China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6'!$F$65</c:f>
              <c:numCache>
                <c:formatCode>_(* #,##0.00_);_(* \(#,##0.00\);_(* "-"??_);_(@_)</c:formatCode>
                <c:ptCount val="1"/>
                <c:pt idx="0">
                  <c:v>1.7</c:v>
                </c:pt>
              </c:numCache>
            </c:numRef>
          </c:xVal>
          <c:yVal>
            <c:numRef>
              <c:f>'Figure 6'!$F$66</c:f>
              <c:numCache>
                <c:formatCode>General</c:formatCode>
                <c:ptCount val="1"/>
                <c:pt idx="0">
                  <c:v>1.32</c:v>
                </c:pt>
              </c:numCache>
            </c:numRef>
          </c:yVal>
          <c:smooth val="0"/>
          <c:extLst>
            <c:ext xmlns:c16="http://schemas.microsoft.com/office/drawing/2014/chart" uri="{C3380CC4-5D6E-409C-BE32-E72D297353CC}">
              <c16:uniqueId val="{00000004-71C7-4328-A01E-39B791491A3F}"/>
            </c:ext>
          </c:extLst>
        </c:ser>
        <c:ser>
          <c:idx val="4"/>
          <c:order val="5"/>
          <c:tx>
            <c:strRef>
              <c:f>'Figure 6'!$G$64</c:f>
              <c:strCache>
                <c:ptCount val="1"/>
                <c:pt idx="0">
                  <c:v>France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6.6764850270004922E-2"/>
                  <c:y val="-3.316749585406302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5-71C7-4328-A01E-39B791491A3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6'!$G$65</c:f>
              <c:numCache>
                <c:formatCode>_(* #,##0.00_);_(* \(#,##0.00\);_(* "-"??_);_(@_)</c:formatCode>
                <c:ptCount val="1"/>
                <c:pt idx="0">
                  <c:v>1.33</c:v>
                </c:pt>
              </c:numCache>
            </c:numRef>
          </c:xVal>
          <c:yVal>
            <c:numRef>
              <c:f>'Figure 6'!$G$66</c:f>
              <c:numCache>
                <c:formatCode>General</c:formatCode>
                <c:ptCount val="1"/>
                <c:pt idx="0">
                  <c:v>0.68</c:v>
                </c:pt>
              </c:numCache>
            </c:numRef>
          </c:yVal>
          <c:smooth val="0"/>
          <c:extLst>
            <c:ext xmlns:c16="http://schemas.microsoft.com/office/drawing/2014/chart" uri="{C3380CC4-5D6E-409C-BE32-E72D297353CC}">
              <c16:uniqueId val="{00000006-71C7-4328-A01E-39B791491A3F}"/>
            </c:ext>
          </c:extLst>
        </c:ser>
        <c:ser>
          <c:idx val="5"/>
          <c:order val="6"/>
          <c:tx>
            <c:strRef>
              <c:f>'Figure 6'!$H$64</c:f>
              <c:strCache>
                <c:ptCount val="1"/>
                <c:pt idx="0">
                  <c:v>Germany</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5.3019145802650956E-2"/>
                  <c:y val="-4.3117744610281922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7-71C7-4328-A01E-39B791491A3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6'!$H$65</c:f>
              <c:numCache>
                <c:formatCode>_(* #,##0.00_);_(* \(#,##0.00\);_(* "-"??_);_(@_)</c:formatCode>
                <c:ptCount val="1"/>
                <c:pt idx="0">
                  <c:v>1.17</c:v>
                </c:pt>
              </c:numCache>
            </c:numRef>
          </c:xVal>
          <c:yVal>
            <c:numRef>
              <c:f>'Figure 6'!$H$66</c:f>
              <c:numCache>
                <c:formatCode>General</c:formatCode>
                <c:ptCount val="1"/>
                <c:pt idx="0">
                  <c:v>1</c:v>
                </c:pt>
              </c:numCache>
            </c:numRef>
          </c:yVal>
          <c:smooth val="0"/>
          <c:extLst>
            <c:ext xmlns:c16="http://schemas.microsoft.com/office/drawing/2014/chart" uri="{C3380CC4-5D6E-409C-BE32-E72D297353CC}">
              <c16:uniqueId val="{00000008-71C7-4328-A01E-39B791491A3F}"/>
            </c:ext>
          </c:extLst>
        </c:ser>
        <c:ser>
          <c:idx val="6"/>
          <c:order val="7"/>
          <c:tx>
            <c:strRef>
              <c:f>'Figure 6'!$I$64</c:f>
              <c:strCache>
                <c:ptCount val="1"/>
                <c:pt idx="0">
                  <c:v>UK</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6'!$I$65</c:f>
              <c:numCache>
                <c:formatCode>_(* #,##0.00_);_(* \(#,##0.00\);_(* "-"??_);_(@_)</c:formatCode>
                <c:ptCount val="1"/>
                <c:pt idx="0">
                  <c:v>1.27</c:v>
                </c:pt>
              </c:numCache>
            </c:numRef>
          </c:xVal>
          <c:yVal>
            <c:numRef>
              <c:f>'Figure 6'!$I$66</c:f>
              <c:numCache>
                <c:formatCode>General</c:formatCode>
                <c:ptCount val="1"/>
                <c:pt idx="0">
                  <c:v>0.71</c:v>
                </c:pt>
              </c:numCache>
            </c:numRef>
          </c:yVal>
          <c:smooth val="0"/>
          <c:extLst>
            <c:ext xmlns:c16="http://schemas.microsoft.com/office/drawing/2014/chart" uri="{C3380CC4-5D6E-409C-BE32-E72D297353CC}">
              <c16:uniqueId val="{00000009-71C7-4328-A01E-39B791491A3F}"/>
            </c:ext>
          </c:extLst>
        </c:ser>
        <c:ser>
          <c:idx val="7"/>
          <c:order val="8"/>
          <c:tx>
            <c:strRef>
              <c:f>'Figure 6'!$J$64</c:f>
              <c:strCache>
                <c:ptCount val="1"/>
                <c:pt idx="0">
                  <c:v>Italy</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cap="rnd">
                <a:solidFill>
                  <a:schemeClr val="accent2">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trendline>
            <c:spPr>
              <a:ln w="19050" cap="rnd">
                <a:solidFill>
                  <a:schemeClr val="accent2">
                    <a:lumMod val="60000"/>
                  </a:schemeClr>
                </a:solidFill>
              </a:ln>
              <a:effectLst/>
            </c:spPr>
            <c:trendlineType val="linear"/>
            <c:dispRSqr val="0"/>
            <c:dispEq val="0"/>
          </c:trendline>
          <c:xVal>
            <c:numRef>
              <c:f>'Figure 6'!$J$65</c:f>
              <c:numCache>
                <c:formatCode>_(* #,##0.00_);_(* \(#,##0.00\);_(* "-"??_);_(@_)</c:formatCode>
                <c:ptCount val="1"/>
                <c:pt idx="0">
                  <c:v>0.85</c:v>
                </c:pt>
              </c:numCache>
            </c:numRef>
          </c:xVal>
          <c:yVal>
            <c:numRef>
              <c:f>'Figure 6'!$J$66</c:f>
              <c:numCache>
                <c:formatCode>General</c:formatCode>
                <c:ptCount val="1"/>
                <c:pt idx="0">
                  <c:v>0.56000000000000005</c:v>
                </c:pt>
              </c:numCache>
            </c:numRef>
          </c:yVal>
          <c:smooth val="0"/>
          <c:extLst>
            <c:ext xmlns:c16="http://schemas.microsoft.com/office/drawing/2014/chart" uri="{C3380CC4-5D6E-409C-BE32-E72D297353CC}">
              <c16:uniqueId val="{0000000A-71C7-4328-A01E-39B791491A3F}"/>
            </c:ext>
          </c:extLst>
        </c:ser>
        <c:ser>
          <c:idx val="8"/>
          <c:order val="9"/>
          <c:tx>
            <c:strRef>
              <c:f>'Figure 6'!$K$64</c:f>
              <c:strCache>
                <c:ptCount val="1"/>
                <c:pt idx="0">
                  <c:v>EU24</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cap="rnd">
                <a:solidFill>
                  <a:schemeClr val="accent3">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9636720667648502E-3"/>
                  <c:y val="2.6533996683250415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B-71C7-4328-A01E-39B791491A3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6'!$K$65</c:f>
              <c:numCache>
                <c:formatCode>_(* #,##0.00_);_(* \(#,##0.00\);_(* "-"??_);_(@_)</c:formatCode>
                <c:ptCount val="1"/>
                <c:pt idx="0">
                  <c:v>1.01</c:v>
                </c:pt>
              </c:numCache>
            </c:numRef>
          </c:xVal>
          <c:yVal>
            <c:numRef>
              <c:f>'Figure 6'!$K$66</c:f>
              <c:numCache>
                <c:formatCode>General</c:formatCode>
                <c:ptCount val="1"/>
                <c:pt idx="0">
                  <c:v>0.73</c:v>
                </c:pt>
              </c:numCache>
            </c:numRef>
          </c:yVal>
          <c:smooth val="0"/>
          <c:extLst>
            <c:ext xmlns:c16="http://schemas.microsoft.com/office/drawing/2014/chart" uri="{C3380CC4-5D6E-409C-BE32-E72D297353CC}">
              <c16:uniqueId val="{0000000C-71C7-4328-A01E-39B791491A3F}"/>
            </c:ext>
          </c:extLst>
        </c:ser>
        <c:ser>
          <c:idx val="9"/>
          <c:order val="10"/>
          <c:tx>
            <c:strRef>
              <c:f>'Figure 6'!$L$64</c:f>
              <c:strCache>
                <c:ptCount val="1"/>
                <c:pt idx="0">
                  <c:v>Indonesia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cap="rnd">
                <a:solidFill>
                  <a:schemeClr val="accent4">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6'!$L$65</c:f>
              <c:numCache>
                <c:formatCode>_(* #,##0.00_);_(* \(#,##0.00\);_(* "-"??_);_(@_)</c:formatCode>
                <c:ptCount val="1"/>
                <c:pt idx="0">
                  <c:v>1.02</c:v>
                </c:pt>
              </c:numCache>
            </c:numRef>
          </c:xVal>
          <c:yVal>
            <c:numRef>
              <c:f>'Figure 6'!$L$66</c:f>
              <c:numCache>
                <c:formatCode>General</c:formatCode>
                <c:ptCount val="1"/>
                <c:pt idx="0">
                  <c:v>0.76</c:v>
                </c:pt>
              </c:numCache>
            </c:numRef>
          </c:yVal>
          <c:smooth val="0"/>
          <c:extLst>
            <c:ext xmlns:c16="http://schemas.microsoft.com/office/drawing/2014/chart" uri="{C3380CC4-5D6E-409C-BE32-E72D297353CC}">
              <c16:uniqueId val="{0000000D-71C7-4328-A01E-39B791491A3F}"/>
            </c:ext>
          </c:extLst>
        </c:ser>
        <c:ser>
          <c:idx val="10"/>
          <c:order val="11"/>
          <c:tx>
            <c:strRef>
              <c:f>'Figure 6'!$M$64</c:f>
              <c:strCache>
                <c:ptCount val="1"/>
                <c:pt idx="0">
                  <c:v>India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cap="rnd">
                <a:solidFill>
                  <a:schemeClr val="accent5">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6'!$M$65</c:f>
              <c:numCache>
                <c:formatCode>_(* #,##0.00_);_(* \(#,##0.00\);_(* "-"??_);_(@_)</c:formatCode>
                <c:ptCount val="1"/>
                <c:pt idx="0">
                  <c:v>1.02</c:v>
                </c:pt>
              </c:numCache>
            </c:numRef>
          </c:xVal>
          <c:yVal>
            <c:numRef>
              <c:f>'Figure 6'!$M$66</c:f>
              <c:numCache>
                <c:formatCode>General</c:formatCode>
                <c:ptCount val="1"/>
                <c:pt idx="0">
                  <c:v>0.79</c:v>
                </c:pt>
              </c:numCache>
            </c:numRef>
          </c:yVal>
          <c:smooth val="0"/>
          <c:extLst>
            <c:ext xmlns:c16="http://schemas.microsoft.com/office/drawing/2014/chart" uri="{C3380CC4-5D6E-409C-BE32-E72D297353CC}">
              <c16:uniqueId val="{0000000E-71C7-4328-A01E-39B791491A3F}"/>
            </c:ext>
          </c:extLst>
        </c:ser>
        <c:ser>
          <c:idx val="11"/>
          <c:order val="12"/>
          <c:tx>
            <c:strRef>
              <c:f>'Figure 6'!$N$64</c:f>
              <c:strCache>
                <c:ptCount val="1"/>
                <c:pt idx="0">
                  <c:v>Japan</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cap="rnd">
                <a:solidFill>
                  <a:schemeClr val="accent6">
                    <a:lumMod val="6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9636720667648502E-3"/>
                  <c:y val="-6.6334991708126645E-3"/>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0F-71C7-4328-A01E-39B791491A3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6'!$N$65</c:f>
              <c:numCache>
                <c:formatCode>_(* #,##0.00_);_(* \(#,##0.00\);_(* "-"??_);_(@_)</c:formatCode>
                <c:ptCount val="1"/>
                <c:pt idx="0">
                  <c:v>1.35</c:v>
                </c:pt>
              </c:numCache>
            </c:numRef>
          </c:xVal>
          <c:yVal>
            <c:numRef>
              <c:f>'Figure 6'!$N$66</c:f>
              <c:numCache>
                <c:formatCode>General</c:formatCode>
                <c:ptCount val="1"/>
                <c:pt idx="0">
                  <c:v>0.86</c:v>
                </c:pt>
              </c:numCache>
            </c:numRef>
          </c:yVal>
          <c:smooth val="0"/>
          <c:extLst>
            <c:ext xmlns:c16="http://schemas.microsoft.com/office/drawing/2014/chart" uri="{C3380CC4-5D6E-409C-BE32-E72D297353CC}">
              <c16:uniqueId val="{00000010-71C7-4328-A01E-39B791491A3F}"/>
            </c:ext>
          </c:extLst>
        </c:ser>
        <c:ser>
          <c:idx val="12"/>
          <c:order val="13"/>
          <c:tx>
            <c:strRef>
              <c:f>'Figure 6'!$O$64</c:f>
              <c:strCache>
                <c:ptCount val="1"/>
                <c:pt idx="0">
                  <c:v>Korea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w="9525" cap="rnd">
                <a:solidFill>
                  <a:schemeClr val="accent1">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6'!$O$65</c:f>
              <c:numCache>
                <c:formatCode>_(* #,##0.00_);_(* \(#,##0.00\);_(* "-"??_);_(@_)</c:formatCode>
                <c:ptCount val="1"/>
                <c:pt idx="0">
                  <c:v>3.85</c:v>
                </c:pt>
              </c:numCache>
            </c:numRef>
          </c:xVal>
          <c:yVal>
            <c:numRef>
              <c:f>'Figure 6'!$O$66</c:f>
              <c:numCache>
                <c:formatCode>General</c:formatCode>
                <c:ptCount val="1"/>
                <c:pt idx="0">
                  <c:v>2.5299999999999998</c:v>
                </c:pt>
              </c:numCache>
            </c:numRef>
          </c:yVal>
          <c:smooth val="0"/>
          <c:extLst>
            <c:ext xmlns:c16="http://schemas.microsoft.com/office/drawing/2014/chart" uri="{C3380CC4-5D6E-409C-BE32-E72D297353CC}">
              <c16:uniqueId val="{00000011-71C7-4328-A01E-39B791491A3F}"/>
            </c:ext>
          </c:extLst>
        </c:ser>
        <c:ser>
          <c:idx val="13"/>
          <c:order val="14"/>
          <c:tx>
            <c:strRef>
              <c:f>'Figure 6'!$P$64</c:f>
              <c:strCache>
                <c:ptCount val="1"/>
                <c:pt idx="0">
                  <c:v>Mexico</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w="9525" cap="rnd">
                <a:solidFill>
                  <a:schemeClr val="accent2">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6'!$P$65</c:f>
              <c:numCache>
                <c:formatCode>_(* #,##0.00_);_(* \(#,##0.00\);_(* "-"??_);_(@_)</c:formatCode>
                <c:ptCount val="1"/>
                <c:pt idx="0">
                  <c:v>1.19</c:v>
                </c:pt>
              </c:numCache>
            </c:numRef>
          </c:xVal>
          <c:yVal>
            <c:numRef>
              <c:f>'Figure 6'!$P$66</c:f>
              <c:numCache>
                <c:formatCode>General</c:formatCode>
                <c:ptCount val="1"/>
                <c:pt idx="0">
                  <c:v>1.1599999999999999</c:v>
                </c:pt>
              </c:numCache>
            </c:numRef>
          </c:yVal>
          <c:smooth val="0"/>
          <c:extLst>
            <c:ext xmlns:c16="http://schemas.microsoft.com/office/drawing/2014/chart" uri="{C3380CC4-5D6E-409C-BE32-E72D297353CC}">
              <c16:uniqueId val="{00000012-71C7-4328-A01E-39B791491A3F}"/>
            </c:ext>
          </c:extLst>
        </c:ser>
        <c:ser>
          <c:idx val="14"/>
          <c:order val="15"/>
          <c:tx>
            <c:strRef>
              <c:f>'Figure 6'!$Q$64</c:f>
              <c:strCache>
                <c:ptCount val="1"/>
                <c:pt idx="0">
                  <c:v>Russia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w="9525" cap="rnd">
                <a:solidFill>
                  <a:schemeClr val="accent3">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6'!$Q$65</c:f>
              <c:numCache>
                <c:formatCode>_(* #,##0.00_);_(* \(#,##0.00\);_(* "-"??_);_(@_)</c:formatCode>
                <c:ptCount val="1"/>
                <c:pt idx="0">
                  <c:v>4.0599999999999996</c:v>
                </c:pt>
              </c:numCache>
            </c:numRef>
          </c:xVal>
          <c:yVal>
            <c:numRef>
              <c:f>'Figure 6'!$Q$66</c:f>
              <c:numCache>
                <c:formatCode>General</c:formatCode>
                <c:ptCount val="1"/>
                <c:pt idx="0">
                  <c:v>1.75</c:v>
                </c:pt>
              </c:numCache>
            </c:numRef>
          </c:yVal>
          <c:smooth val="0"/>
          <c:extLst>
            <c:ext xmlns:c16="http://schemas.microsoft.com/office/drawing/2014/chart" uri="{C3380CC4-5D6E-409C-BE32-E72D297353CC}">
              <c16:uniqueId val="{00000013-71C7-4328-A01E-39B791491A3F}"/>
            </c:ext>
          </c:extLst>
        </c:ser>
        <c:ser>
          <c:idx val="15"/>
          <c:order val="16"/>
          <c:tx>
            <c:strRef>
              <c:f>'Figure 6'!$R$64</c:f>
              <c:strCache>
                <c:ptCount val="1"/>
                <c:pt idx="0">
                  <c:v>South Africa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w="9525" cap="rnd">
                <a:solidFill>
                  <a:schemeClr val="accent4">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6'!$R$65</c:f>
              <c:numCache>
                <c:formatCode>_(* #,##0.00_);_(* \(#,##0.00\);_(* "-"??_);_(@_)</c:formatCode>
                <c:ptCount val="1"/>
                <c:pt idx="0">
                  <c:v>2.15</c:v>
                </c:pt>
              </c:numCache>
            </c:numRef>
          </c:xVal>
          <c:yVal>
            <c:numRef>
              <c:f>'Figure 6'!$R$66</c:f>
              <c:numCache>
                <c:formatCode>General</c:formatCode>
                <c:ptCount val="1"/>
                <c:pt idx="0">
                  <c:v>1.38</c:v>
                </c:pt>
              </c:numCache>
            </c:numRef>
          </c:yVal>
          <c:smooth val="0"/>
          <c:extLst>
            <c:ext xmlns:c16="http://schemas.microsoft.com/office/drawing/2014/chart" uri="{C3380CC4-5D6E-409C-BE32-E72D297353CC}">
              <c16:uniqueId val="{00000014-71C7-4328-A01E-39B791491A3F}"/>
            </c:ext>
          </c:extLst>
        </c:ser>
        <c:ser>
          <c:idx val="16"/>
          <c:order val="17"/>
          <c:tx>
            <c:strRef>
              <c:f>'Figure 6'!$S$64</c:f>
              <c:strCache>
                <c:ptCount val="1"/>
                <c:pt idx="0">
                  <c:v>Turkey</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w="9525" cap="rnd">
                <a:solidFill>
                  <a:schemeClr val="accent5">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layout/>
                <c15:showLeaderLines val="0"/>
              </c:ext>
            </c:extLst>
          </c:dLbls>
          <c:xVal>
            <c:numRef>
              <c:f>'Figure 6'!$S$65</c:f>
              <c:numCache>
                <c:formatCode>_(* #,##0.00_);_(* \(#,##0.00\);_(* "-"??_);_(@_)</c:formatCode>
                <c:ptCount val="1"/>
                <c:pt idx="0">
                  <c:v>4.38</c:v>
                </c:pt>
              </c:numCache>
            </c:numRef>
          </c:xVal>
          <c:yVal>
            <c:numRef>
              <c:f>'Figure 6'!$S$66</c:f>
              <c:numCache>
                <c:formatCode>General</c:formatCode>
                <c:ptCount val="1"/>
                <c:pt idx="0">
                  <c:v>2.75</c:v>
                </c:pt>
              </c:numCache>
            </c:numRef>
          </c:yVal>
          <c:smooth val="0"/>
          <c:extLst>
            <c:ext xmlns:c16="http://schemas.microsoft.com/office/drawing/2014/chart" uri="{C3380CC4-5D6E-409C-BE32-E72D297353CC}">
              <c16:uniqueId val="{00000015-71C7-4328-A01E-39B791491A3F}"/>
            </c:ext>
          </c:extLst>
        </c:ser>
        <c:ser>
          <c:idx val="17"/>
          <c:order val="18"/>
          <c:tx>
            <c:strRef>
              <c:f>'Figure 6'!$T$64</c:f>
              <c:strCache>
                <c:ptCount val="1"/>
                <c:pt idx="0">
                  <c:v>USA</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w="9525" cap="rnd">
                <a:solidFill>
                  <a:schemeClr val="accent6">
                    <a:lumMod val="80000"/>
                    <a:lumOff val="20000"/>
                  </a:schemeClr>
                </a:solidFill>
                <a:round/>
              </a:ln>
              <a:effectLst>
                <a:outerShdw blurRad="57150" dist="19050" dir="5400000" algn="ctr" rotWithShape="0">
                  <a:srgbClr val="000000">
                    <a:alpha val="63000"/>
                  </a:srgbClr>
                </a:outerShdw>
              </a:effectLst>
              <a:scene3d>
                <a:camera prst="orthographicFront" fov="0">
                  <a:rot lat="0" lon="0" rev="0"/>
                </a:camera>
                <a:lightRig rig="threePt" dir="t">
                  <a:rot lat="0" lon="0" rev="0"/>
                </a:lightRig>
              </a:scene3d>
              <a:sp3d prstMaterial="matte">
                <a:bevelT h="22225"/>
              </a:sp3d>
            </c:spPr>
          </c:marker>
          <c:dLbls>
            <c:dLbl>
              <c:idx val="0"/>
              <c:layout>
                <c:manualLayout>
                  <c:x val="1.4658936427808631E-2"/>
                  <c:y val="-2.0130954603691829E-2"/>
                </c:manualLayout>
              </c:layout>
              <c:dLblPos val="r"/>
              <c:showLegendKey val="0"/>
              <c:showVal val="0"/>
              <c:showCatName val="0"/>
              <c:showSerName val="1"/>
              <c:showPercent val="0"/>
              <c:showBubbleSize val="0"/>
              <c:extLst>
                <c:ext xmlns:c15="http://schemas.microsoft.com/office/drawing/2012/chart" uri="{CE6537A1-D6FC-4f65-9D91-7224C49458BB}">
                  <c15:layout/>
                </c:ext>
                <c:ext xmlns:c16="http://schemas.microsoft.com/office/drawing/2014/chart" uri="{C3380CC4-5D6E-409C-BE32-E72D297353CC}">
                  <c16:uniqueId val="{00000016-71C7-4328-A01E-39B791491A3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'Figure 6'!$T$65</c:f>
              <c:numCache>
                <c:formatCode>_(* #,##0.00_);_(* \(#,##0.00\);_(* "-"??_);_(@_)</c:formatCode>
                <c:ptCount val="1"/>
                <c:pt idx="0">
                  <c:v>1.35</c:v>
                </c:pt>
              </c:numCache>
            </c:numRef>
          </c:xVal>
          <c:yVal>
            <c:numRef>
              <c:f>'Figure 6'!$T$66</c:f>
              <c:numCache>
                <c:formatCode>General</c:formatCode>
                <c:ptCount val="1"/>
                <c:pt idx="0">
                  <c:v>0.71</c:v>
                </c:pt>
              </c:numCache>
            </c:numRef>
          </c:yVal>
          <c:smooth val="0"/>
          <c:extLst>
            <c:ext xmlns:c16="http://schemas.microsoft.com/office/drawing/2014/chart" uri="{C3380CC4-5D6E-409C-BE32-E72D297353CC}">
              <c16:uniqueId val="{00000017-71C7-4328-A01E-39B791491A3F}"/>
            </c:ext>
          </c:extLst>
        </c:ser>
        <c:ser>
          <c:idx val="22"/>
          <c:order val="19"/>
          <c:tx>
            <c:v>equal line</c:v>
          </c:tx>
          <c:spPr>
            <a:ln w="12700" cap="rnd">
              <a:solidFill>
                <a:schemeClr val="tx1"/>
              </a:solidFill>
              <a:round/>
            </a:ln>
            <a:effectLst>
              <a:outerShdw blurRad="57150" dist="19050" dir="5400000" algn="ctr" rotWithShape="0">
                <a:srgbClr val="000000">
                  <a:alpha val="63000"/>
                </a:srgbClr>
              </a:outerShdw>
            </a:effectLst>
          </c:spPr>
          <c:marker>
            <c:symbol val="none"/>
          </c:marker>
          <c:dPt>
            <c:idx val="1"/>
            <c:marker>
              <c:symbol val="none"/>
            </c:marker>
            <c:bubble3D val="0"/>
            <c:spPr>
              <a:ln w="12700" cap="rnd">
                <a:solidFill>
                  <a:schemeClr val="tx1">
                    <a:lumMod val="50000"/>
                    <a:lumOff val="50000"/>
                  </a:schemeClr>
                </a:solidFill>
                <a:round/>
              </a:ln>
              <a:effectLst>
                <a:outerShdw blurRad="57150" dist="19050" dir="5400000" algn="ctr" rotWithShape="0">
                  <a:srgbClr val="000000">
                    <a:alpha val="63000"/>
                  </a:srgbClr>
                </a:outerShdw>
              </a:effectLst>
            </c:spPr>
            <c:extLst xmlns:c15="http://schemas.microsoft.com/office/drawing/2012/chart">
              <c:ext xmlns:c16="http://schemas.microsoft.com/office/drawing/2014/chart" uri="{C3380CC4-5D6E-409C-BE32-E72D297353CC}">
                <c16:uniqueId val="{00000019-71C7-4328-A01E-39B791491A3F}"/>
              </c:ext>
            </c:extLst>
          </c:dPt>
          <c:xVal>
            <c:numRef>
              <c:f>'Figure 6'!$N$74:$N$75</c:f>
              <c:numCache>
                <c:formatCode>General</c:formatCode>
                <c:ptCount val="2"/>
                <c:pt idx="0">
                  <c:v>0</c:v>
                </c:pt>
                <c:pt idx="1">
                  <c:v>5</c:v>
                </c:pt>
              </c:numCache>
              <c:extLst xmlns:c15="http://schemas.microsoft.com/office/drawing/2012/chart"/>
            </c:numRef>
          </c:xVal>
          <c:yVal>
            <c:numRef>
              <c:f>'Figure 6'!$O$74:$O$75</c:f>
              <c:numCache>
                <c:formatCode>General</c:formatCode>
                <c:ptCount val="2"/>
                <c:pt idx="0">
                  <c:v>0</c:v>
                </c:pt>
                <c:pt idx="1">
                  <c:v>3</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1A-71C7-4328-A01E-39B791491A3F}"/>
            </c:ext>
          </c:extLst>
        </c:ser>
        <c:dLbls>
          <c:showLegendKey val="0"/>
          <c:showVal val="0"/>
          <c:showCatName val="0"/>
          <c:showSerName val="0"/>
          <c:showPercent val="0"/>
          <c:showBubbleSize val="0"/>
        </c:dLbls>
        <c:axId val="461974248"/>
        <c:axId val="461974904"/>
        <c:extLst/>
      </c:scatterChart>
      <c:valAx>
        <c:axId val="461974248"/>
        <c:scaling>
          <c:orientation val="minMax"/>
          <c:max val="5"/>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Household Income Change (In %)</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974904"/>
        <c:crosses val="autoZero"/>
        <c:crossBetween val="midCat"/>
      </c:valAx>
      <c:valAx>
        <c:axId val="461974904"/>
        <c:scaling>
          <c:orientation val="minMax"/>
          <c:max val="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Real GDP Change (in %)</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9742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file>

<file path=customXml/item2.xml><?xml version="1.0" encoding="utf-8"?>
<?mso-contentType ?>
<CtFieldPriority xmlns="http://www.oecd.org/eshare/projectsentre/CtFieldPriority/" xmlns:i="http://www.w3.org/2001/XMLSchema-instance">
  <PriorityFields xmlns:a="http://schemas.microsoft.com/2003/10/Serialization/Arrays">
    <a:string>Title</a:string>
    <a:string>OECDCountry</a:string>
    <a:string>OECDTopic</a:string>
    <a:string>OECDKeywords</a:string>
  </PriorityFields>
</CtFieldPriority>
</file>

<file path=customXml/item3.xml><?xml version="1.0" encoding="utf-8"?>
<?mso-contentType ?>
<FormTemplates xmlns="http://schemas.microsoft.com/sharepoint/v3/contenttype/forms">
  <Display>OECDListFormCollapsible</Display>
  <Edit>OECDListFormCollapsible</Edit>
  <New>OECDListFormCollapsible</New>
</FormTemplates>
</file>

<file path=customXml/item4.xml><?xml version="1.0" encoding="utf-8"?>
<p:properties xmlns:p="http://schemas.microsoft.com/office/2006/metadata/properties" xmlns:xsi="http://www.w3.org/2001/XMLSchema-instance" xmlns:pc="http://schemas.microsoft.com/office/infopath/2007/PartnerControls">
  <documentManagement>
    <OECDCommunityDocumentID xmlns="f4895bf2-9ca5-4628-9927-264e60050b64" xsi:nil="true"/>
    <dbdcbb51bc004245ab71674fd1b8a07e xmlns="f4895bf2-9ca5-4628-9927-264e60050b64" xsi:nil="true"/>
    <debbcac353074a85a171539c83776b5b xmlns="f4895bf2-9ca5-4628-9927-264e60050b64">
      <Terms xmlns="http://schemas.microsoft.com/office/infopath/2007/PartnerControls">
        <TermInfo xmlns="http://schemas.microsoft.com/office/infopath/2007/PartnerControls">
          <TermName xmlns="http://schemas.microsoft.com/office/infopath/2007/PartnerControls">TAD/EPI</TermName>
          <TermId xmlns="http://schemas.microsoft.com/office/infopath/2007/PartnerControls">d00cb606-9c91-458f-a840-465fb27b0db6</TermId>
        </TermInfo>
      </Terms>
    </debbcac353074a85a171539c83776b5b>
    <OECDMainProject xmlns="f4895bf2-9ca5-4628-9927-264e60050b64" xsi:nil="true"/>
    <d1157d34cb3e4b4d92eb2dc96654fa68 xmlns="f4895bf2-9ca5-4628-9927-264e60050b64" xsi:nil="true"/>
    <OECDKimBussinessContext xmlns="54c4cd27-f286-408f-9ce0-33c1e0f3ab39" xsi:nil="true"/>
    <eSharePWBTaxHTField0 xmlns="c9f238dd-bb73-4aef-a7a5-d644ad823e52">
      <Terms xmlns="http://schemas.microsoft.com/office/infopath/2007/PartnerControls">
        <TermInfo xmlns="http://schemas.microsoft.com/office/infopath/2007/PartnerControls">
          <TermName xmlns="http://schemas.microsoft.com/office/infopath/2007/PartnerControls">3.1.1.1.1 Emerging Trade Policy Issues (one modelling paper, two analytical reports, two business dialogues, one workshop, one experts meeting)</TermName>
          <TermId xmlns="http://schemas.microsoft.com/office/infopath/2007/PartnerControls">558f33b6-177e-42b4-8e6c-143763d1f7b5</TermId>
        </TermInfo>
      </Terms>
    </eSharePWBTaxHTField0>
    <OECDlanguage xmlns="ca82dde9-3436-4d3d-bddd-d31447390034">English</OECDlanguage>
    <OECDAllRelatedUsers xmlns="218edd1d-d930-43a9-98e4-fcc7048dc93f">
      <UserInfo>
        <DisplayName/>
        <AccountId xsi:nil="true"/>
        <AccountType/>
      </UserInfo>
    </OECDAllRelatedUsers>
    <OECDExpirationDate xmlns="218edd1d-d930-43a9-98e4-fcc7048dc93f" xsi:nil="true"/>
    <OECDProjectMembers xmlns="f4895bf2-9ca5-4628-9927-264e60050b64">
      <UserInfo>
        <DisplayName>VON LAMPE Martin, TAD/ARP</DisplayName>
        <AccountId>129</AccountId>
        <AccountType/>
      </UserInfo>
      <UserInfo>
        <DisplayName>GAY Hubertus, TAD/ATM</DisplayName>
        <AccountId>408</AccountId>
        <AccountType/>
      </UserInfo>
      <UserInfo>
        <DisplayName>ARRIOLA Christine, TAD/SDM</DisplayName>
        <AccountId>352</AccountId>
        <AccountType/>
      </UserInfo>
      <UserInfo>
        <DisplayName>VAN TONGEREN Frank, TAD/SDM</DisplayName>
        <AccountId>137</AccountId>
        <AccountType/>
      </UserInfo>
      <UserInfo>
        <DisplayName>GOURDON Julien, TAD/EPI</DisplayName>
        <AccountId>573</AccountId>
        <AccountType/>
      </UserInfo>
      <UserInfo>
        <DisplayName>CARRICO Caitlyn, TAD/SDM</DisplayName>
        <AccountId>1649</AccountId>
        <AccountType/>
      </UserInfo>
      <UserInfo>
        <DisplayName>ABDERRAHMANE Martina, TAD/ARP</DisplayName>
        <AccountId>48</AccountId>
        <AccountType/>
      </UserInfo>
      <UserInfo>
        <DisplayName>SMITH Donal, TAD/SDM</DisplayName>
        <AccountId>1681</AccountId>
        <AccountType/>
      </UserInfo>
      <UserInfo>
        <DisplayName>ESPINASSE Eric, TAD/SDM</DisplayName>
        <AccountId>69</AccountId>
        <AccountType/>
      </UserInfo>
    </OECDProjectMembers>
    <DocumentSetDescription xmlns="http://schemas.microsoft.com/sharepoint/v3" xsi:nil="true"/>
    <OECDCommunityDocumentURL xmlns="f4895bf2-9ca5-4628-9927-264e60050b64" xsi:nil="true"/>
    <OECDProjectManager xmlns="f4895bf2-9ca5-4628-9927-264e60050b64">
      <UserInfo>
        <DisplayName/>
        <AccountId>352</AccountId>
        <AccountType/>
      </UserInfo>
    </OECDProjectManager>
    <OECDMeetingDate xmlns="54c4cd27-f286-408f-9ce0-33c1e0f3ab39" xsi:nil="true"/>
    <eShareHorizProjTaxHTField0 xmlns="218edd1d-d930-43a9-98e4-fcc7048dc93f" xsi:nil="true"/>
    <eShareCommitteeTaxHTField0 xmlns="c9f238dd-bb73-4aef-a7a5-d644ad823e52">
      <Terms xmlns="http://schemas.microsoft.com/office/infopath/2007/PartnerControls">
        <TermInfo xmlns="http://schemas.microsoft.com/office/infopath/2007/PartnerControls">
          <TermName xmlns="http://schemas.microsoft.com/office/infopath/2007/PartnerControls">Trade Committee</TermName>
          <TermId xmlns="http://schemas.microsoft.com/office/infopath/2007/PartnerControls">2be3f412-b301-46f0-82c8-4911c226a5b5</TermId>
        </TermInfo>
      </Terms>
    </eShareCommitteeTaxHTField0>
    <OECDYear xmlns="54c4cd27-f286-408f-9ce0-33c1e0f3ab39" xsi:nil="true"/>
    <OECDKimProvenance xmlns="54c4cd27-f286-408f-9ce0-33c1e0f3ab39" xsi:nil="true"/>
    <OECDTagsCache xmlns="f4895bf2-9ca5-4628-9927-264e60050b64" xsi:nil="true"/>
    <OECDSharingStatus xmlns="f4895bf2-9ca5-4628-9927-264e60050b64" xsi:nil="true"/>
    <OECDKimStatus xmlns="54c4cd27-f286-408f-9ce0-33c1e0f3ab39">Draft</OECDKimStatus>
    <eShareCountryTaxHTField0 xmlns="c9f238dd-bb73-4aef-a7a5-d644ad823e52">
      <Terms xmlns="http://schemas.microsoft.com/office/infopath/2007/PartnerControls"/>
    </eShareCountryTaxHTField0>
    <eShareTopicTaxHTField0 xmlns="c9f238dd-bb73-4aef-a7a5-d644ad823e52">
      <Terms xmlns="http://schemas.microsoft.com/office/infopath/2007/PartnerControls"/>
    </eShareTopicTaxHTField0>
    <OECDPinnedBy xmlns="f4895bf2-9ca5-4628-9927-264e60050b64">
      <UserInfo>
        <DisplayName/>
        <AccountId xsi:nil="true"/>
        <AccountType/>
      </UserInfo>
    </OECDPinnedBy>
    <eShareKeywordsTaxHTField0 xmlns="c9f238dd-bb73-4aef-a7a5-d644ad823e52">
      <Terms xmlns="http://schemas.microsoft.com/office/infopath/2007/PartnerControls">
        <TermInfo xmlns="http://schemas.microsoft.com/office/infopath/2007/PartnerControls">
          <TermName xmlns="http://schemas.microsoft.com/office/infopath/2007/PartnerControls">CGE</TermName>
          <TermId xmlns="http://schemas.microsoft.com/office/infopath/2007/PartnerControls">77e3c396-0a50-4c43-856a-ff68c5bd0a4b</TermId>
        </TermInfo>
        <TermInfo xmlns="http://schemas.microsoft.com/office/infopath/2007/PartnerControls">
          <TermName xmlns="http://schemas.microsoft.com/office/infopath/2007/PartnerControls">METRO</TermName>
          <TermId xmlns="http://schemas.microsoft.com/office/infopath/2007/PartnerControls">1051f6d6-080e-4846-9d14-3407bf98aa84</TermId>
        </TermInfo>
        <TermInfo xmlns="http://schemas.microsoft.com/office/infopath/2007/PartnerControls">
          <TermName xmlns="http://schemas.microsoft.com/office/infopath/2007/PartnerControls">Trade</TermName>
          <TermId xmlns="http://schemas.microsoft.com/office/infopath/2007/PartnerControls">b27e044d-70d7-49c2-9280-ab3edb14d694</TermId>
        </TermInfo>
        <TermInfo xmlns="http://schemas.microsoft.com/office/infopath/2007/PartnerControls">
          <TermName xmlns="http://schemas.microsoft.com/office/infopath/2007/PartnerControls">Model</TermName>
          <TermId xmlns="http://schemas.microsoft.com/office/infopath/2007/PartnerControls">a9b9586f-9d58-44e4-8d1d-d83a0591c0c4</TermId>
        </TermInfo>
        <TermInfo xmlns="http://schemas.microsoft.com/office/infopath/2007/PartnerControls">
          <TermName xmlns="http://schemas.microsoft.com/office/infopath/2007/PartnerControls">GTAP</TermName>
          <TermId xmlns="http://schemas.microsoft.com/office/infopath/2007/PartnerControls">d1095c68-ed99-4852-90a2-91ddac9fd679</TermId>
        </TermInfo>
      </Terms>
    </eShareKeywordsTaxHTField0>
    <j89cecd0b5a3476faf70cc48721566a0 xmlns="218edd1d-d930-43a9-98e4-fcc7048dc93f">
      <Terms xmlns="http://schemas.microsoft.com/office/infopath/2007/PartnerControls"/>
    </j89cecd0b5a3476faf70cc48721566a0>
    <OECDProjectLookup xmlns="f4895bf2-9ca5-4628-9927-264e60050b64">7</OECDProjectLookup>
    <TaxCatchAll xmlns="ca82dde9-3436-4d3d-bddd-d31447390034">
      <Value>951</Value>
      <Value>1051</Value>
      <Value>625</Value>
      <Value>624</Value>
      <Value>623</Value>
      <Value>622</Value>
      <Value>26</Value>
      <Value>473</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Working Document" ma:contentTypeID="0x0101008B4DD370EC31429186F3AD49F0D3098F00D44DBCB9EB4F45278CB5C9765BE5299500A4858B360C6A491AA753F8BCA47AA91000D80372FEABFE854F9128995BC20FFDE0" ma:contentTypeVersion="207" ma:contentTypeDescription="" ma:contentTypeScope="" ma:versionID="84e5ece22531ac4babc381af268a9bdf">
  <xsd:schema xmlns:xsd="http://www.w3.org/2001/XMLSchema" xmlns:xs="http://www.w3.org/2001/XMLSchema" xmlns:p="http://schemas.microsoft.com/office/2006/metadata/properties" xmlns:ns1="54c4cd27-f286-408f-9ce0-33c1e0f3ab39" xmlns:ns2="218edd1d-d930-43a9-98e4-fcc7048dc93f" xmlns:ns3="f4895bf2-9ca5-4628-9927-264e60050b64" xmlns:ns4="http://schemas.microsoft.com/sharepoint/v3" xmlns:ns5="c9f238dd-bb73-4aef-a7a5-d644ad823e52" xmlns:ns6="ca82dde9-3436-4d3d-bddd-d31447390034" targetNamespace="http://schemas.microsoft.com/office/2006/metadata/properties" ma:root="true" ma:fieldsID="a8fb06638788a05684474ef8218581a5" ns1:_="" ns2:_="" ns3:_="" ns4:_="" ns5:_="" ns6:_="">
    <xsd:import namespace="54c4cd27-f286-408f-9ce0-33c1e0f3ab39"/>
    <xsd:import namespace="218edd1d-d930-43a9-98e4-fcc7048dc93f"/>
    <xsd:import namespace="f4895bf2-9ca5-4628-9927-264e60050b64"/>
    <xsd:import namespace="http://schemas.microsoft.com/sharepoint/v3"/>
    <xsd:import namespace="c9f238dd-bb73-4aef-a7a5-d644ad823e52"/>
    <xsd:import namespace="ca82dde9-3436-4d3d-bddd-d31447390034"/>
    <xsd:element name="properties">
      <xsd:complexType>
        <xsd:sequence>
          <xsd:element name="documentManagement">
            <xsd:complexType>
              <xsd:all>
                <xsd:element ref="ns1:OECDKimStatus" minOccurs="0"/>
                <xsd:element ref="ns1:OECDKimBussinessContext" minOccurs="0"/>
                <xsd:element ref="ns1:OECDKimProvenance" minOccurs="0"/>
                <xsd:element ref="ns2:OECDExpirationDate" minOccurs="0"/>
                <xsd:element ref="ns3:OECDProjectLookup" minOccurs="0"/>
                <xsd:element ref="ns3:OECDProjectManager" minOccurs="0"/>
                <xsd:element ref="ns3:OECDProjectMembers" minOccurs="0"/>
                <xsd:element ref="ns3:OECDMainProject" minOccurs="0"/>
                <xsd:element ref="ns3:OECDPinnedBy" minOccurs="0"/>
                <xsd:element ref="ns3:OECDTagsCache" minOccurs="0"/>
                <xsd:element ref="ns2:_dlc_DocIdUrl" minOccurs="0"/>
                <xsd:element ref="ns5:eShareCountryTaxHTField0" minOccurs="0"/>
                <xsd:element ref="ns5:eShareTopicTaxHTField0" minOccurs="0"/>
                <xsd:element ref="ns5:eShareKeywordsTaxHTField0" minOccurs="0"/>
                <xsd:element ref="ns5:eShareCommitteeTaxHTField0" minOccurs="0"/>
                <xsd:element ref="ns5:eSharePWBTaxHTField0" minOccurs="0"/>
                <xsd:element ref="ns2:_dlc_DocId" minOccurs="0"/>
                <xsd:element ref="ns6:OECDlanguage" minOccurs="0"/>
                <xsd:element ref="ns6:TaxCatchAllLabel" minOccurs="0"/>
                <xsd:element ref="ns3:dbdcbb51bc004245ab71674fd1b8a07e" minOccurs="0"/>
                <xsd:element ref="ns3:d1157d34cb3e4b4d92eb2dc96654fa68" minOccurs="0"/>
                <xsd:element ref="ns2:_dlc_DocIdPersistId" minOccurs="0"/>
                <xsd:element ref="ns1:OECDMeetingDate" minOccurs="0"/>
                <xsd:element ref="ns6:TaxCatchAll" minOccurs="0"/>
                <xsd:element ref="ns3:Project_x003a_Project_x0020_status" minOccurs="0"/>
                <xsd:element ref="ns2:j89cecd0b5a3476faf70cc48721566a0" minOccurs="0"/>
                <xsd:element ref="ns3:debbcac353074a85a171539c83776b5b" minOccurs="0"/>
                <xsd:element ref="ns4:DocumentSetDescription" minOccurs="0"/>
                <xsd:element ref="ns3:OECDSharingStatus" minOccurs="0"/>
                <xsd:element ref="ns3:OECDCommunityDocumentURL" minOccurs="0"/>
                <xsd:element ref="ns3:OECDCommunityDocumentID" minOccurs="0"/>
                <xsd:element ref="ns2:eShareHorizProjTaxHTField0" minOccurs="0"/>
                <xsd:element ref="ns2:OECDAllRelatedUsers" minOccurs="0"/>
                <xsd:element ref="ns3:SharedWithUsers" minOccurs="0"/>
                <xsd:element ref="ns1:OECD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cd27-f286-408f-9ce0-33c1e0f3ab39" elementFormDefault="qualified">
    <xsd:import namespace="http://schemas.microsoft.com/office/2006/documentManagement/types"/>
    <xsd:import namespace="http://schemas.microsoft.com/office/infopath/2007/PartnerControls"/>
    <xsd:element name="OECDKimStatus" ma:index="3" nillable="true" ma:displayName="Kim status" ma:default="Draft" ma:description="" ma:format="Dropdown" ma:hidden="true" ma:internalName="OECDKimStatus" ma:readOnly="false">
      <xsd:simpleType>
        <xsd:restriction base="dms:Choice">
          <xsd:enumeration value="Draft"/>
          <xsd:enumeration value="Final"/>
        </xsd:restriction>
      </xsd:simpleType>
    </xsd:element>
    <xsd:element name="OECDKimBussinessContext" ma:index="4" nillable="true" ma:displayName="Kim bussiness context" ma:description="" ma:hidden="true" ma:internalName="OECDKimBussinessContext" ma:readOnly="false">
      <xsd:simpleType>
        <xsd:restriction base="dms:Text"/>
      </xsd:simpleType>
    </xsd:element>
    <xsd:element name="OECDKimProvenance" ma:index="5" nillable="true" ma:displayName="Kim provenance" ma:description="" ma:hidden="true" ma:internalName="OECDKimProvenance" ma:readOnly="false">
      <xsd:simpleType>
        <xsd:restriction base="dms:Text">
          <xsd:maxLength value="255"/>
        </xsd:restriction>
      </xsd:simpleType>
    </xsd:element>
    <xsd:element name="OECDMeetingDate" ma:index="33" nillable="true" ma:displayName="Meeting Date" ma:default="" ma:format="DateOnly" ma:hidden="true" ma:internalName="OECDMeetingDate">
      <xsd:simpleType>
        <xsd:restriction base="dms:DateTime"/>
      </xsd:simpleType>
    </xsd:element>
    <xsd:element name="OECDYear" ma:index="50" nillable="true" ma:displayName="Year" ma:description="" ma:internalName="OECDYea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edd1d-d930-43a9-98e4-fcc7048dc93f" elementFormDefault="qualified">
    <xsd:import namespace="http://schemas.microsoft.com/office/2006/documentManagement/types"/>
    <xsd:import namespace="http://schemas.microsoft.com/office/infopath/2007/PartnerControls"/>
    <xsd:element name="OECDExpirationDate" ma:index="8" nillable="true" ma:displayName="Highlights" ma:default="" ma:description="" ma:format="DateOnly" ma:hidden="true" ma:indexed="true" ma:internalName="OECDExpirationDate">
      <xsd:simpleType>
        <xsd:restriction base="dms:DateTime"/>
      </xsd:simpleType>
    </xsd:element>
    <xsd:element name="_dlc_DocIdUrl" ma:index="18" nillable="true" ma:displayName="Document ID" ma:descripti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5" nillable="true" ma:displayName="Document ID" ma:description="" ma:hidden="true" ma:internalName="_dlc_DocId" ma:readOnly="true">
      <xsd:simpleType>
        <xsd:restriction base="dms:Text"/>
      </xsd:simpleType>
    </xsd:element>
    <xsd:element name="_dlc_DocIdPersistId" ma:index="32" nillable="true" ma:displayName="Persist ID" ma:description="Keep ID on add." ma:hidden="true" ma:internalName="_dlc_DocIdPersistId" ma:readOnly="true">
      <xsd:simpleType>
        <xsd:restriction base="dms:Boolean"/>
      </xsd:simpleType>
    </xsd:element>
    <xsd:element name="j89cecd0b5a3476faf70cc48721566a0" ma:index="38" nillable="true" ma:taxonomy="true" ma:internalName="j89cecd0b5a3476faf70cc48721566a0" ma:taxonomyFieldName="OECDHorizontalProjects" ma:displayName="Horizontal project" ma:default="" ma:fieldId="{389cecd0-b5a3-476f-af70-cc48721566a0}" ma:taxonomyMulti="true" ma:sspId="27ec883c-a62c-444f-a935-fcddb579e39d" ma:termSetId="d3ca0e0e-65f9-44bf-9d98-5271504f6d61" ma:anchorId="00000000-0000-0000-0000-000000000000" ma:open="false" ma:isKeyword="false">
      <xsd:complexType>
        <xsd:sequence>
          <xsd:element ref="pc:Terms" minOccurs="0" maxOccurs="1"/>
        </xsd:sequence>
      </xsd:complexType>
    </xsd:element>
    <xsd:element name="eShareHorizProjTaxHTField0" ma:index="45" nillable="true" ma:displayName="OECDHorizontalProjects_0" ma:description="" ma:hidden="true" ma:internalName="eShareHorizProjTaxHTField0">
      <xsd:simpleType>
        <xsd:restriction base="dms:Note"/>
      </xsd:simpleType>
    </xsd:element>
    <xsd:element name="OECDAllRelatedUsers" ma:index="48" nillable="true" ma:displayName="All related users" ma:description="" ma:hidden="true" ma:internalName="OECDAllRelatedUs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895bf2-9ca5-4628-9927-264e60050b64" elementFormDefault="qualified">
    <xsd:import namespace="http://schemas.microsoft.com/office/2006/documentManagement/types"/>
    <xsd:import namespace="http://schemas.microsoft.com/office/infopath/2007/PartnerControls"/>
    <xsd:element name="OECDProjectLookup" ma:index="9" nillable="true" ma:displayName="Project" ma:description="" ma:hidden="true" ma:indexed="true" ma:list="0162ff36-77c1-464f-a633-26873384d4aa" ma:internalName="OECDProjectLookup" ma:readOnly="false" ma:showField="OECDShortProjectName" ma:web="f4895bf2-9ca5-4628-9927-264e60050b64">
      <xsd:simpleType>
        <xsd:restriction base="dms:Lookup"/>
      </xsd:simpleType>
    </xsd:element>
    <xsd:element name="OECDProjectManager" ma:index="10" nillable="true" ma:displayName="Project manager" ma:description="" ma:hidden="true" ma:indexed="true" ma:internalName="OECDProjectManag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ProjectMembers" ma:index="11" nillable="true" ma:displayName="Project members" ma:description="" ma:hidden="true" ma:internalName="OECDProjectMemb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MainProject" ma:index="14" nillable="true" ma:displayName="Main project" ma:description="" ma:hidden="true" ma:indexed="true" ma:list="0162ff36-77c1-464f-a633-26873384d4aa" ma:internalName="OECDMainProject" ma:readOnly="false" ma:showField="OECDShortProjectName">
      <xsd:simpleType>
        <xsd:restriction base="dms:Lookup"/>
      </xsd:simpleType>
    </xsd:element>
    <xsd:element name="OECDPinnedBy" ma:index="15" nillable="true" ma:displayName="Pinned by" ma:description="" ma:hidden="true" ma:internalName="OECDPinn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CDTagsCache" ma:index="17" nillable="true" ma:displayName="Tags cache" ma:description="" ma:hidden="true" ma:internalName="OECDTagsCache">
      <xsd:simpleType>
        <xsd:restriction base="dms:Note"/>
      </xsd:simpleType>
    </xsd:element>
    <xsd:element name="dbdcbb51bc004245ab71674fd1b8a07e" ma:index="30" nillable="true" ma:displayName="Deliverable partners_0" ma:hidden="true" ma:internalName="dbdcbb51bc004245ab71674fd1b8a07e">
      <xsd:simpleType>
        <xsd:restriction base="dms:Note"/>
      </xsd:simpleType>
    </xsd:element>
    <xsd:element name="d1157d34cb3e4b4d92eb2dc96654fa68" ma:index="31" nillable="true" ma:displayName="Deliverable owner_0" ma:hidden="true" ma:internalName="d1157d34cb3e4b4d92eb2dc96654fa68">
      <xsd:simpleType>
        <xsd:restriction base="dms:Note"/>
      </xsd:simpleType>
    </xsd:element>
    <xsd:element name="Project_x003a_Project_x0020_status" ma:index="37" nillable="true" ma:displayName="Project:Project status" ma:hidden="true" ma:list="0162ff36-77c1-464f-a633-26873384d4aa" ma:internalName="Project_x003A_Project_x0020_status" ma:readOnly="true" ma:showField="OECDProjectStatus" ma:web="f4895bf2-9ca5-4628-9927-264e60050b64">
      <xsd:simpleType>
        <xsd:restriction base="dms:Lookup"/>
      </xsd:simpleType>
    </xsd:element>
    <xsd:element name="debbcac353074a85a171539c83776b5b" ma:index="39" nillable="true" ma:taxonomy="true" ma:internalName="debbcac353074a85a171539c83776b5b" ma:taxonomyFieldName="OECDProjectOwnerStructure" ma:displayName="Project owner" ma:readOnly="false" ma:default="" ma:fieldId="debbcac3-5307-4a85-a171-539c83776b5b" ma:taxonomyMulti="true" ma:sspId="27ec883c-a62c-444f-a935-fcddb579e39d" ma:termSetId="aeec4dcb-19ee-4bc0-941f-681845b568c9" ma:anchorId="00000000-0000-0000-0000-000000000000" ma:open="false" ma:isKeyword="false">
      <xsd:complexType>
        <xsd:sequence>
          <xsd:element ref="pc:Terms" minOccurs="0" maxOccurs="1"/>
        </xsd:sequence>
      </xsd:complexType>
    </xsd:element>
    <xsd:element name="OECDSharingStatus" ma:index="42" nillable="true" ma:displayName="O.N.E Document Sharing Status" ma:description="" ma:hidden="true" ma:internalName="OECDSharingStatus">
      <xsd:simpleType>
        <xsd:restriction base="dms:Text"/>
      </xsd:simpleType>
    </xsd:element>
    <xsd:element name="OECDCommunityDocumentURL" ma:index="43" nillable="true" ma:displayName="O.N.E Community Document URL" ma:description="" ma:hidden="true" ma:internalName="OECDCommunityDocumentURL">
      <xsd:simpleType>
        <xsd:restriction base="dms:Text"/>
      </xsd:simpleType>
    </xsd:element>
    <xsd:element name="OECDCommunityDocumentID" ma:index="44" nillable="true" ma:displayName="O.N.E Community Document ID" ma:decimals="0" ma:description="" ma:hidden="true" ma:internalName="OECDCommunityDocumentID">
      <xsd:simpleType>
        <xsd:restriction base="dms:Number"/>
      </xsd:simpleType>
    </xsd:element>
    <xsd:element name="SharedWithUsers" ma:index="4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41" nillable="true" ma:displayName="Description" ma:description="A description of the Document Set"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238dd-bb73-4aef-a7a5-d644ad823e52" elementFormDefault="qualified">
    <xsd:import namespace="http://schemas.microsoft.com/office/2006/documentManagement/types"/>
    <xsd:import namespace="http://schemas.microsoft.com/office/infopath/2007/PartnerControls"/>
    <xsd:element name="eShareCountryTaxHTField0" ma:index="20" nillable="true" ma:taxonomy="true" ma:internalName="eShareCountryTaxHTField0" ma:taxonomyFieldName="OECDCountry" ma:displayName="Country" ma:readOnly="false" ma:default="" ma:fieldId="{aa366335-bba6-4f71-86c6-f91b1ae503c2}" ma:taxonomyMulti="true" ma:sspId="27ec883c-a62c-444f-a935-fcddb579e39d" ma:termSetId="e1026e78-e24d-4b33-a8f4-6ff75b8e5ad2" ma:anchorId="00000000-0000-0000-0000-000000000000" ma:open="false" ma:isKeyword="false">
      <xsd:complexType>
        <xsd:sequence>
          <xsd:element ref="pc:Terms" minOccurs="0" maxOccurs="1"/>
        </xsd:sequence>
      </xsd:complexType>
    </xsd:element>
    <xsd:element name="eShareTopicTaxHTField0" ma:index="21" nillable="true" ma:taxonomy="true" ma:internalName="eShareTopicTaxHTField0" ma:taxonomyFieldName="OECDTopic" ma:displayName="Topic" ma:readOnly="false" ma:default="" ma:fieldId="{9b5335f8-765c-484a-86dd-d10580650a95}" ma:taxonomyMulti="true" ma:sspId="27ec883c-a62c-444f-a935-fcddb579e39d" ma:termSetId="d0043ed9-7fdc-4b21-8641-a864cc50d2b2" ma:anchorId="00000000-0000-0000-0000-000000000000" ma:open="false" ma:isKeyword="false">
      <xsd:complexType>
        <xsd:sequence>
          <xsd:element ref="pc:Terms" minOccurs="0" maxOccurs="1"/>
        </xsd:sequence>
      </xsd:complexType>
    </xsd:element>
    <xsd:element name="eShareKeywordsTaxHTField0" ma:index="22" nillable="true" ma:taxonomy="true" ma:internalName="eShareKeywordsTaxHTField0" ma:taxonomyFieldName="OECDKeywords" ma:displayName="Keywords" ma:default="" ma:fieldId="{8a7c3663-990d-467c-b1b8-bb4b775674ad}" ma:taxonomyMulti="true" ma:sspId="27ec883c-a62c-444f-a935-fcddb579e39d" ma:termSetId="f51791ee-8e04-4654-a875-fc747102cd45" ma:anchorId="00000000-0000-0000-0000-000000000000" ma:open="true" ma:isKeyword="false">
      <xsd:complexType>
        <xsd:sequence>
          <xsd:element ref="pc:Terms" minOccurs="0" maxOccurs="1"/>
        </xsd:sequence>
      </xsd:complexType>
    </xsd:element>
    <xsd:element name="eShareCommitteeTaxHTField0" ma:index="23" nillable="true" ma:taxonomy="true" ma:internalName="eShareCommitteeTaxHTField0" ma:taxonomyFieldName="OECDCommittee" ma:displayName="Committee" ma:default="" ma:fieldId="{29494d90-e667-47b5-adc1-d09dfb5832ab}" ma:sspId="27ec883c-a62c-444f-a935-fcddb579e39d" ma:termSetId="87919aae-be42-4481-84cf-2389a5c84ac4" ma:anchorId="00000000-0000-0000-0000-000000000000" ma:open="false" ma:isKeyword="false">
      <xsd:complexType>
        <xsd:sequence>
          <xsd:element ref="pc:Terms" minOccurs="0" maxOccurs="1"/>
        </xsd:sequence>
      </xsd:complexType>
    </xsd:element>
    <xsd:element name="eSharePWBTaxHTField0" ma:index="24" nillable="true" ma:taxonomy="true" ma:internalName="eSharePWBTaxHTField0" ma:taxonomyFieldName="OECDPWB" ma:displayName="PWB" ma:default="" ma:fieldId="{fe327ce1-b783-48aa-9b0b-52ad26d1c9f6}" ma:sspId="27ec883c-a62c-444f-a935-fcddb579e39d" ma:termSetId="7bc7477d-4ef0-4820-a158-bb7b3cda138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82dde9-3436-4d3d-bddd-d31447390034" elementFormDefault="qualified">
    <xsd:import namespace="http://schemas.microsoft.com/office/2006/documentManagement/types"/>
    <xsd:import namespace="http://schemas.microsoft.com/office/infopath/2007/PartnerControls"/>
    <xsd:element name="OECDlanguage" ma:index="27" nillable="true" ma:displayName="Document language" ma:default="English" ma:description="" ma:format="Dropdown" ma:hidden="true" ma:internalName="OECDlanguage" ma:readOnly="false">
      <xsd:simpleType>
        <xsd:restriction base="dms:Choice">
          <xsd:enumeration value="English"/>
          <xsd:enumeration value="French"/>
        </xsd:restriction>
      </xsd:simpleType>
    </xsd:element>
    <xsd:element name="TaxCatchAllLabel" ma:index="29" nillable="true" ma:displayName="Taxonomy Catch All Column1" ma:hidden="true" ma:list="{bf0e96e7-7f37-457e-b72e-3bf508f8da33}" ma:internalName="TaxCatchAllLabel" ma:readOnly="true" ma:showField="CatchAllDataLabel" ma:web="218edd1d-d930-43a9-98e4-fcc7048dc93f">
      <xsd:complexType>
        <xsd:complexContent>
          <xsd:extension base="dms:MultiChoiceLookup">
            <xsd:sequence>
              <xsd:element name="Value" type="dms:Lookup" maxOccurs="unbounded" minOccurs="0" nillable="true"/>
            </xsd:sequence>
          </xsd:extension>
        </xsd:complexContent>
      </xsd:complexType>
    </xsd:element>
    <xsd:element name="TaxCatchAll" ma:index="34" nillable="true" ma:displayName="Taxonomy Catch All Column" ma:hidden="true" ma:list="{bf0e96e7-7f37-457e-b72e-3bf508f8da33}" ma:internalName="TaxCatchAll" ma:showField="CatchAllData" ma:web="218edd1d-d930-43a9-98e4-fcc7048dc9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27ec883c-a62c-444f-a935-fcddb579e39d" ContentTypeId="0x0101008B4DD370EC31429186F3AD49F0D3098F00D44DBCB9EB4F45278CB5C9765BE52995" PreviousValue="false"/>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51BC0-B2E2-4B7F-A834-04805A5E2A9B}">
  <ds:schemaRefs>
    <ds:schemaRef ds:uri="http://schemas.microsoft.com/sharepoint/events"/>
  </ds:schemaRefs>
</ds:datastoreItem>
</file>

<file path=customXml/itemProps2.xml><?xml version="1.0" encoding="utf-8"?>
<ds:datastoreItem xmlns:ds="http://schemas.openxmlformats.org/officeDocument/2006/customXml" ds:itemID="{EE10A07F-7417-410E-A9E9-41E33697A7E3}">
  <ds:schemaRefs>
    <ds:schemaRef ds:uri="http://www.oecd.org/eshare/projectsentre/CtFieldPriority/"/>
    <ds:schemaRef ds:uri="http://schemas.microsoft.com/2003/10/Serialization/Arrays"/>
  </ds:schemaRefs>
</ds:datastoreItem>
</file>

<file path=customXml/itemProps3.xml><?xml version="1.0" encoding="utf-8"?>
<ds:datastoreItem xmlns:ds="http://schemas.openxmlformats.org/officeDocument/2006/customXml" ds:itemID="{FA2F2C04-A2D6-436B-BC48-61B599A37818}">
  <ds:schemaRefs>
    <ds:schemaRef ds:uri="http://schemas.microsoft.com/sharepoint/v3/contenttype/forms"/>
  </ds:schemaRefs>
</ds:datastoreItem>
</file>

<file path=customXml/itemProps4.xml><?xml version="1.0" encoding="utf-8"?>
<ds:datastoreItem xmlns:ds="http://schemas.openxmlformats.org/officeDocument/2006/customXml" ds:itemID="{F052E9BF-44CC-4501-BCF6-A46AA3FFE055}">
  <ds:schemaRefs>
    <ds:schemaRef ds:uri="http://schemas.microsoft.com/office/2006/metadata/properties"/>
    <ds:schemaRef ds:uri="54c4cd27-f286-408f-9ce0-33c1e0f3ab39"/>
    <ds:schemaRef ds:uri="c9f238dd-bb73-4aef-a7a5-d644ad823e52"/>
    <ds:schemaRef ds:uri="http://purl.org/dc/terms/"/>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ca82dde9-3436-4d3d-bddd-d31447390034"/>
    <ds:schemaRef ds:uri="http://schemas.microsoft.com/sharepoint/v3"/>
    <ds:schemaRef ds:uri="http://purl.org/dc/elements/1.1/"/>
    <ds:schemaRef ds:uri="f4895bf2-9ca5-4628-9927-264e60050b64"/>
    <ds:schemaRef ds:uri="218edd1d-d930-43a9-98e4-fcc7048dc93f"/>
    <ds:schemaRef ds:uri="http://www.w3.org/XML/1998/namespace"/>
  </ds:schemaRefs>
</ds:datastoreItem>
</file>

<file path=customXml/itemProps5.xml><?xml version="1.0" encoding="utf-8"?>
<ds:datastoreItem xmlns:ds="http://schemas.openxmlformats.org/officeDocument/2006/customXml" ds:itemID="{08B43D10-EC31-4FAB-A337-4ABD1B73F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cd27-f286-408f-9ce0-33c1e0f3ab39"/>
    <ds:schemaRef ds:uri="218edd1d-d930-43a9-98e4-fcc7048dc93f"/>
    <ds:schemaRef ds:uri="f4895bf2-9ca5-4628-9927-264e60050b64"/>
    <ds:schemaRef ds:uri="http://schemas.microsoft.com/sharepoint/v3"/>
    <ds:schemaRef ds:uri="c9f238dd-bb73-4aef-a7a5-d644ad823e52"/>
    <ds:schemaRef ds:uri="ca82dde9-3436-4d3d-bddd-d31447390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38DB496-E5CA-4B6C-9B99-80C82A2F1A3F}">
  <ds:schemaRefs>
    <ds:schemaRef ds:uri="Microsoft.SharePoint.Taxonomy.ContentTypeSync"/>
  </ds:schemaRefs>
</ds:datastoreItem>
</file>

<file path=customXml/itemProps7.xml><?xml version="1.0" encoding="utf-8"?>
<ds:datastoreItem xmlns:ds="http://schemas.openxmlformats.org/officeDocument/2006/customXml" ds:itemID="{F5347792-A9EB-4589-B835-9FD4BFB2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3EFA436D.dotm</Template>
  <TotalTime>1</TotalTime>
  <Pages>13</Pages>
  <Words>3569</Words>
  <Characters>19561</Characters>
  <Application>Microsoft Office Word</Application>
  <DocSecurity>0</DocSecurity>
  <Lines>416</Lines>
  <Paragraphs>148</Paragraphs>
  <ScaleCrop>false</ScaleCrop>
  <HeadingPairs>
    <vt:vector size="2" baseType="variant">
      <vt:variant>
        <vt:lpstr>Title</vt:lpstr>
      </vt:variant>
      <vt:variant>
        <vt:i4>1</vt:i4>
      </vt:variant>
    </vt:vector>
  </HeadingPairs>
  <TitlesOfParts>
    <vt:vector size="1" baseType="lpstr">
      <vt:lpstr>PRICE AND QUANTITY EFFECTS OF NON-TARIFF MEASURES: EXPLORING CGE OPTIONS WITH OECD METRO</vt:lpstr>
    </vt:vector>
  </TitlesOfParts>
  <Company>OECD</Company>
  <LinksUpToDate>false</LinksUpToDate>
  <CharactersWithSpaces>22982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AND QUANTITY EFFECTS OF NON-TARIFF MEASURES: EXPLORING CGE OPTIONS WITH OECD METRO</dc:title>
  <dc:creator>SPINELLI Francesca</dc:creator>
  <cp:lastModifiedBy>STONE Susan, TAD/TSD</cp:lastModifiedBy>
  <cp:revision>2</cp:revision>
  <cp:lastPrinted>2019-01-14T10:52:00Z</cp:lastPrinted>
  <dcterms:created xsi:type="dcterms:W3CDTF">2019-04-16T13:02:00Z</dcterms:created>
  <dcterms:modified xsi:type="dcterms:W3CDTF">2019-04-16T13:02:00Z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0x0101008B4DD370EC31429186F3AD49F0D3098F00D44DBCB9EB4F45278CB5C9765BE5299500A4858B360C6A491AA753F8BCA47AA91000D80372FEABFE854F9128995BC20FFDE0</vt:lpwstr>
  </property>
  <property fmtid="{D5CDD505-2E9C-101B-9397-08002B2CF9AE}" pid="3" name="OECDProjectOwnerStructure">
    <vt:lpwstr>473;#TAD/EPI|d00cb606-9c91-458f-a840-465fb27b0db6</vt:lpwstr>
  </property>
  <property fmtid="{D5CDD505-2E9C-101B-9397-08002B2CF9AE}" pid="4" name="OECDHorizontalProjects">
    <vt:lpwstr/>
  </property>
  <property fmtid="{D5CDD505-2E9C-101B-9397-08002B2CF9AE}" pid="5" name="OECDCountry">
    <vt:lpwstr/>
  </property>
  <property fmtid="{D5CDD505-2E9C-101B-9397-08002B2CF9AE}" pid="6" name="OECDTopic">
    <vt:lpwstr/>
  </property>
  <property fmtid="{D5CDD505-2E9C-101B-9397-08002B2CF9AE}" pid="7" name="OECDCommittee">
    <vt:lpwstr>26;#Trade Committee|2be3f412-b301-46f0-82c8-4911c226a5b5</vt:lpwstr>
  </property>
  <property fmtid="{D5CDD505-2E9C-101B-9397-08002B2CF9AE}" pid="8" name="OECDPWB">
    <vt:lpwstr>951;#3.1.1.1.1 Emerging Trade Policy Issues (one modelling paper, two analytical reports, two business dialogues, one workshop, one experts meeting)|558f33b6-177e-42b4-8e6c-143763d1f7b5</vt:lpwstr>
  </property>
  <property fmtid="{D5CDD505-2E9C-101B-9397-08002B2CF9AE}" pid="9" name="OECDKeywords">
    <vt:lpwstr>622;#CGE|77e3c396-0a50-4c43-856a-ff68c5bd0a4b;#1051;#METRO|1051f6d6-080e-4846-9d14-3407bf98aa84;#624;#Trade|b27e044d-70d7-49c2-9280-ab3edb14d694;#623;#Model|a9b9586f-9d58-44e4-8d1d-d83a0591c0c4;#625;#GTAP|d1095c68-ed99-4852-90a2-91ddac9fd679</vt:lpwstr>
  </property>
  <property fmtid="{D5CDD505-2E9C-101B-9397-08002B2CF9AE}" pid="10" name="eShareOrganisationTaxHTField0">
    <vt:lpwstr/>
  </property>
  <property fmtid="{D5CDD505-2E9C-101B-9397-08002B2CF9AE}" pid="11" name="OECDOrganisation">
    <vt:lpwstr/>
  </property>
</Properties>
</file>